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firstLine="0"/>
        <w:jc w:val="left"/>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23495</wp:posOffset>
            </wp:positionH>
            <wp:positionV relativeFrom="page">
              <wp:posOffset>0</wp:posOffset>
            </wp:positionV>
            <wp:extent cx="7498080" cy="1069238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498080" cy="10692383"/>
                    </a:xfrm>
                    <a:prstGeom prst="rect">
                      <a:avLst/>
                    </a:prstGeom>
                  </pic:spPr>
                </pic:pic>
              </a:graphicData>
            </a:graphic>
          </wp:anchor>
        </w:drawing>
      </w:r>
    </w:p>
    <w:p>
      <w:pPr>
        <w:pStyle w:val="BodyText"/>
        <w:spacing w:after="0"/>
        <w:jc w:val="left"/>
        <w:rPr>
          <w:rFonts w:ascii="Times New Roman"/>
          <w:sz w:val="17"/>
        </w:rPr>
        <w:sectPr>
          <w:type w:val="continuous"/>
          <w:pgSz w:w="11910" w:h="16840"/>
          <w:pgMar w:top="1920" w:bottom="280" w:left="283" w:right="141"/>
        </w:sectPr>
      </w:pPr>
    </w:p>
    <w:p>
      <w:pPr>
        <w:spacing w:before="78"/>
        <w:ind w:left="1133" w:right="0" w:firstLine="0"/>
        <w:jc w:val="left"/>
        <w:rPr>
          <w:sz w:val="22"/>
        </w:rPr>
      </w:pPr>
      <w:r>
        <w:rPr>
          <w:sz w:val="22"/>
        </w:rPr>
        <w:t>TABLE</w:t>
      </w:r>
      <w:r>
        <w:rPr>
          <w:spacing w:val="-4"/>
          <w:sz w:val="22"/>
        </w:rPr>
        <w:t> </w:t>
      </w:r>
      <w:r>
        <w:rPr>
          <w:sz w:val="22"/>
        </w:rPr>
        <w:t>DES</w:t>
      </w:r>
      <w:r>
        <w:rPr>
          <w:spacing w:val="-4"/>
          <w:sz w:val="22"/>
        </w:rPr>
        <w:t> </w:t>
      </w:r>
      <w:r>
        <w:rPr>
          <w:spacing w:val="-2"/>
          <w:sz w:val="22"/>
        </w:rPr>
        <w:t>MATIERES</w:t>
      </w:r>
    </w:p>
    <w:p>
      <w:pPr>
        <w:spacing w:after="0"/>
        <w:jc w:val="left"/>
        <w:rPr>
          <w:sz w:val="22"/>
        </w:rPr>
        <w:sectPr>
          <w:footerReference w:type="default" r:id="rId6"/>
          <w:pgSz w:w="11910" w:h="16840"/>
          <w:pgMar w:header="0" w:footer="1280" w:top="1320" w:bottom="1587" w:left="283" w:right="141"/>
          <w:pgNumType w:start="1"/>
        </w:sectPr>
      </w:pPr>
    </w:p>
    <w:sdt>
      <w:sdtPr>
        <w:docPartObj>
          <w:docPartGallery w:val="Table of Contents"/>
          <w:docPartUnique/>
        </w:docPartObj>
      </w:sdtPr>
      <w:sdtEndPr/>
      <w:sdtContent>
        <w:p>
          <w:pPr>
            <w:pStyle w:val="TOC1"/>
            <w:tabs>
              <w:tab w:pos="10238" w:val="left" w:leader="dot"/>
            </w:tabs>
            <w:spacing w:before="2"/>
          </w:pPr>
          <w:hyperlink w:history="true" w:anchor="_bookmark0">
            <w:r>
              <w:rPr>
                <w:spacing w:val="-2"/>
              </w:rPr>
              <w:t>PREAMBULE</w:t>
            </w:r>
            <w:r>
              <w:rPr/>
              <w:tab/>
            </w:r>
            <w:r>
              <w:rPr>
                <w:spacing w:val="-10"/>
              </w:rPr>
              <w:t>3</w:t>
            </w:r>
          </w:hyperlink>
        </w:p>
        <w:p>
          <w:pPr>
            <w:pStyle w:val="TOC1"/>
            <w:tabs>
              <w:tab w:pos="10238" w:val="left" w:leader="dot"/>
            </w:tabs>
            <w:spacing w:before="119"/>
          </w:pPr>
          <w:hyperlink w:history="true" w:anchor="_bookmark1">
            <w:r>
              <w:rPr>
                <w:spacing w:val="-2"/>
              </w:rPr>
              <w:t>INTRODUCTION</w:t>
            </w:r>
            <w:r>
              <w:rPr/>
              <w:tab/>
            </w:r>
            <w:r>
              <w:rPr>
                <w:spacing w:val="-10"/>
              </w:rPr>
              <w:t>5</w:t>
            </w:r>
          </w:hyperlink>
        </w:p>
        <w:p>
          <w:pPr>
            <w:pStyle w:val="TOC1"/>
            <w:numPr>
              <w:ilvl w:val="0"/>
              <w:numId w:val="1"/>
            </w:numPr>
            <w:tabs>
              <w:tab w:pos="1283" w:val="left" w:leader="none"/>
              <w:tab w:pos="10238" w:val="left" w:leader="dot"/>
            </w:tabs>
            <w:spacing w:line="240" w:lineRule="auto" w:before="120" w:after="0"/>
            <w:ind w:left="1283" w:right="0" w:hanging="150"/>
            <w:jc w:val="left"/>
          </w:pPr>
          <w:hyperlink w:history="true" w:anchor="_bookmark2">
            <w:r>
              <w:rPr/>
              <w:t>DIAGNOSTIC</w:t>
            </w:r>
            <w:r>
              <w:rPr>
                <w:spacing w:val="-8"/>
              </w:rPr>
              <w:t> </w:t>
            </w:r>
            <w:r>
              <w:rPr/>
              <w:t>STRATEGIQUE</w:t>
            </w:r>
            <w:r>
              <w:rPr>
                <w:spacing w:val="-6"/>
              </w:rPr>
              <w:t> </w:t>
            </w:r>
            <w:r>
              <w:rPr/>
              <w:t>ET</w:t>
            </w:r>
            <w:r>
              <w:rPr>
                <w:spacing w:val="-5"/>
              </w:rPr>
              <w:t> </w:t>
            </w:r>
            <w:r>
              <w:rPr/>
              <w:t>EVALUATION</w:t>
            </w:r>
            <w:r>
              <w:rPr>
                <w:spacing w:val="-5"/>
              </w:rPr>
              <w:t> </w:t>
            </w:r>
            <w:r>
              <w:rPr/>
              <w:t>DU</w:t>
            </w:r>
            <w:r>
              <w:rPr>
                <w:spacing w:val="-6"/>
              </w:rPr>
              <w:t> </w:t>
            </w:r>
            <w:r>
              <w:rPr/>
              <w:t>CREDD</w:t>
            </w:r>
            <w:r>
              <w:rPr>
                <w:spacing w:val="-6"/>
              </w:rPr>
              <w:t> </w:t>
            </w:r>
            <w:r>
              <w:rPr/>
              <w:t>2019-</w:t>
            </w:r>
            <w:r>
              <w:rPr>
                <w:spacing w:val="-4"/>
              </w:rPr>
              <w:t>2023</w:t>
            </w:r>
            <w:r>
              <w:rPr/>
              <w:tab/>
            </w:r>
            <w:r>
              <w:rPr>
                <w:spacing w:val="-10"/>
              </w:rPr>
              <w:t>6</w:t>
            </w:r>
          </w:hyperlink>
        </w:p>
        <w:p>
          <w:pPr>
            <w:pStyle w:val="TOC2"/>
            <w:numPr>
              <w:ilvl w:val="1"/>
              <w:numId w:val="2"/>
            </w:numPr>
            <w:tabs>
              <w:tab w:pos="1706" w:val="left" w:leader="none"/>
              <w:tab w:pos="10238" w:val="left" w:leader="dot"/>
            </w:tabs>
            <w:spacing w:line="240" w:lineRule="auto" w:before="120" w:after="0"/>
            <w:ind w:left="1706" w:right="0" w:hanging="352"/>
            <w:jc w:val="left"/>
          </w:pPr>
          <w:hyperlink w:history="true" w:anchor="_bookmark3">
            <w:r>
              <w:rPr/>
              <w:t>Contexte</w:t>
            </w:r>
            <w:r>
              <w:rPr>
                <w:spacing w:val="-10"/>
              </w:rPr>
              <w:t> </w:t>
            </w:r>
            <w:r>
              <w:rPr>
                <w:spacing w:val="-2"/>
              </w:rPr>
              <w:t>général</w:t>
            </w:r>
            <w:r>
              <w:rPr/>
              <w:tab/>
            </w:r>
            <w:r>
              <w:rPr>
                <w:spacing w:val="-10"/>
              </w:rPr>
              <w:t>6</w:t>
            </w:r>
          </w:hyperlink>
        </w:p>
        <w:p>
          <w:pPr>
            <w:pStyle w:val="TOC2"/>
            <w:numPr>
              <w:ilvl w:val="1"/>
              <w:numId w:val="2"/>
            </w:numPr>
            <w:tabs>
              <w:tab w:pos="1706" w:val="left" w:leader="none"/>
              <w:tab w:pos="10238" w:val="left" w:leader="dot"/>
            </w:tabs>
            <w:spacing w:line="240" w:lineRule="auto" w:before="119" w:after="0"/>
            <w:ind w:left="1706" w:right="0" w:hanging="352"/>
            <w:jc w:val="left"/>
          </w:pPr>
          <w:hyperlink w:history="true" w:anchor="_bookmark4">
            <w:r>
              <w:rPr/>
              <w:t>Atouts,</w:t>
            </w:r>
            <w:r>
              <w:rPr>
                <w:spacing w:val="-5"/>
              </w:rPr>
              <w:t> </w:t>
            </w:r>
            <w:r>
              <w:rPr/>
              <w:t>potentialités</w:t>
            </w:r>
            <w:r>
              <w:rPr>
                <w:spacing w:val="-7"/>
              </w:rPr>
              <w:t> </w:t>
            </w:r>
            <w:r>
              <w:rPr/>
              <w:t>et</w:t>
            </w:r>
            <w:r>
              <w:rPr>
                <w:spacing w:val="-4"/>
              </w:rPr>
              <w:t> </w:t>
            </w:r>
            <w:r>
              <w:rPr>
                <w:spacing w:val="-2"/>
              </w:rPr>
              <w:t>opportunités</w:t>
            </w:r>
            <w:r>
              <w:rPr/>
              <w:tab/>
            </w:r>
            <w:r>
              <w:rPr>
                <w:spacing w:val="-10"/>
              </w:rPr>
              <w:t>6</w:t>
            </w:r>
          </w:hyperlink>
        </w:p>
        <w:p>
          <w:pPr>
            <w:pStyle w:val="TOC2"/>
            <w:numPr>
              <w:ilvl w:val="1"/>
              <w:numId w:val="2"/>
            </w:numPr>
            <w:tabs>
              <w:tab w:pos="1706" w:val="left" w:leader="none"/>
              <w:tab w:pos="10238" w:val="left" w:leader="dot"/>
            </w:tabs>
            <w:spacing w:line="240" w:lineRule="auto" w:before="120" w:after="0"/>
            <w:ind w:left="1706" w:right="0" w:hanging="352"/>
            <w:jc w:val="left"/>
          </w:pPr>
          <w:hyperlink w:history="true" w:anchor="_bookmark5">
            <w:r>
              <w:rPr/>
              <w:t>Analyse</w:t>
            </w:r>
            <w:r>
              <w:rPr>
                <w:spacing w:val="-8"/>
              </w:rPr>
              <w:t> </w:t>
            </w:r>
            <w:r>
              <w:rPr/>
              <w:t>diagnostique</w:t>
            </w:r>
            <w:r>
              <w:rPr>
                <w:spacing w:val="-5"/>
              </w:rPr>
              <w:t> </w:t>
            </w:r>
            <w:r>
              <w:rPr/>
              <w:t>du</w:t>
            </w:r>
            <w:r>
              <w:rPr>
                <w:spacing w:val="-9"/>
              </w:rPr>
              <w:t> </w:t>
            </w:r>
            <w:r>
              <w:rPr/>
              <w:t>«</w:t>
            </w:r>
            <w:r>
              <w:rPr>
                <w:spacing w:val="-4"/>
              </w:rPr>
              <w:t> </w:t>
            </w:r>
            <w:r>
              <w:rPr/>
              <w:t>Système</w:t>
            </w:r>
            <w:r>
              <w:rPr>
                <w:spacing w:val="-5"/>
              </w:rPr>
              <w:t> </w:t>
            </w:r>
            <w:r>
              <w:rPr/>
              <w:t>Mali</w:t>
            </w:r>
            <w:r>
              <w:rPr>
                <w:spacing w:val="-2"/>
              </w:rPr>
              <w:t> </w:t>
            </w:r>
            <w:r>
              <w:rPr>
                <w:spacing w:val="-10"/>
              </w:rPr>
              <w:t>»</w:t>
            </w:r>
            <w:r>
              <w:rPr/>
              <w:tab/>
            </w:r>
            <w:r>
              <w:rPr>
                <w:spacing w:val="-10"/>
              </w:rPr>
              <w:t>7</w:t>
            </w:r>
          </w:hyperlink>
        </w:p>
        <w:p>
          <w:pPr>
            <w:pStyle w:val="TOC2"/>
            <w:numPr>
              <w:ilvl w:val="1"/>
              <w:numId w:val="2"/>
            </w:numPr>
            <w:tabs>
              <w:tab w:pos="1706" w:val="left" w:leader="none"/>
              <w:tab w:pos="10137" w:val="left" w:leader="dot"/>
            </w:tabs>
            <w:spacing w:line="240" w:lineRule="auto" w:before="122" w:after="0"/>
            <w:ind w:left="1706" w:right="0" w:hanging="352"/>
            <w:jc w:val="left"/>
          </w:pPr>
          <w:hyperlink w:history="true" w:anchor="_bookmark6">
            <w:r>
              <w:rPr/>
              <w:t>Les</w:t>
            </w:r>
            <w:r>
              <w:rPr>
                <w:spacing w:val="-5"/>
              </w:rPr>
              <w:t> </w:t>
            </w:r>
            <w:r>
              <w:rPr/>
              <w:t>problématiques</w:t>
            </w:r>
            <w:r>
              <w:rPr>
                <w:spacing w:val="-3"/>
              </w:rPr>
              <w:t> </w:t>
            </w:r>
            <w:r>
              <w:rPr/>
              <w:t>de</w:t>
            </w:r>
            <w:r>
              <w:rPr>
                <w:spacing w:val="-2"/>
              </w:rPr>
              <w:t> développement</w:t>
            </w:r>
            <w:r>
              <w:rPr/>
              <w:tab/>
            </w:r>
            <w:r>
              <w:rPr>
                <w:spacing w:val="-5"/>
              </w:rPr>
              <w:t>11</w:t>
            </w:r>
          </w:hyperlink>
        </w:p>
        <w:p>
          <w:pPr>
            <w:pStyle w:val="TOC2"/>
            <w:numPr>
              <w:ilvl w:val="1"/>
              <w:numId w:val="2"/>
            </w:numPr>
            <w:tabs>
              <w:tab w:pos="1706" w:val="left" w:leader="none"/>
              <w:tab w:pos="10137" w:val="left" w:leader="dot"/>
            </w:tabs>
            <w:spacing w:line="240" w:lineRule="auto" w:before="119" w:after="0"/>
            <w:ind w:left="1706" w:right="0" w:hanging="352"/>
            <w:jc w:val="left"/>
          </w:pPr>
          <w:hyperlink w:history="true" w:anchor="_bookmark7">
            <w:r>
              <w:rPr/>
              <w:t>Les</w:t>
            </w:r>
            <w:r>
              <w:rPr>
                <w:spacing w:val="-5"/>
              </w:rPr>
              <w:t> </w:t>
            </w:r>
            <w:r>
              <w:rPr/>
              <w:t>défis</w:t>
            </w:r>
            <w:r>
              <w:rPr>
                <w:spacing w:val="-1"/>
              </w:rPr>
              <w:t> </w:t>
            </w:r>
            <w:r>
              <w:rPr>
                <w:spacing w:val="-2"/>
              </w:rPr>
              <w:t>majeurs</w:t>
            </w:r>
            <w:r>
              <w:rPr/>
              <w:tab/>
            </w:r>
            <w:r>
              <w:rPr>
                <w:spacing w:val="-5"/>
              </w:rPr>
              <w:t>14</w:t>
            </w:r>
          </w:hyperlink>
        </w:p>
        <w:p>
          <w:pPr>
            <w:pStyle w:val="TOC1"/>
            <w:numPr>
              <w:ilvl w:val="0"/>
              <w:numId w:val="1"/>
            </w:numPr>
            <w:tabs>
              <w:tab w:pos="1334" w:val="left" w:leader="none"/>
              <w:tab w:pos="10137" w:val="left" w:leader="dot"/>
            </w:tabs>
            <w:spacing w:line="240" w:lineRule="auto" w:before="120" w:after="0"/>
            <w:ind w:left="1334" w:right="0" w:hanging="201"/>
            <w:jc w:val="left"/>
          </w:pPr>
          <w:hyperlink w:history="true" w:anchor="_bookmark8">
            <w:r>
              <w:rPr/>
              <w:t>VISION</w:t>
            </w:r>
            <w:r>
              <w:rPr>
                <w:spacing w:val="-3"/>
              </w:rPr>
              <w:t> </w:t>
            </w:r>
            <w:r>
              <w:rPr/>
              <w:t>MALI</w:t>
            </w:r>
            <w:r>
              <w:rPr>
                <w:spacing w:val="-1"/>
              </w:rPr>
              <w:t> </w:t>
            </w:r>
            <w:r>
              <w:rPr>
                <w:spacing w:val="-4"/>
              </w:rPr>
              <w:t>2063</w:t>
            </w:r>
            <w:r>
              <w:rPr/>
              <w:tab/>
            </w:r>
            <w:r>
              <w:rPr>
                <w:spacing w:val="-5"/>
              </w:rPr>
              <w:t>16</w:t>
            </w:r>
          </w:hyperlink>
        </w:p>
        <w:p>
          <w:pPr>
            <w:pStyle w:val="TOC2"/>
            <w:numPr>
              <w:ilvl w:val="1"/>
              <w:numId w:val="3"/>
            </w:numPr>
            <w:tabs>
              <w:tab w:pos="1706" w:val="left" w:leader="none"/>
              <w:tab w:pos="10137" w:val="left" w:leader="dot"/>
            </w:tabs>
            <w:spacing w:line="240" w:lineRule="auto" w:before="120" w:after="0"/>
            <w:ind w:left="1706" w:right="0" w:hanging="352"/>
            <w:jc w:val="left"/>
          </w:pPr>
          <w:hyperlink w:history="true" w:anchor="_bookmark9">
            <w:r>
              <w:rPr>
                <w:spacing w:val="-2"/>
              </w:rPr>
              <w:t>Justification</w:t>
            </w:r>
            <w:r>
              <w:rPr/>
              <w:tab/>
            </w:r>
            <w:r>
              <w:rPr>
                <w:spacing w:val="-5"/>
              </w:rPr>
              <w:t>16</w:t>
            </w:r>
          </w:hyperlink>
        </w:p>
        <w:p>
          <w:pPr>
            <w:pStyle w:val="TOC2"/>
            <w:numPr>
              <w:ilvl w:val="1"/>
              <w:numId w:val="3"/>
            </w:numPr>
            <w:tabs>
              <w:tab w:pos="1706" w:val="left" w:leader="none"/>
              <w:tab w:pos="10137" w:val="left" w:leader="dot"/>
            </w:tabs>
            <w:spacing w:line="240" w:lineRule="auto" w:before="120" w:after="0"/>
            <w:ind w:left="1706" w:right="0" w:hanging="352"/>
            <w:jc w:val="left"/>
          </w:pPr>
          <w:hyperlink w:history="true" w:anchor="_bookmark10">
            <w:r>
              <w:rPr/>
              <w:t>Scénarios</w:t>
            </w:r>
            <w:r>
              <w:rPr>
                <w:spacing w:val="-11"/>
              </w:rPr>
              <w:t> </w:t>
            </w:r>
            <w:r>
              <w:rPr>
                <w:spacing w:val="-2"/>
              </w:rPr>
              <w:t>Futurs</w:t>
            </w:r>
            <w:r>
              <w:rPr/>
              <w:tab/>
            </w:r>
            <w:r>
              <w:rPr>
                <w:spacing w:val="-5"/>
              </w:rPr>
              <w:t>16</w:t>
            </w:r>
          </w:hyperlink>
        </w:p>
        <w:p>
          <w:pPr>
            <w:pStyle w:val="TOC2"/>
            <w:numPr>
              <w:ilvl w:val="1"/>
              <w:numId w:val="3"/>
            </w:numPr>
            <w:tabs>
              <w:tab w:pos="1706" w:val="left" w:leader="none"/>
              <w:tab w:pos="10137" w:val="left" w:leader="dot"/>
            </w:tabs>
            <w:spacing w:line="240" w:lineRule="auto" w:before="121" w:after="0"/>
            <w:ind w:left="1706" w:right="0" w:hanging="352"/>
            <w:jc w:val="left"/>
          </w:pPr>
          <w:hyperlink w:history="true" w:anchor="_bookmark11">
            <w:r>
              <w:rPr/>
              <w:t>Vision</w:t>
            </w:r>
            <w:r>
              <w:rPr>
                <w:spacing w:val="-5"/>
              </w:rPr>
              <w:t> </w:t>
            </w:r>
            <w:r>
              <w:rPr>
                <w:spacing w:val="-4"/>
              </w:rPr>
              <w:t>2063</w:t>
            </w:r>
            <w:r>
              <w:rPr/>
              <w:tab/>
            </w:r>
            <w:r>
              <w:rPr>
                <w:spacing w:val="-5"/>
              </w:rPr>
              <w:t>17</w:t>
            </w:r>
          </w:hyperlink>
        </w:p>
        <w:p>
          <w:pPr>
            <w:pStyle w:val="TOC2"/>
            <w:numPr>
              <w:ilvl w:val="1"/>
              <w:numId w:val="3"/>
            </w:numPr>
            <w:tabs>
              <w:tab w:pos="1706" w:val="left" w:leader="none"/>
              <w:tab w:pos="10137" w:val="left" w:leader="dot"/>
            </w:tabs>
            <w:spacing w:line="240" w:lineRule="auto" w:before="120" w:after="0"/>
            <w:ind w:left="1706" w:right="0" w:hanging="352"/>
            <w:jc w:val="left"/>
          </w:pPr>
          <w:hyperlink w:history="true" w:anchor="_bookmark12">
            <w:r>
              <w:rPr/>
              <w:t>Phases</w:t>
            </w:r>
            <w:r>
              <w:rPr>
                <w:spacing w:val="-3"/>
              </w:rPr>
              <w:t> </w:t>
            </w:r>
            <w:r>
              <w:rPr/>
              <w:t>de</w:t>
            </w:r>
            <w:r>
              <w:rPr>
                <w:spacing w:val="-5"/>
              </w:rPr>
              <w:t> </w:t>
            </w:r>
            <w:r>
              <w:rPr/>
              <w:t>la</w:t>
            </w:r>
            <w:r>
              <w:rPr>
                <w:spacing w:val="-2"/>
              </w:rPr>
              <w:t> Vision</w:t>
            </w:r>
            <w:r>
              <w:rPr/>
              <w:tab/>
            </w:r>
            <w:r>
              <w:rPr>
                <w:spacing w:val="-5"/>
              </w:rPr>
              <w:t>18</w:t>
            </w:r>
          </w:hyperlink>
        </w:p>
        <w:p>
          <w:pPr>
            <w:pStyle w:val="TOC2"/>
            <w:numPr>
              <w:ilvl w:val="1"/>
              <w:numId w:val="3"/>
            </w:numPr>
            <w:tabs>
              <w:tab w:pos="1706" w:val="left" w:leader="none"/>
              <w:tab w:pos="10137" w:val="left" w:leader="dot"/>
            </w:tabs>
            <w:spacing w:line="240" w:lineRule="auto" w:before="120" w:after="0"/>
            <w:ind w:left="1706" w:right="0" w:hanging="352"/>
            <w:jc w:val="left"/>
          </w:pPr>
          <w:hyperlink w:history="true" w:anchor="_bookmark13">
            <w:r>
              <w:rPr/>
              <w:t>La</w:t>
            </w:r>
            <w:r>
              <w:rPr>
                <w:spacing w:val="-2"/>
              </w:rPr>
              <w:t> </w:t>
            </w:r>
            <w:r>
              <w:rPr/>
              <w:t>théorie</w:t>
            </w:r>
            <w:r>
              <w:rPr>
                <w:spacing w:val="-3"/>
              </w:rPr>
              <w:t> </w:t>
            </w:r>
            <w:r>
              <w:rPr/>
              <w:t>du</w:t>
            </w:r>
            <w:r>
              <w:rPr>
                <w:spacing w:val="-1"/>
              </w:rPr>
              <w:t> </w:t>
            </w:r>
            <w:r>
              <w:rPr>
                <w:spacing w:val="-2"/>
              </w:rPr>
              <w:t>changement</w:t>
            </w:r>
            <w:r>
              <w:rPr/>
              <w:tab/>
            </w:r>
            <w:r>
              <w:rPr>
                <w:spacing w:val="-5"/>
              </w:rPr>
              <w:t>19</w:t>
            </w:r>
          </w:hyperlink>
        </w:p>
        <w:p>
          <w:pPr>
            <w:pStyle w:val="TOC2"/>
            <w:numPr>
              <w:ilvl w:val="1"/>
              <w:numId w:val="3"/>
            </w:numPr>
            <w:tabs>
              <w:tab w:pos="1706" w:val="left" w:leader="none"/>
              <w:tab w:pos="10137" w:val="left" w:leader="dot"/>
            </w:tabs>
            <w:spacing w:line="240" w:lineRule="auto" w:before="119" w:after="0"/>
            <w:ind w:left="1706" w:right="0" w:hanging="352"/>
            <w:jc w:val="left"/>
          </w:pPr>
          <w:hyperlink w:history="true" w:anchor="_bookmark14">
            <w:r>
              <w:rPr/>
              <w:t>Stratégies</w:t>
            </w:r>
            <w:r>
              <w:rPr>
                <w:spacing w:val="-10"/>
              </w:rPr>
              <w:t> </w:t>
            </w:r>
            <w:r>
              <w:rPr>
                <w:spacing w:val="-2"/>
              </w:rPr>
              <w:t>d'Opérationnalisation</w:t>
            </w:r>
            <w:r>
              <w:rPr/>
              <w:tab/>
            </w:r>
            <w:r>
              <w:rPr>
                <w:spacing w:val="-5"/>
              </w:rPr>
              <w:t>20</w:t>
            </w:r>
          </w:hyperlink>
        </w:p>
        <w:p>
          <w:pPr>
            <w:pStyle w:val="TOC2"/>
            <w:numPr>
              <w:ilvl w:val="1"/>
              <w:numId w:val="3"/>
            </w:numPr>
            <w:tabs>
              <w:tab w:pos="1706" w:val="left" w:leader="none"/>
              <w:tab w:pos="10137" w:val="left" w:leader="dot"/>
            </w:tabs>
            <w:spacing w:line="240" w:lineRule="auto" w:before="120" w:after="0"/>
            <w:ind w:left="1706" w:right="0" w:hanging="352"/>
            <w:jc w:val="left"/>
          </w:pPr>
          <w:hyperlink w:history="true" w:anchor="_bookmark15">
            <w:r>
              <w:rPr/>
              <w:t>Cibles</w:t>
            </w:r>
            <w:r>
              <w:rPr>
                <w:spacing w:val="-3"/>
              </w:rPr>
              <w:t> </w:t>
            </w:r>
            <w:r>
              <w:rPr/>
              <w:t>de</w:t>
            </w:r>
            <w:r>
              <w:rPr>
                <w:spacing w:val="-5"/>
              </w:rPr>
              <w:t> </w:t>
            </w:r>
            <w:r>
              <w:rPr/>
              <w:t>la</w:t>
            </w:r>
            <w:r>
              <w:rPr>
                <w:spacing w:val="-3"/>
              </w:rPr>
              <w:t> </w:t>
            </w:r>
            <w:r>
              <w:rPr/>
              <w:t>Vison</w:t>
            </w:r>
            <w:r>
              <w:rPr>
                <w:spacing w:val="-3"/>
              </w:rPr>
              <w:t> </w:t>
            </w:r>
            <w:r>
              <w:rPr/>
              <w:t>Mali</w:t>
            </w:r>
            <w:r>
              <w:rPr>
                <w:spacing w:val="-2"/>
              </w:rPr>
              <w:t> </w:t>
            </w:r>
            <w:r>
              <w:rPr>
                <w:spacing w:val="-4"/>
              </w:rPr>
              <w:t>2063</w:t>
            </w:r>
            <w:r>
              <w:rPr/>
              <w:tab/>
            </w:r>
            <w:r>
              <w:rPr>
                <w:spacing w:val="-5"/>
              </w:rPr>
              <w:t>20</w:t>
            </w:r>
          </w:hyperlink>
        </w:p>
        <w:p>
          <w:pPr>
            <w:pStyle w:val="TOC2"/>
            <w:numPr>
              <w:ilvl w:val="1"/>
              <w:numId w:val="3"/>
            </w:numPr>
            <w:tabs>
              <w:tab w:pos="1706" w:val="left" w:leader="none"/>
              <w:tab w:pos="10137" w:val="left" w:leader="dot"/>
            </w:tabs>
            <w:spacing w:line="240" w:lineRule="auto" w:before="119" w:after="0"/>
            <w:ind w:left="1706" w:right="0" w:hanging="352"/>
            <w:jc w:val="left"/>
          </w:pPr>
          <w:hyperlink w:history="true" w:anchor="_bookmark16">
            <w:r>
              <w:rPr/>
              <w:t>Cadre</w:t>
            </w:r>
            <w:r>
              <w:rPr>
                <w:spacing w:val="-9"/>
              </w:rPr>
              <w:t> </w:t>
            </w:r>
            <w:r>
              <w:rPr/>
              <w:t>institutionnel</w:t>
            </w:r>
            <w:r>
              <w:rPr>
                <w:spacing w:val="-9"/>
              </w:rPr>
              <w:t> </w:t>
            </w:r>
            <w:r>
              <w:rPr/>
              <w:t>de</w:t>
            </w:r>
            <w:r>
              <w:rPr>
                <w:spacing w:val="-8"/>
              </w:rPr>
              <w:t> </w:t>
            </w:r>
            <w:r>
              <w:rPr/>
              <w:t>suivi-</w:t>
            </w:r>
            <w:r>
              <w:rPr>
                <w:spacing w:val="-2"/>
              </w:rPr>
              <w:t>évaluation</w:t>
            </w:r>
            <w:r>
              <w:rPr/>
              <w:tab/>
            </w:r>
            <w:r>
              <w:rPr>
                <w:spacing w:val="-5"/>
              </w:rPr>
              <w:t>22</w:t>
            </w:r>
          </w:hyperlink>
        </w:p>
        <w:p>
          <w:pPr>
            <w:pStyle w:val="TOC1"/>
            <w:numPr>
              <w:ilvl w:val="0"/>
              <w:numId w:val="1"/>
            </w:numPr>
            <w:tabs>
              <w:tab w:pos="1384" w:val="left" w:leader="none"/>
              <w:tab w:pos="10137" w:val="left" w:leader="dot"/>
            </w:tabs>
            <w:spacing w:line="240" w:lineRule="auto" w:before="123" w:after="0"/>
            <w:ind w:left="1384" w:right="0" w:hanging="251"/>
            <w:jc w:val="left"/>
          </w:pPr>
          <w:hyperlink w:history="true" w:anchor="_bookmark17">
            <w:r>
              <w:rPr/>
              <w:t>STRATEGIE</w:t>
            </w:r>
            <w:r>
              <w:rPr>
                <w:spacing w:val="-9"/>
              </w:rPr>
              <w:t> </w:t>
            </w:r>
            <w:r>
              <w:rPr/>
              <w:t>NATIONALE</w:t>
            </w:r>
            <w:r>
              <w:rPr>
                <w:spacing w:val="-8"/>
              </w:rPr>
              <w:t> </w:t>
            </w:r>
            <w:r>
              <w:rPr/>
              <w:t>POUR</w:t>
            </w:r>
            <w:r>
              <w:rPr>
                <w:spacing w:val="-6"/>
              </w:rPr>
              <w:t> </w:t>
            </w:r>
            <w:r>
              <w:rPr/>
              <w:t>L’EMERGENCE</w:t>
            </w:r>
            <w:r>
              <w:rPr>
                <w:spacing w:val="-6"/>
              </w:rPr>
              <w:t> </w:t>
            </w:r>
            <w:r>
              <w:rPr/>
              <w:t>ET</w:t>
            </w:r>
            <w:r>
              <w:rPr>
                <w:spacing w:val="-5"/>
              </w:rPr>
              <w:t> </w:t>
            </w:r>
            <w:r>
              <w:rPr/>
              <w:t>LE</w:t>
            </w:r>
            <w:r>
              <w:rPr>
                <w:spacing w:val="-6"/>
              </w:rPr>
              <w:t> </w:t>
            </w:r>
            <w:r>
              <w:rPr/>
              <w:t>DEVELOPPEMENT</w:t>
            </w:r>
            <w:r>
              <w:rPr>
                <w:spacing w:val="-5"/>
              </w:rPr>
              <w:t> </w:t>
            </w:r>
            <w:r>
              <w:rPr/>
              <w:t>DURABLE</w:t>
            </w:r>
            <w:r>
              <w:rPr>
                <w:spacing w:val="-6"/>
              </w:rPr>
              <w:t> </w:t>
            </w:r>
            <w:r>
              <w:rPr>
                <w:spacing w:val="-2"/>
              </w:rPr>
              <w:t>(SNEDD)</w:t>
            </w:r>
            <w:r>
              <w:rPr>
                <w:rFonts w:ascii="Times New Roman" w:hAnsi="Times New Roman"/>
              </w:rPr>
              <w:tab/>
            </w:r>
            <w:r>
              <w:rPr>
                <w:spacing w:val="-5"/>
              </w:rPr>
              <w:t>23</w:t>
            </w:r>
          </w:hyperlink>
        </w:p>
        <w:p>
          <w:pPr>
            <w:pStyle w:val="TOC2"/>
            <w:numPr>
              <w:ilvl w:val="1"/>
              <w:numId w:val="4"/>
            </w:numPr>
            <w:tabs>
              <w:tab w:pos="1706" w:val="left" w:leader="none"/>
              <w:tab w:pos="10137" w:val="left" w:leader="dot"/>
            </w:tabs>
            <w:spacing w:line="240" w:lineRule="auto" w:before="119" w:after="0"/>
            <w:ind w:left="1706" w:right="0" w:hanging="352"/>
            <w:jc w:val="left"/>
          </w:pPr>
          <w:hyperlink w:history="true" w:anchor="_bookmark18">
            <w:r>
              <w:rPr/>
              <w:t>Les</w:t>
            </w:r>
            <w:r>
              <w:rPr>
                <w:spacing w:val="-4"/>
              </w:rPr>
              <w:t> </w:t>
            </w:r>
            <w:r>
              <w:rPr/>
              <w:t>fondements</w:t>
            </w:r>
            <w:r>
              <w:rPr>
                <w:spacing w:val="-1"/>
              </w:rPr>
              <w:t> </w:t>
            </w:r>
            <w:r>
              <w:rPr/>
              <w:t>de</w:t>
            </w:r>
            <w:r>
              <w:rPr>
                <w:spacing w:val="-4"/>
              </w:rPr>
              <w:t> </w:t>
            </w:r>
            <w:r>
              <w:rPr/>
              <w:t>la</w:t>
            </w:r>
            <w:r>
              <w:rPr>
                <w:spacing w:val="-1"/>
              </w:rPr>
              <w:t> </w:t>
            </w:r>
            <w:r>
              <w:rPr>
                <w:spacing w:val="-2"/>
              </w:rPr>
              <w:t>stratégie</w:t>
            </w:r>
            <w:r>
              <w:rPr/>
              <w:tab/>
            </w:r>
            <w:r>
              <w:rPr>
                <w:spacing w:val="-5"/>
              </w:rPr>
              <w:t>23</w:t>
            </w:r>
          </w:hyperlink>
        </w:p>
        <w:p>
          <w:pPr>
            <w:pStyle w:val="TOC2"/>
            <w:numPr>
              <w:ilvl w:val="1"/>
              <w:numId w:val="4"/>
            </w:numPr>
            <w:tabs>
              <w:tab w:pos="1706" w:val="left" w:leader="none"/>
              <w:tab w:pos="10137" w:val="left" w:leader="dot"/>
            </w:tabs>
            <w:spacing w:line="240" w:lineRule="auto" w:before="120" w:after="0"/>
            <w:ind w:left="1706" w:right="0" w:hanging="352"/>
            <w:jc w:val="left"/>
          </w:pPr>
          <w:hyperlink w:history="true" w:anchor="_bookmark19">
            <w:r>
              <w:rPr/>
              <w:t>Les</w:t>
            </w:r>
            <w:r>
              <w:rPr>
                <w:spacing w:val="-3"/>
              </w:rPr>
              <w:t> </w:t>
            </w:r>
            <w:r>
              <w:rPr/>
              <w:t>Axes</w:t>
            </w:r>
            <w:r>
              <w:rPr>
                <w:spacing w:val="-1"/>
              </w:rPr>
              <w:t> </w:t>
            </w:r>
            <w:r>
              <w:rPr>
                <w:spacing w:val="-2"/>
              </w:rPr>
              <w:t>stratégiques</w:t>
            </w:r>
            <w:r>
              <w:rPr/>
              <w:tab/>
            </w:r>
            <w:r>
              <w:rPr>
                <w:spacing w:val="-7"/>
              </w:rPr>
              <w:t>23</w:t>
            </w:r>
          </w:hyperlink>
        </w:p>
        <w:p>
          <w:pPr>
            <w:pStyle w:val="TOC3"/>
            <w:numPr>
              <w:ilvl w:val="2"/>
              <w:numId w:val="4"/>
            </w:numPr>
            <w:tabs>
              <w:tab w:pos="2075" w:val="left" w:leader="none"/>
              <w:tab w:pos="10137" w:val="left" w:leader="dot"/>
            </w:tabs>
            <w:spacing w:line="240" w:lineRule="auto" w:before="119" w:after="0"/>
            <w:ind w:left="2075" w:right="0" w:hanging="503"/>
            <w:jc w:val="left"/>
          </w:pPr>
          <w:hyperlink w:history="true" w:anchor="_bookmark20">
            <w:r>
              <w:rPr/>
              <w:t>Axe</w:t>
            </w:r>
            <w:r>
              <w:rPr>
                <w:spacing w:val="-8"/>
              </w:rPr>
              <w:t> </w:t>
            </w:r>
            <w:r>
              <w:rPr/>
              <w:t>Stratégique</w:t>
            </w:r>
            <w:r>
              <w:rPr>
                <w:spacing w:val="-3"/>
              </w:rPr>
              <w:t> </w:t>
            </w:r>
            <w:r>
              <w:rPr/>
              <w:t>1</w:t>
            </w:r>
            <w:r>
              <w:rPr>
                <w:spacing w:val="-3"/>
              </w:rPr>
              <w:t> </w:t>
            </w:r>
            <w:r>
              <w:rPr/>
              <w:t>:</w:t>
            </w:r>
            <w:r>
              <w:rPr>
                <w:spacing w:val="-6"/>
              </w:rPr>
              <w:t> </w:t>
            </w:r>
            <w:r>
              <w:rPr/>
              <w:t>Renforcement</w:t>
            </w:r>
            <w:r>
              <w:rPr>
                <w:spacing w:val="-4"/>
              </w:rPr>
              <w:t> </w:t>
            </w:r>
            <w:r>
              <w:rPr/>
              <w:t>de</w:t>
            </w:r>
            <w:r>
              <w:rPr>
                <w:spacing w:val="-5"/>
              </w:rPr>
              <w:t> </w:t>
            </w:r>
            <w:r>
              <w:rPr/>
              <w:t>la</w:t>
            </w:r>
            <w:r>
              <w:rPr>
                <w:spacing w:val="-3"/>
              </w:rPr>
              <w:t> </w:t>
            </w:r>
            <w:r>
              <w:rPr/>
              <w:t>Souveraineté</w:t>
            </w:r>
            <w:r>
              <w:rPr>
                <w:spacing w:val="-5"/>
              </w:rPr>
              <w:t> </w:t>
            </w:r>
            <w:r>
              <w:rPr/>
              <w:t>et</w:t>
            </w:r>
            <w:r>
              <w:rPr>
                <w:spacing w:val="-4"/>
              </w:rPr>
              <w:t> </w:t>
            </w:r>
            <w:r>
              <w:rPr/>
              <w:t>Consolidation</w:t>
            </w:r>
            <w:r>
              <w:rPr>
                <w:spacing w:val="-3"/>
              </w:rPr>
              <w:t> </w:t>
            </w:r>
            <w:r>
              <w:rPr/>
              <w:t>de</w:t>
            </w:r>
            <w:r>
              <w:rPr>
                <w:spacing w:val="-5"/>
              </w:rPr>
              <w:t> </w:t>
            </w:r>
            <w:r>
              <w:rPr/>
              <w:t>la</w:t>
            </w:r>
            <w:r>
              <w:rPr>
                <w:spacing w:val="-3"/>
              </w:rPr>
              <w:t> </w:t>
            </w:r>
            <w:r>
              <w:rPr/>
              <w:t>Paix</w:t>
            </w:r>
            <w:r>
              <w:rPr>
                <w:spacing w:val="-4"/>
              </w:rPr>
              <w:t> </w:t>
            </w:r>
            <w:r>
              <w:rPr/>
              <w:t>et</w:t>
            </w:r>
            <w:r>
              <w:rPr>
                <w:spacing w:val="-6"/>
              </w:rPr>
              <w:t> </w:t>
            </w:r>
            <w:r>
              <w:rPr/>
              <w:t>de</w:t>
            </w:r>
            <w:r>
              <w:rPr>
                <w:spacing w:val="-3"/>
              </w:rPr>
              <w:t> </w:t>
            </w:r>
            <w:r>
              <w:rPr/>
              <w:t>la</w:t>
            </w:r>
            <w:r>
              <w:rPr>
                <w:spacing w:val="-3"/>
              </w:rPr>
              <w:t> </w:t>
            </w:r>
            <w:r>
              <w:rPr>
                <w:spacing w:val="-2"/>
              </w:rPr>
              <w:t>Sécurité</w:t>
            </w:r>
            <w:r>
              <w:rPr/>
              <w:tab/>
            </w:r>
            <w:r>
              <w:rPr>
                <w:spacing w:val="-5"/>
              </w:rPr>
              <w:t>24</w:t>
            </w:r>
          </w:hyperlink>
        </w:p>
        <w:p>
          <w:pPr>
            <w:pStyle w:val="TOC3"/>
            <w:numPr>
              <w:ilvl w:val="2"/>
              <w:numId w:val="4"/>
            </w:numPr>
            <w:tabs>
              <w:tab w:pos="2075" w:val="left" w:leader="none"/>
              <w:tab w:pos="10137" w:val="left" w:leader="dot"/>
            </w:tabs>
            <w:spacing w:line="240" w:lineRule="auto" w:before="120" w:after="0"/>
            <w:ind w:left="2075" w:right="0" w:hanging="503"/>
            <w:jc w:val="left"/>
          </w:pPr>
          <w:hyperlink w:history="true" w:anchor="_bookmark21">
            <w:r>
              <w:rPr/>
              <w:t>Axe</w:t>
            </w:r>
            <w:r>
              <w:rPr>
                <w:spacing w:val="-5"/>
              </w:rPr>
              <w:t> </w:t>
            </w:r>
            <w:r>
              <w:rPr/>
              <w:t>Stratégique</w:t>
            </w:r>
            <w:r>
              <w:rPr>
                <w:spacing w:val="-3"/>
              </w:rPr>
              <w:t> </w:t>
            </w:r>
            <w:r>
              <w:rPr/>
              <w:t>2</w:t>
            </w:r>
            <w:r>
              <w:rPr>
                <w:spacing w:val="-3"/>
              </w:rPr>
              <w:t> </w:t>
            </w:r>
            <w:r>
              <w:rPr/>
              <w:t>:</w:t>
            </w:r>
            <w:r>
              <w:rPr>
                <w:spacing w:val="-6"/>
              </w:rPr>
              <w:t> </w:t>
            </w:r>
            <w:r>
              <w:rPr/>
              <w:t>Refondation</w:t>
            </w:r>
            <w:r>
              <w:rPr>
                <w:spacing w:val="-3"/>
              </w:rPr>
              <w:t> </w:t>
            </w:r>
            <w:r>
              <w:rPr/>
              <w:t>de</w:t>
            </w:r>
            <w:r>
              <w:rPr>
                <w:spacing w:val="-3"/>
              </w:rPr>
              <w:t> </w:t>
            </w:r>
            <w:r>
              <w:rPr/>
              <w:t>la</w:t>
            </w:r>
            <w:r>
              <w:rPr>
                <w:spacing w:val="-3"/>
              </w:rPr>
              <w:t> </w:t>
            </w:r>
            <w:r>
              <w:rPr>
                <w:spacing w:val="-2"/>
              </w:rPr>
              <w:t>gouvernance.</w:t>
            </w:r>
            <w:r>
              <w:rPr/>
              <w:tab/>
            </w:r>
            <w:r>
              <w:rPr>
                <w:spacing w:val="-5"/>
              </w:rPr>
              <w:t>24</w:t>
            </w:r>
          </w:hyperlink>
        </w:p>
        <w:p>
          <w:pPr>
            <w:pStyle w:val="TOC3"/>
            <w:numPr>
              <w:ilvl w:val="2"/>
              <w:numId w:val="4"/>
            </w:numPr>
            <w:tabs>
              <w:tab w:pos="2075" w:val="left" w:leader="none"/>
              <w:tab w:pos="10137" w:val="left" w:leader="dot"/>
            </w:tabs>
            <w:spacing w:line="240" w:lineRule="auto" w:before="122" w:after="0"/>
            <w:ind w:left="2075" w:right="0" w:hanging="503"/>
            <w:jc w:val="left"/>
          </w:pPr>
          <w:hyperlink w:history="true" w:anchor="_bookmark22">
            <w:r>
              <w:rPr/>
              <w:t>Axe</w:t>
            </w:r>
            <w:r>
              <w:rPr>
                <w:spacing w:val="-8"/>
              </w:rPr>
              <w:t> </w:t>
            </w:r>
            <w:r>
              <w:rPr/>
              <w:t>Stratégique</w:t>
            </w:r>
            <w:r>
              <w:rPr>
                <w:spacing w:val="-4"/>
              </w:rPr>
              <w:t> </w:t>
            </w:r>
            <w:r>
              <w:rPr/>
              <w:t>3</w:t>
            </w:r>
            <w:r>
              <w:rPr>
                <w:spacing w:val="-4"/>
              </w:rPr>
              <w:t> </w:t>
            </w:r>
            <w:r>
              <w:rPr/>
              <w:t>:</w:t>
            </w:r>
            <w:r>
              <w:rPr>
                <w:spacing w:val="-7"/>
              </w:rPr>
              <w:t> </w:t>
            </w:r>
            <w:r>
              <w:rPr/>
              <w:t>Transformation</w:t>
            </w:r>
            <w:r>
              <w:rPr>
                <w:spacing w:val="-7"/>
              </w:rPr>
              <w:t> </w:t>
            </w:r>
            <w:r>
              <w:rPr/>
              <w:t>structurelle</w:t>
            </w:r>
            <w:r>
              <w:rPr>
                <w:spacing w:val="-4"/>
              </w:rPr>
              <w:t> </w:t>
            </w:r>
            <w:r>
              <w:rPr/>
              <w:t>de</w:t>
            </w:r>
            <w:r>
              <w:rPr>
                <w:spacing w:val="-6"/>
              </w:rPr>
              <w:t> </w:t>
            </w:r>
            <w:r>
              <w:rPr/>
              <w:t>l’économie</w:t>
            </w:r>
            <w:r>
              <w:rPr>
                <w:spacing w:val="-5"/>
              </w:rPr>
              <w:t> </w:t>
            </w:r>
            <w:r>
              <w:rPr/>
              <w:t>et</w:t>
            </w:r>
            <w:r>
              <w:rPr>
                <w:spacing w:val="-4"/>
              </w:rPr>
              <w:t> </w:t>
            </w:r>
            <w:r>
              <w:rPr>
                <w:spacing w:val="-2"/>
              </w:rPr>
              <w:t>croissance</w:t>
            </w:r>
            <w:r>
              <w:rPr>
                <w:rFonts w:ascii="Times New Roman" w:hAnsi="Times New Roman"/>
              </w:rPr>
              <w:tab/>
            </w:r>
            <w:r>
              <w:rPr>
                <w:spacing w:val="-5"/>
              </w:rPr>
              <w:t>24</w:t>
            </w:r>
          </w:hyperlink>
        </w:p>
        <w:p>
          <w:pPr>
            <w:pStyle w:val="TOC3"/>
            <w:numPr>
              <w:ilvl w:val="2"/>
              <w:numId w:val="4"/>
            </w:numPr>
            <w:tabs>
              <w:tab w:pos="2075" w:val="left" w:leader="none"/>
              <w:tab w:pos="10137" w:val="left" w:leader="dot"/>
            </w:tabs>
            <w:spacing w:line="240" w:lineRule="auto" w:before="119" w:after="0"/>
            <w:ind w:left="2075" w:right="0" w:hanging="503"/>
            <w:jc w:val="left"/>
          </w:pPr>
          <w:hyperlink w:history="true" w:anchor="_bookmark23">
            <w:r>
              <w:rPr/>
              <w:t>Axe</w:t>
            </w:r>
            <w:r>
              <w:rPr>
                <w:spacing w:val="-9"/>
              </w:rPr>
              <w:t> </w:t>
            </w:r>
            <w:r>
              <w:rPr/>
              <w:t>Stratégique</w:t>
            </w:r>
            <w:r>
              <w:rPr>
                <w:spacing w:val="-4"/>
              </w:rPr>
              <w:t> </w:t>
            </w:r>
            <w:r>
              <w:rPr/>
              <w:t>4</w:t>
            </w:r>
            <w:r>
              <w:rPr>
                <w:spacing w:val="-5"/>
              </w:rPr>
              <w:t> </w:t>
            </w:r>
            <w:r>
              <w:rPr/>
              <w:t>:</w:t>
            </w:r>
            <w:r>
              <w:rPr>
                <w:spacing w:val="-7"/>
              </w:rPr>
              <w:t> </w:t>
            </w:r>
            <w:r>
              <w:rPr/>
              <w:t>Renforcement</w:t>
            </w:r>
            <w:r>
              <w:rPr>
                <w:spacing w:val="-5"/>
              </w:rPr>
              <w:t> </w:t>
            </w:r>
            <w:r>
              <w:rPr/>
              <w:t>du</w:t>
            </w:r>
            <w:r>
              <w:rPr>
                <w:spacing w:val="-6"/>
              </w:rPr>
              <w:t> </w:t>
            </w:r>
            <w:r>
              <w:rPr/>
              <w:t>capital</w:t>
            </w:r>
            <w:r>
              <w:rPr>
                <w:spacing w:val="-5"/>
              </w:rPr>
              <w:t> </w:t>
            </w:r>
            <w:r>
              <w:rPr/>
              <w:t>humain</w:t>
            </w:r>
            <w:r>
              <w:rPr>
                <w:spacing w:val="-4"/>
              </w:rPr>
              <w:t> </w:t>
            </w:r>
            <w:r>
              <w:rPr/>
              <w:t>et</w:t>
            </w:r>
            <w:r>
              <w:rPr>
                <w:spacing w:val="-5"/>
              </w:rPr>
              <w:t> </w:t>
            </w:r>
            <w:r>
              <w:rPr/>
              <w:t>développement</w:t>
            </w:r>
            <w:r>
              <w:rPr>
                <w:spacing w:val="-5"/>
              </w:rPr>
              <w:t> </w:t>
            </w:r>
            <w:r>
              <w:rPr/>
              <w:t>de</w:t>
            </w:r>
            <w:r>
              <w:rPr>
                <w:spacing w:val="-4"/>
              </w:rPr>
              <w:t> </w:t>
            </w:r>
            <w:r>
              <w:rPr/>
              <w:t>territoires</w:t>
            </w:r>
            <w:r>
              <w:rPr>
                <w:spacing w:val="-6"/>
              </w:rPr>
              <w:t> </w:t>
            </w:r>
            <w:r>
              <w:rPr>
                <w:spacing w:val="-2"/>
              </w:rPr>
              <w:t>résilients</w:t>
            </w:r>
            <w:r>
              <w:rPr/>
              <w:tab/>
            </w:r>
            <w:r>
              <w:rPr>
                <w:spacing w:val="-5"/>
              </w:rPr>
              <w:t>25</w:t>
            </w:r>
          </w:hyperlink>
        </w:p>
        <w:p>
          <w:pPr>
            <w:pStyle w:val="TOC3"/>
            <w:numPr>
              <w:ilvl w:val="2"/>
              <w:numId w:val="4"/>
            </w:numPr>
            <w:tabs>
              <w:tab w:pos="2075" w:val="left" w:leader="none"/>
              <w:tab w:pos="10137" w:val="left" w:leader="dot"/>
            </w:tabs>
            <w:spacing w:line="254" w:lineRule="auto" w:before="122" w:after="0"/>
            <w:ind w:left="1572" w:right="1141" w:firstLine="0"/>
            <w:jc w:val="left"/>
          </w:pPr>
          <w:hyperlink w:history="true" w:anchor="_bookmark24">
            <w:r>
              <w:rPr/>
              <w:t>Axe stratégique 5 : Gestion durable de l’environnement, adaptation aux changements climatiques et</w:t>
            </w:r>
          </w:hyperlink>
          <w:r>
            <w:rPr/>
            <w:t> </w:t>
          </w:r>
          <w:hyperlink w:history="true" w:anchor="_bookmark24">
            <w:r>
              <w:rPr>
                <w:spacing w:val="-2"/>
              </w:rPr>
              <w:t>résiliences</w:t>
            </w:r>
            <w:r>
              <w:rPr/>
              <w:tab/>
            </w:r>
            <w:r>
              <w:rPr>
                <w:spacing w:val="-5"/>
              </w:rPr>
              <w:t>26</w:t>
            </w:r>
          </w:hyperlink>
        </w:p>
        <w:p>
          <w:pPr>
            <w:pStyle w:val="TOC2"/>
            <w:numPr>
              <w:ilvl w:val="1"/>
              <w:numId w:val="4"/>
            </w:numPr>
            <w:tabs>
              <w:tab w:pos="1706" w:val="left" w:leader="none"/>
              <w:tab w:pos="10137" w:val="left" w:leader="dot"/>
            </w:tabs>
            <w:spacing w:line="240" w:lineRule="auto" w:before="109" w:after="0"/>
            <w:ind w:left="1706" w:right="0" w:hanging="352"/>
            <w:jc w:val="left"/>
          </w:pPr>
          <w:hyperlink w:history="true" w:anchor="_bookmark25">
            <w:r>
              <w:rPr/>
              <w:t>Cadrage</w:t>
            </w:r>
            <w:r>
              <w:rPr>
                <w:spacing w:val="-11"/>
              </w:rPr>
              <w:t> </w:t>
            </w:r>
            <w:r>
              <w:rPr/>
              <w:t>macroéconomique</w:t>
            </w:r>
            <w:r>
              <w:rPr>
                <w:spacing w:val="-8"/>
              </w:rPr>
              <w:t> </w:t>
            </w:r>
            <w:r>
              <w:rPr/>
              <w:t>et</w:t>
            </w:r>
            <w:r>
              <w:rPr>
                <w:spacing w:val="-8"/>
              </w:rPr>
              <w:t> </w:t>
            </w:r>
            <w:r>
              <w:rPr>
                <w:spacing w:val="-2"/>
              </w:rPr>
              <w:t>budgétaire</w:t>
            </w:r>
            <w:r>
              <w:rPr/>
              <w:tab/>
            </w:r>
            <w:r>
              <w:rPr>
                <w:spacing w:val="-5"/>
              </w:rPr>
              <w:t>26</w:t>
            </w:r>
          </w:hyperlink>
        </w:p>
        <w:p>
          <w:pPr>
            <w:pStyle w:val="TOC3"/>
            <w:numPr>
              <w:ilvl w:val="2"/>
              <w:numId w:val="4"/>
            </w:numPr>
            <w:tabs>
              <w:tab w:pos="2075" w:val="left" w:leader="none"/>
              <w:tab w:pos="10137" w:val="left" w:leader="dot"/>
            </w:tabs>
            <w:spacing w:line="240" w:lineRule="auto" w:before="120" w:after="0"/>
            <w:ind w:left="2075" w:right="0" w:hanging="503"/>
            <w:jc w:val="left"/>
          </w:pPr>
          <w:hyperlink w:history="true" w:anchor="_bookmark26">
            <w:r>
              <w:rPr/>
              <w:t>Cadrage</w:t>
            </w:r>
            <w:r>
              <w:rPr>
                <w:spacing w:val="-5"/>
              </w:rPr>
              <w:t> </w:t>
            </w:r>
            <w:r>
              <w:rPr>
                <w:spacing w:val="-2"/>
              </w:rPr>
              <w:t>macroéconomique</w:t>
            </w:r>
            <w:r>
              <w:rPr/>
              <w:tab/>
            </w:r>
            <w:r>
              <w:rPr>
                <w:spacing w:val="-5"/>
              </w:rPr>
              <w:t>26</w:t>
            </w:r>
          </w:hyperlink>
        </w:p>
        <w:p>
          <w:pPr>
            <w:pStyle w:val="TOC3"/>
            <w:numPr>
              <w:ilvl w:val="2"/>
              <w:numId w:val="4"/>
            </w:numPr>
            <w:tabs>
              <w:tab w:pos="2075" w:val="left" w:leader="none"/>
              <w:tab w:pos="10137" w:val="left" w:leader="dot"/>
            </w:tabs>
            <w:spacing w:line="240" w:lineRule="auto" w:before="119" w:after="0"/>
            <w:ind w:left="2075" w:right="0" w:hanging="503"/>
            <w:jc w:val="left"/>
          </w:pPr>
          <w:hyperlink w:history="true" w:anchor="_bookmark27">
            <w:r>
              <w:rPr/>
              <w:t>Cadrage</w:t>
            </w:r>
            <w:r>
              <w:rPr>
                <w:spacing w:val="-5"/>
              </w:rPr>
              <w:t> </w:t>
            </w:r>
            <w:r>
              <w:rPr>
                <w:spacing w:val="-2"/>
              </w:rPr>
              <w:t>budgétaire</w:t>
            </w:r>
            <w:r>
              <w:rPr/>
              <w:tab/>
            </w:r>
            <w:r>
              <w:rPr>
                <w:spacing w:val="-5"/>
              </w:rPr>
              <w:t>27</w:t>
            </w:r>
          </w:hyperlink>
        </w:p>
        <w:p>
          <w:pPr>
            <w:pStyle w:val="TOC2"/>
            <w:numPr>
              <w:ilvl w:val="1"/>
              <w:numId w:val="4"/>
            </w:numPr>
            <w:tabs>
              <w:tab w:pos="1706" w:val="left" w:leader="none"/>
              <w:tab w:pos="10137" w:val="left" w:leader="dot"/>
            </w:tabs>
            <w:spacing w:line="240" w:lineRule="auto" w:before="120" w:after="0"/>
            <w:ind w:left="1706" w:right="0" w:hanging="352"/>
            <w:jc w:val="left"/>
          </w:pPr>
          <w:hyperlink w:history="true" w:anchor="_bookmark28">
            <w:r>
              <w:rPr/>
              <w:t>Mise</w:t>
            </w:r>
            <w:r>
              <w:rPr>
                <w:spacing w:val="-4"/>
              </w:rPr>
              <w:t> </w:t>
            </w:r>
            <w:r>
              <w:rPr/>
              <w:t>en</w:t>
            </w:r>
            <w:r>
              <w:rPr>
                <w:spacing w:val="-5"/>
              </w:rPr>
              <w:t> </w:t>
            </w:r>
            <w:r>
              <w:rPr/>
              <w:t>œuvre</w:t>
            </w:r>
            <w:r>
              <w:rPr>
                <w:spacing w:val="-7"/>
              </w:rPr>
              <w:t> </w:t>
            </w:r>
            <w:r>
              <w:rPr/>
              <w:t>et</w:t>
            </w:r>
            <w:r>
              <w:rPr>
                <w:spacing w:val="-3"/>
              </w:rPr>
              <w:t> </w:t>
            </w:r>
            <w:r>
              <w:rPr/>
              <w:t>suivi-évaluation</w:t>
            </w:r>
            <w:r>
              <w:rPr>
                <w:spacing w:val="-4"/>
              </w:rPr>
              <w:t> </w:t>
            </w:r>
            <w:r>
              <w:rPr/>
              <w:t>de</w:t>
            </w:r>
            <w:r>
              <w:rPr>
                <w:spacing w:val="-5"/>
              </w:rPr>
              <w:t> </w:t>
            </w:r>
            <w:r>
              <w:rPr/>
              <w:t>la</w:t>
            </w:r>
            <w:r>
              <w:rPr>
                <w:spacing w:val="-3"/>
              </w:rPr>
              <w:t> </w:t>
            </w:r>
            <w:r>
              <w:rPr>
                <w:spacing w:val="-2"/>
              </w:rPr>
              <w:t>Stratégie</w:t>
            </w:r>
            <w:r>
              <w:rPr/>
              <w:tab/>
            </w:r>
            <w:r>
              <w:rPr>
                <w:spacing w:val="-5"/>
              </w:rPr>
              <w:t>27</w:t>
            </w:r>
          </w:hyperlink>
        </w:p>
        <w:p>
          <w:pPr>
            <w:pStyle w:val="TOC3"/>
            <w:numPr>
              <w:ilvl w:val="2"/>
              <w:numId w:val="4"/>
            </w:numPr>
            <w:tabs>
              <w:tab w:pos="2075" w:val="left" w:leader="none"/>
              <w:tab w:pos="10137" w:val="left" w:leader="dot"/>
            </w:tabs>
            <w:spacing w:line="240" w:lineRule="auto" w:before="119" w:after="0"/>
            <w:ind w:left="2075" w:right="0" w:hanging="503"/>
            <w:jc w:val="left"/>
          </w:pPr>
          <w:hyperlink w:history="true" w:anchor="_bookmark29">
            <w:r>
              <w:rPr/>
              <w:t>Les</w:t>
            </w:r>
            <w:r>
              <w:rPr>
                <w:spacing w:val="-5"/>
              </w:rPr>
              <w:t> </w:t>
            </w:r>
            <w:r>
              <w:rPr/>
              <w:t>Principes</w:t>
            </w:r>
            <w:r>
              <w:rPr>
                <w:spacing w:val="-4"/>
              </w:rPr>
              <w:t> </w:t>
            </w:r>
            <w:r>
              <w:rPr>
                <w:spacing w:val="-2"/>
              </w:rPr>
              <w:t>directeurs</w:t>
            </w:r>
            <w:r>
              <w:rPr/>
              <w:tab/>
            </w:r>
            <w:r>
              <w:rPr>
                <w:spacing w:val="-5"/>
              </w:rPr>
              <w:t>27</w:t>
            </w:r>
          </w:hyperlink>
        </w:p>
        <w:p>
          <w:pPr>
            <w:pStyle w:val="TOC3"/>
            <w:numPr>
              <w:ilvl w:val="2"/>
              <w:numId w:val="4"/>
            </w:numPr>
            <w:tabs>
              <w:tab w:pos="2075" w:val="left" w:leader="none"/>
              <w:tab w:pos="10137" w:val="left" w:leader="dot"/>
            </w:tabs>
            <w:spacing w:line="240" w:lineRule="auto" w:before="120" w:after="0"/>
            <w:ind w:left="2075" w:right="0" w:hanging="503"/>
            <w:jc w:val="left"/>
          </w:pPr>
          <w:hyperlink w:history="true" w:anchor="_bookmark30">
            <w:r>
              <w:rPr/>
              <w:t>Le</w:t>
            </w:r>
            <w:r>
              <w:rPr>
                <w:spacing w:val="-5"/>
              </w:rPr>
              <w:t> </w:t>
            </w:r>
            <w:r>
              <w:rPr/>
              <w:t>dispositif</w:t>
            </w:r>
            <w:r>
              <w:rPr>
                <w:spacing w:val="-3"/>
              </w:rPr>
              <w:t> </w:t>
            </w:r>
            <w:r>
              <w:rPr/>
              <w:t>de</w:t>
            </w:r>
            <w:r>
              <w:rPr>
                <w:spacing w:val="-3"/>
              </w:rPr>
              <w:t> </w:t>
            </w:r>
            <w:r>
              <w:rPr/>
              <w:t>suivi-</w:t>
            </w:r>
            <w:r>
              <w:rPr>
                <w:spacing w:val="-2"/>
              </w:rPr>
              <w:t>évaluation</w:t>
            </w:r>
            <w:r>
              <w:rPr/>
              <w:tab/>
            </w:r>
            <w:r>
              <w:rPr>
                <w:spacing w:val="-5"/>
              </w:rPr>
              <w:t>28</w:t>
            </w:r>
          </w:hyperlink>
        </w:p>
        <w:p>
          <w:pPr>
            <w:pStyle w:val="TOC2"/>
            <w:numPr>
              <w:ilvl w:val="1"/>
              <w:numId w:val="4"/>
            </w:numPr>
            <w:tabs>
              <w:tab w:pos="1706" w:val="left" w:leader="none"/>
              <w:tab w:pos="10137" w:val="left" w:leader="dot"/>
            </w:tabs>
            <w:spacing w:line="240" w:lineRule="auto" w:before="122" w:after="0"/>
            <w:ind w:left="1706" w:right="0" w:hanging="352"/>
            <w:jc w:val="left"/>
          </w:pPr>
          <w:hyperlink w:history="true" w:anchor="_bookmark31">
            <w:r>
              <w:rPr/>
              <w:t>Risques</w:t>
            </w:r>
            <w:r>
              <w:rPr>
                <w:spacing w:val="-4"/>
              </w:rPr>
              <w:t> </w:t>
            </w:r>
            <w:r>
              <w:rPr/>
              <w:t>et</w:t>
            </w:r>
            <w:r>
              <w:rPr>
                <w:spacing w:val="-5"/>
              </w:rPr>
              <w:t> </w:t>
            </w:r>
            <w:r>
              <w:rPr>
                <w:spacing w:val="-2"/>
              </w:rPr>
              <w:t>Menaces</w:t>
            </w:r>
            <w:r>
              <w:rPr/>
              <w:tab/>
            </w:r>
            <w:r>
              <w:rPr>
                <w:spacing w:val="-5"/>
              </w:rPr>
              <w:t>28</w:t>
            </w:r>
          </w:hyperlink>
        </w:p>
        <w:p>
          <w:pPr>
            <w:pStyle w:val="TOC2"/>
            <w:numPr>
              <w:ilvl w:val="2"/>
              <w:numId w:val="4"/>
            </w:numPr>
            <w:tabs>
              <w:tab w:pos="1907" w:val="left" w:leader="none"/>
              <w:tab w:pos="10137" w:val="left" w:leader="dot"/>
            </w:tabs>
            <w:spacing w:line="240" w:lineRule="auto" w:before="119" w:after="0"/>
            <w:ind w:left="1907" w:right="0" w:hanging="553"/>
            <w:jc w:val="left"/>
          </w:pPr>
          <w:hyperlink w:history="true" w:anchor="_bookmark32">
            <w:r>
              <w:rPr/>
              <w:t>Au</w:t>
            </w:r>
            <w:r>
              <w:rPr>
                <w:spacing w:val="-4"/>
              </w:rPr>
              <w:t> </w:t>
            </w:r>
            <w:r>
              <w:rPr/>
              <w:t>niveau</w:t>
            </w:r>
            <w:r>
              <w:rPr>
                <w:spacing w:val="-3"/>
              </w:rPr>
              <w:t> </w:t>
            </w:r>
            <w:r>
              <w:rPr>
                <w:spacing w:val="-2"/>
              </w:rPr>
              <w:t>national</w:t>
            </w:r>
            <w:r>
              <w:rPr/>
              <w:tab/>
            </w:r>
            <w:r>
              <w:rPr>
                <w:spacing w:val="-5"/>
              </w:rPr>
              <w:t>28</w:t>
            </w:r>
          </w:hyperlink>
        </w:p>
        <w:p>
          <w:pPr>
            <w:pStyle w:val="TOC2"/>
            <w:numPr>
              <w:ilvl w:val="2"/>
              <w:numId w:val="4"/>
            </w:numPr>
            <w:tabs>
              <w:tab w:pos="1907" w:val="left" w:leader="none"/>
              <w:tab w:pos="10137" w:val="left" w:leader="dot"/>
            </w:tabs>
            <w:spacing w:line="240" w:lineRule="auto" w:before="120" w:after="0"/>
            <w:ind w:left="1907" w:right="0" w:hanging="553"/>
            <w:jc w:val="left"/>
          </w:pPr>
          <w:hyperlink w:history="true" w:anchor="_bookmark33">
            <w:r>
              <w:rPr/>
              <w:t>Au</w:t>
            </w:r>
            <w:r>
              <w:rPr>
                <w:spacing w:val="-4"/>
              </w:rPr>
              <w:t> </w:t>
            </w:r>
            <w:r>
              <w:rPr/>
              <w:t>niveau</w:t>
            </w:r>
            <w:r>
              <w:rPr>
                <w:spacing w:val="-3"/>
              </w:rPr>
              <w:t> </w:t>
            </w:r>
            <w:r>
              <w:rPr>
                <w:spacing w:val="-2"/>
              </w:rPr>
              <w:t>international</w:t>
            </w:r>
            <w:r>
              <w:rPr/>
              <w:tab/>
            </w:r>
            <w:r>
              <w:rPr>
                <w:spacing w:val="-5"/>
              </w:rPr>
              <w:t>29</w:t>
            </w:r>
          </w:hyperlink>
        </w:p>
        <w:p>
          <w:pPr>
            <w:pStyle w:val="TOC1"/>
            <w:numPr>
              <w:ilvl w:val="0"/>
              <w:numId w:val="1"/>
            </w:numPr>
            <w:tabs>
              <w:tab w:pos="1403" w:val="left" w:leader="none"/>
              <w:tab w:pos="10137" w:val="left" w:leader="dot"/>
            </w:tabs>
            <w:spacing w:line="240" w:lineRule="auto" w:before="120" w:after="0"/>
            <w:ind w:left="1403" w:right="0" w:hanging="270"/>
            <w:jc w:val="left"/>
          </w:pPr>
          <w:hyperlink w:history="true" w:anchor="_bookmark34">
            <w:r>
              <w:rPr/>
              <w:t>LES</w:t>
            </w:r>
            <w:r>
              <w:rPr>
                <w:spacing w:val="-9"/>
              </w:rPr>
              <w:t> </w:t>
            </w:r>
            <w:r>
              <w:rPr/>
              <w:t>PROJETS</w:t>
            </w:r>
            <w:r>
              <w:rPr>
                <w:spacing w:val="-7"/>
              </w:rPr>
              <w:t> </w:t>
            </w:r>
            <w:r>
              <w:rPr/>
              <w:t>STRUCTURANTS,</w:t>
            </w:r>
            <w:r>
              <w:rPr>
                <w:spacing w:val="-6"/>
              </w:rPr>
              <w:t> </w:t>
            </w:r>
            <w:r>
              <w:rPr/>
              <w:t>FEDERATEURS</w:t>
            </w:r>
            <w:r>
              <w:rPr>
                <w:spacing w:val="-7"/>
              </w:rPr>
              <w:t> </w:t>
            </w:r>
            <w:r>
              <w:rPr/>
              <w:t>ET</w:t>
            </w:r>
            <w:r>
              <w:rPr>
                <w:spacing w:val="-6"/>
              </w:rPr>
              <w:t> </w:t>
            </w:r>
            <w:r>
              <w:rPr>
                <w:spacing w:val="-2"/>
              </w:rPr>
              <w:t>INTEGRATEURS</w:t>
            </w:r>
            <w:r>
              <w:rPr/>
              <w:tab/>
            </w:r>
            <w:r>
              <w:rPr>
                <w:spacing w:val="-5"/>
              </w:rPr>
              <w:t>30</w:t>
            </w:r>
          </w:hyperlink>
        </w:p>
        <w:p>
          <w:pPr>
            <w:pStyle w:val="TOC1"/>
            <w:numPr>
              <w:ilvl w:val="0"/>
              <w:numId w:val="1"/>
            </w:numPr>
            <w:tabs>
              <w:tab w:pos="1353" w:val="left" w:leader="none"/>
              <w:tab w:pos="10137" w:val="left" w:leader="dot"/>
            </w:tabs>
            <w:spacing w:line="240" w:lineRule="auto" w:before="119" w:after="20"/>
            <w:ind w:left="1353" w:right="0" w:hanging="220"/>
            <w:jc w:val="left"/>
          </w:pPr>
          <w:hyperlink w:history="true" w:anchor="_bookmark35">
            <w:r>
              <w:rPr/>
              <w:t>LES</w:t>
            </w:r>
            <w:r>
              <w:rPr>
                <w:spacing w:val="-8"/>
              </w:rPr>
              <w:t> </w:t>
            </w:r>
            <w:r>
              <w:rPr/>
              <w:t>SUPPORTS</w:t>
            </w:r>
            <w:r>
              <w:rPr>
                <w:spacing w:val="-6"/>
              </w:rPr>
              <w:t> </w:t>
            </w:r>
            <w:r>
              <w:rPr/>
              <w:t>CARTOGRAPHIQUES</w:t>
            </w:r>
            <w:r>
              <w:rPr>
                <w:spacing w:val="-6"/>
              </w:rPr>
              <w:t> </w:t>
            </w:r>
            <w:r>
              <w:rPr/>
              <w:t>ET</w:t>
            </w:r>
            <w:r>
              <w:rPr>
                <w:spacing w:val="-5"/>
              </w:rPr>
              <w:t> </w:t>
            </w:r>
            <w:r>
              <w:rPr/>
              <w:t>DE</w:t>
            </w:r>
            <w:r>
              <w:rPr>
                <w:spacing w:val="-6"/>
              </w:rPr>
              <w:t> </w:t>
            </w:r>
            <w:r>
              <w:rPr>
                <w:spacing w:val="-2"/>
              </w:rPr>
              <w:t>COMMUNICATION</w:t>
            </w:r>
            <w:r>
              <w:rPr/>
              <w:tab/>
            </w:r>
            <w:r>
              <w:rPr>
                <w:spacing w:val="-5"/>
              </w:rPr>
              <w:t>35</w:t>
            </w:r>
          </w:hyperlink>
        </w:p>
        <w:p>
          <w:pPr>
            <w:pStyle w:val="TOC2"/>
            <w:numPr>
              <w:ilvl w:val="1"/>
              <w:numId w:val="5"/>
            </w:numPr>
            <w:tabs>
              <w:tab w:pos="1706" w:val="left" w:leader="none"/>
              <w:tab w:pos="10338" w:val="right" w:leader="dot"/>
            </w:tabs>
            <w:spacing w:line="240" w:lineRule="auto" w:before="79" w:after="0"/>
            <w:ind w:left="1706" w:right="0" w:hanging="352"/>
            <w:jc w:val="left"/>
          </w:pPr>
          <w:hyperlink w:history="true" w:anchor="_bookmark36">
            <w:r>
              <w:rPr/>
              <w:t>Les</w:t>
            </w:r>
            <w:r>
              <w:rPr>
                <w:spacing w:val="-4"/>
              </w:rPr>
              <w:t> </w:t>
            </w:r>
            <w:r>
              <w:rPr/>
              <w:t>Supports</w:t>
            </w:r>
            <w:r>
              <w:rPr>
                <w:spacing w:val="-2"/>
              </w:rPr>
              <w:t> cartographiques</w:t>
            </w:r>
            <w:r>
              <w:rPr/>
              <w:tab/>
            </w:r>
            <w:r>
              <w:rPr>
                <w:spacing w:val="-5"/>
              </w:rPr>
              <w:t>35</w:t>
            </w:r>
          </w:hyperlink>
        </w:p>
        <w:p>
          <w:pPr>
            <w:pStyle w:val="TOC3"/>
            <w:numPr>
              <w:ilvl w:val="2"/>
              <w:numId w:val="5"/>
            </w:numPr>
            <w:tabs>
              <w:tab w:pos="2075" w:val="left" w:leader="none"/>
              <w:tab w:pos="10338" w:val="right" w:leader="dot"/>
            </w:tabs>
            <w:spacing w:line="240" w:lineRule="auto" w:before="122" w:after="0"/>
            <w:ind w:left="2075" w:right="0" w:hanging="503"/>
            <w:jc w:val="left"/>
          </w:pPr>
          <w:hyperlink w:history="true" w:anchor="_bookmark37">
            <w:r>
              <w:rPr/>
              <w:t>Les</w:t>
            </w:r>
            <w:r>
              <w:rPr>
                <w:spacing w:val="-3"/>
              </w:rPr>
              <w:t> </w:t>
            </w:r>
            <w:r>
              <w:rPr/>
              <w:t>cartes</w:t>
            </w:r>
            <w:r>
              <w:rPr>
                <w:spacing w:val="-2"/>
              </w:rPr>
              <w:t> </w:t>
            </w:r>
            <w:r>
              <w:rPr/>
              <w:t>d’état</w:t>
            </w:r>
            <w:r>
              <w:rPr>
                <w:spacing w:val="-4"/>
              </w:rPr>
              <w:t> </w:t>
            </w:r>
            <w:r>
              <w:rPr/>
              <w:t>des</w:t>
            </w:r>
            <w:r>
              <w:rPr>
                <w:spacing w:val="-3"/>
              </w:rPr>
              <w:t> </w:t>
            </w:r>
            <w:r>
              <w:rPr>
                <w:spacing w:val="-2"/>
              </w:rPr>
              <w:t>lieux</w:t>
            </w:r>
            <w:r>
              <w:rPr>
                <w:rFonts w:ascii="Times New Roman" w:hAnsi="Times New Roman"/>
              </w:rPr>
              <w:tab/>
            </w:r>
            <w:r>
              <w:rPr>
                <w:spacing w:val="-5"/>
              </w:rPr>
              <w:t>35</w:t>
            </w:r>
          </w:hyperlink>
        </w:p>
        <w:p>
          <w:pPr>
            <w:pStyle w:val="TOC3"/>
            <w:numPr>
              <w:ilvl w:val="2"/>
              <w:numId w:val="5"/>
            </w:numPr>
            <w:tabs>
              <w:tab w:pos="2175" w:val="left" w:leader="none"/>
              <w:tab w:pos="10338" w:val="right" w:leader="dot"/>
            </w:tabs>
            <w:spacing w:line="240" w:lineRule="auto" w:before="119" w:after="0"/>
            <w:ind w:left="2175" w:right="0" w:hanging="603"/>
            <w:jc w:val="left"/>
          </w:pPr>
          <w:hyperlink w:history="true" w:anchor="_bookmark38">
            <w:r>
              <w:rPr/>
              <w:t>Cartes</w:t>
            </w:r>
            <w:r>
              <w:rPr>
                <w:spacing w:val="-5"/>
              </w:rPr>
              <w:t> </w:t>
            </w:r>
            <w:r>
              <w:rPr>
                <w:spacing w:val="-2"/>
              </w:rPr>
              <w:t>prospectives</w:t>
            </w:r>
            <w:r>
              <w:rPr/>
              <w:tab/>
            </w:r>
            <w:r>
              <w:rPr>
                <w:spacing w:val="-5"/>
              </w:rPr>
              <w:t>35</w:t>
            </w:r>
          </w:hyperlink>
        </w:p>
        <w:p>
          <w:pPr>
            <w:pStyle w:val="TOC3"/>
            <w:numPr>
              <w:ilvl w:val="2"/>
              <w:numId w:val="5"/>
            </w:numPr>
            <w:tabs>
              <w:tab w:pos="2175" w:val="left" w:leader="none"/>
              <w:tab w:pos="10338" w:val="right" w:leader="dot"/>
            </w:tabs>
            <w:spacing w:line="240" w:lineRule="auto" w:before="120" w:after="0"/>
            <w:ind w:left="2175" w:right="0" w:hanging="603"/>
            <w:jc w:val="left"/>
          </w:pPr>
          <w:hyperlink w:history="true" w:anchor="_bookmark39">
            <w:r>
              <w:rPr/>
              <w:t>L’Atlas</w:t>
            </w:r>
            <w:r>
              <w:rPr>
                <w:spacing w:val="-6"/>
              </w:rPr>
              <w:t> </w:t>
            </w:r>
            <w:r>
              <w:rPr>
                <w:spacing w:val="-2"/>
              </w:rPr>
              <w:t>économique</w:t>
            </w:r>
            <w:r>
              <w:rPr>
                <w:rFonts w:ascii="Times New Roman" w:hAnsi="Times New Roman"/>
              </w:rPr>
              <w:tab/>
            </w:r>
            <w:r>
              <w:rPr>
                <w:spacing w:val="-5"/>
              </w:rPr>
              <w:t>35</w:t>
            </w:r>
          </w:hyperlink>
        </w:p>
        <w:p>
          <w:pPr>
            <w:pStyle w:val="TOC2"/>
            <w:numPr>
              <w:ilvl w:val="1"/>
              <w:numId w:val="5"/>
            </w:numPr>
            <w:tabs>
              <w:tab w:pos="1706" w:val="left" w:leader="none"/>
              <w:tab w:pos="10338" w:val="right" w:leader="dot"/>
            </w:tabs>
            <w:spacing w:line="240" w:lineRule="auto" w:before="120" w:after="0"/>
            <w:ind w:left="1706" w:right="0" w:hanging="352"/>
            <w:jc w:val="left"/>
          </w:pPr>
          <w:hyperlink w:history="true" w:anchor="_bookmark40">
            <w:r>
              <w:rPr/>
              <w:t>La</w:t>
            </w:r>
            <w:r>
              <w:rPr>
                <w:spacing w:val="-4"/>
              </w:rPr>
              <w:t> </w:t>
            </w:r>
            <w:r>
              <w:rPr/>
              <w:t>stratégie</w:t>
            </w:r>
            <w:r>
              <w:rPr>
                <w:spacing w:val="-1"/>
              </w:rPr>
              <w:t> </w:t>
            </w:r>
            <w:r>
              <w:rPr/>
              <w:t>de</w:t>
            </w:r>
            <w:r>
              <w:rPr>
                <w:spacing w:val="-3"/>
              </w:rPr>
              <w:t> </w:t>
            </w:r>
            <w:r>
              <w:rPr>
                <w:spacing w:val="-2"/>
              </w:rPr>
              <w:t>communication</w:t>
            </w:r>
            <w:r>
              <w:rPr/>
              <w:tab/>
            </w:r>
            <w:r>
              <w:rPr>
                <w:spacing w:val="-7"/>
              </w:rPr>
              <w:t>36</w:t>
            </w:r>
          </w:hyperlink>
        </w:p>
      </w:sdtContent>
    </w:sdt>
    <w:p>
      <w:pPr>
        <w:pStyle w:val="TOC2"/>
        <w:spacing w:after="0" w:line="240" w:lineRule="auto"/>
        <w:jc w:val="left"/>
        <w:sectPr>
          <w:type w:val="continuous"/>
          <w:pgSz w:w="11910" w:h="16840"/>
          <w:pgMar w:header="0" w:footer="1280" w:top="1338" w:bottom="1587" w:left="283" w:right="141"/>
        </w:sectPr>
      </w:pPr>
    </w:p>
    <w:p>
      <w:pPr>
        <w:pStyle w:val="Heading1"/>
        <w:spacing w:before="77"/>
      </w:pPr>
      <w:bookmarkStart w:name="_bookmark0" w:id="1"/>
      <w:bookmarkEnd w:id="1"/>
      <w:r>
        <w:rPr>
          <w:b w:val="0"/>
        </w:rPr>
      </w:r>
      <w:r>
        <w:rPr>
          <w:spacing w:val="-2"/>
        </w:rPr>
        <w:t>PREAMBULE</w:t>
      </w:r>
    </w:p>
    <w:p>
      <w:pPr>
        <w:pStyle w:val="ListParagraph"/>
        <w:numPr>
          <w:ilvl w:val="1"/>
          <w:numId w:val="1"/>
        </w:numPr>
        <w:tabs>
          <w:tab w:pos="1489" w:val="left" w:leader="none"/>
          <w:tab w:pos="1491" w:val="left" w:leader="none"/>
        </w:tabs>
        <w:spacing w:line="240" w:lineRule="auto" w:before="122" w:after="0"/>
        <w:ind w:left="1491" w:right="1127" w:hanging="358"/>
        <w:jc w:val="both"/>
        <w:rPr>
          <w:sz w:val="24"/>
        </w:rPr>
      </w:pPr>
      <w:r>
        <w:rPr>
          <w:sz w:val="24"/>
        </w:rPr>
        <w:t>Suivant les hautes orientations et la vision du Président de la Transition, Chef de l’Etat, le Général d’Armée Assimi GOÏTA, le Ministère de l’Economie et des Finances a lancé l’élaboration de la nouvelle vision de développement du Mali. Cette vision a été</w:t>
      </w:r>
      <w:r>
        <w:rPr>
          <w:spacing w:val="40"/>
          <w:sz w:val="24"/>
        </w:rPr>
        <w:t> </w:t>
      </w:r>
      <w:r>
        <w:rPr>
          <w:sz w:val="24"/>
        </w:rPr>
        <w:t>précédée d’un diagnostic sans complaisance de la situation globale du pays et a tiré le meilleur parti des évaluations et des leçons apprises de la mise en œuvre du Cadre Stratégique pour la Relance Economique et le Développement Durable (CREDD 2019-2023), de l’Etude Nationale Prospective Mali 2025 et de toutes les initiatives pertinentes, notamment l’exploitation du 5</w:t>
      </w:r>
      <w:r>
        <w:rPr>
          <w:position w:val="6"/>
          <w:sz w:val="16"/>
        </w:rPr>
        <w:t>ème</w:t>
      </w:r>
      <w:r>
        <w:rPr>
          <w:spacing w:val="40"/>
          <w:position w:val="6"/>
          <w:sz w:val="16"/>
        </w:rPr>
        <w:t> </w:t>
      </w:r>
      <w:r>
        <w:rPr>
          <w:sz w:val="24"/>
        </w:rPr>
        <w:t>Recensement Général de la Population et de l’Habitat (RGPH5), du Recensement Général des Unités Economiques (RGUE) et les multiples stratégies sectorielles susceptibles de contribuer à nos réflexions pour bâtir une</w:t>
      </w:r>
      <w:r>
        <w:rPr>
          <w:spacing w:val="80"/>
          <w:sz w:val="24"/>
        </w:rPr>
        <w:t> </w:t>
      </w:r>
      <w:r>
        <w:rPr>
          <w:sz w:val="24"/>
        </w:rPr>
        <w:t>nouvelle trajectoire de développement inclusif et durable pour le Mali.</w:t>
      </w:r>
    </w:p>
    <w:p>
      <w:pPr>
        <w:pStyle w:val="ListParagraph"/>
        <w:numPr>
          <w:ilvl w:val="1"/>
          <w:numId w:val="1"/>
        </w:numPr>
        <w:tabs>
          <w:tab w:pos="1489" w:val="left" w:leader="none"/>
          <w:tab w:pos="1491" w:val="left" w:leader="none"/>
        </w:tabs>
        <w:spacing w:line="240" w:lineRule="auto" w:before="119" w:after="0"/>
        <w:ind w:left="1491" w:right="1129" w:hanging="358"/>
        <w:jc w:val="both"/>
        <w:rPr>
          <w:sz w:val="24"/>
        </w:rPr>
      </w:pPr>
      <w:r>
        <w:rPr>
          <w:sz w:val="24"/>
        </w:rPr>
        <w:t>A l’issue du processus, les documents ci-après ont été élaborés : (i) le Diagnostic Stratégique ; (ii) le Rapport prospectif « Mali Kura </w:t>
      </w:r>
      <w:r>
        <w:rPr>
          <w:rFonts w:ascii="Arial" w:hAnsi="Arial"/>
          <w:sz w:val="24"/>
        </w:rPr>
        <w:t>ɲɛ</w:t>
      </w:r>
      <w:r>
        <w:rPr>
          <w:sz w:val="24"/>
        </w:rPr>
        <w:t>taasira ka b</w:t>
      </w:r>
      <w:r>
        <w:rPr>
          <w:rFonts w:ascii="Arial" w:hAnsi="Arial"/>
          <w:sz w:val="24"/>
        </w:rPr>
        <w:t>ɛ</w:t>
      </w:r>
      <w:r>
        <w:rPr>
          <w:sz w:val="24"/>
        </w:rPr>
        <w:t>n san 2063 ma »</w:t>
      </w:r>
      <w:r>
        <w:rPr>
          <w:spacing w:val="-2"/>
          <w:sz w:val="24"/>
        </w:rPr>
        <w:t> </w:t>
      </w:r>
      <w:r>
        <w:rPr>
          <w:sz w:val="24"/>
        </w:rPr>
        <w:t>; (iii) la Stratégie Nationale pour l’Emergence et le Développement Durable (SNEDD 2024-2033)</w:t>
      </w:r>
      <w:r>
        <w:rPr>
          <w:spacing w:val="-3"/>
          <w:sz w:val="24"/>
        </w:rPr>
        <w:t> </w:t>
      </w:r>
      <w:r>
        <w:rPr>
          <w:sz w:val="24"/>
        </w:rPr>
        <w:t>; (iv) le Document des projets structurants ; (v) les Cartes prospectives et l’Atlas économique et (vi) la Stratégie de communication.</w:t>
      </w:r>
    </w:p>
    <w:p>
      <w:pPr>
        <w:pStyle w:val="ListParagraph"/>
        <w:numPr>
          <w:ilvl w:val="1"/>
          <w:numId w:val="1"/>
        </w:numPr>
        <w:tabs>
          <w:tab w:pos="1489" w:val="left" w:leader="none"/>
          <w:tab w:pos="1491" w:val="left" w:leader="none"/>
        </w:tabs>
        <w:spacing w:line="240" w:lineRule="auto" w:before="122" w:after="0"/>
        <w:ind w:left="1491" w:right="1127" w:hanging="358"/>
        <w:jc w:val="both"/>
        <w:rPr>
          <w:sz w:val="24"/>
        </w:rPr>
      </w:pPr>
      <w:r>
        <w:rPr>
          <w:sz w:val="24"/>
        </w:rPr>
        <w:t>La réussite de la mise en œuvre de la Vision «</w:t>
      </w:r>
      <w:r>
        <w:rPr>
          <w:spacing w:val="-1"/>
          <w:sz w:val="24"/>
        </w:rPr>
        <w:t> </w:t>
      </w:r>
      <w:r>
        <w:rPr>
          <w:sz w:val="24"/>
        </w:rPr>
        <w:t>Mali Kura </w:t>
      </w:r>
      <w:r>
        <w:rPr>
          <w:rFonts w:ascii="Arial" w:hAnsi="Arial"/>
          <w:sz w:val="24"/>
        </w:rPr>
        <w:t>ɲɛ</w:t>
      </w:r>
      <w:r>
        <w:rPr>
          <w:sz w:val="24"/>
        </w:rPr>
        <w:t>taasira ka b</w:t>
      </w:r>
      <w:r>
        <w:rPr>
          <w:rFonts w:ascii="Arial" w:hAnsi="Arial"/>
          <w:sz w:val="24"/>
        </w:rPr>
        <w:t>ɛ</w:t>
      </w:r>
      <w:r>
        <w:rPr>
          <w:sz w:val="24"/>
        </w:rPr>
        <w:t>n san 2063 ma » est tributaire de certains facteurs. Il s’agit notamment du portage politique de la vision, de l’affirmation du rôle de l’Etat, des ressources humaines ou du nouveau malien, du financement de la stratégie.</w:t>
      </w:r>
    </w:p>
    <w:p>
      <w:pPr>
        <w:pStyle w:val="ListParagraph"/>
        <w:numPr>
          <w:ilvl w:val="1"/>
          <w:numId w:val="1"/>
        </w:numPr>
        <w:tabs>
          <w:tab w:pos="1489" w:val="left" w:leader="none"/>
          <w:tab w:pos="1491" w:val="left" w:leader="none"/>
        </w:tabs>
        <w:spacing w:line="240" w:lineRule="auto" w:before="119" w:after="0"/>
        <w:ind w:left="1491" w:right="1128" w:hanging="358"/>
        <w:jc w:val="both"/>
        <w:rPr>
          <w:sz w:val="24"/>
        </w:rPr>
      </w:pPr>
      <w:r>
        <w:rPr>
          <w:sz w:val="24"/>
        </w:rPr>
        <w:t>Le portage politique est une condition sine qua non pour garantir la bonne mise en œuvre de la</w:t>
      </w:r>
      <w:r>
        <w:rPr>
          <w:spacing w:val="40"/>
          <w:sz w:val="24"/>
        </w:rPr>
        <w:t> </w:t>
      </w:r>
      <w:r>
        <w:rPr>
          <w:sz w:val="24"/>
        </w:rPr>
        <w:t>Vision Mali 2063. Ce portage politique devrait se faire par les plus hautes Autorités politiques et hiérarchiques du pays qui ont donné le ton avec le parrainage du lancement des travaux par le message du Président de la Transition et le discours d’ouverture du Premier ministre. C’est le lieu de signaler que l’une des principales causes de l’échec de l’Etude prospective Mali 2025, est l’insuffisance ou le manque de portage politique.</w:t>
      </w:r>
    </w:p>
    <w:p>
      <w:pPr>
        <w:pStyle w:val="ListParagraph"/>
        <w:numPr>
          <w:ilvl w:val="1"/>
          <w:numId w:val="1"/>
        </w:numPr>
        <w:tabs>
          <w:tab w:pos="1489" w:val="left" w:leader="none"/>
          <w:tab w:pos="1491" w:val="left" w:leader="none"/>
        </w:tabs>
        <w:spacing w:line="240" w:lineRule="auto" w:before="121" w:after="0"/>
        <w:ind w:left="1491" w:right="1129" w:hanging="358"/>
        <w:jc w:val="both"/>
        <w:rPr>
          <w:sz w:val="24"/>
        </w:rPr>
      </w:pPr>
      <w:r>
        <w:rPr>
          <w:sz w:val="24"/>
        </w:rPr>
        <w:t>L’élaboration et la mise en œuvre de la Vision Mali Kura </w:t>
      </w:r>
      <w:r>
        <w:rPr>
          <w:rFonts w:ascii="Arial" w:hAnsi="Arial"/>
          <w:sz w:val="24"/>
        </w:rPr>
        <w:t>ɲɛ</w:t>
      </w:r>
      <w:r>
        <w:rPr>
          <w:sz w:val="24"/>
        </w:rPr>
        <w:t>taasira ka b</w:t>
      </w:r>
      <w:r>
        <w:rPr>
          <w:rFonts w:ascii="Arial" w:hAnsi="Arial"/>
          <w:sz w:val="24"/>
        </w:rPr>
        <w:t>ɛ</w:t>
      </w:r>
      <w:r>
        <w:rPr>
          <w:sz w:val="24"/>
        </w:rPr>
        <w:t>n san 2063 ma appellent à nous interroger sur le rôle de l’Etat en tirant les leçons des différentes expériences de gestion de l’Economie et de la planification du développement. L’Etat doit rester un acteur économique important. Dans cette optique, les secteurs stratégiques doivent être animés ou contrôlés par l’Etat.</w:t>
      </w:r>
    </w:p>
    <w:p>
      <w:pPr>
        <w:pStyle w:val="ListParagraph"/>
        <w:numPr>
          <w:ilvl w:val="1"/>
          <w:numId w:val="1"/>
        </w:numPr>
        <w:tabs>
          <w:tab w:pos="1489" w:val="left" w:leader="none"/>
          <w:tab w:pos="1491" w:val="left" w:leader="none"/>
        </w:tabs>
        <w:spacing w:line="240" w:lineRule="auto" w:before="120" w:after="0"/>
        <w:ind w:left="1491" w:right="1124" w:hanging="358"/>
        <w:jc w:val="both"/>
        <w:rPr>
          <w:sz w:val="24"/>
        </w:rPr>
      </w:pPr>
      <w:r>
        <w:rPr>
          <w:sz w:val="24"/>
        </w:rPr>
        <w:t>L’Etat doit assurer sa souveraineté sur plusieurs secteurs stratégiques. Il s’agit notamment d’assurer la souveraineté sur les plans sécuritaire, éducatif, alimentaire, énergétique, numérique, sanitaire et pharmaceutique. Ceci passe par un Etat fort, solide et économiquement souverain. Un Etat qui joue son rôle majeur de développement dans la production, la distribution, et la régulation des secteurs stratégiques sur le plan géopolitique, économique et social. Ce renforcement du rôle de l’Etat doit entrainer un développement endogène qui renforce le climat des affaires et favorise</w:t>
      </w:r>
      <w:r>
        <w:rPr>
          <w:spacing w:val="40"/>
          <w:sz w:val="24"/>
        </w:rPr>
        <w:t> </w:t>
      </w:r>
      <w:r>
        <w:rPr>
          <w:sz w:val="24"/>
        </w:rPr>
        <w:t>l’épanouissement du secteur privé malien dans les secteurs productifs. Ce qui permet d’assoir une souveraineté économique,</w:t>
      </w:r>
      <w:r>
        <w:rPr>
          <w:spacing w:val="40"/>
          <w:sz w:val="24"/>
        </w:rPr>
        <w:t> </w:t>
      </w:r>
      <w:r>
        <w:rPr>
          <w:sz w:val="24"/>
        </w:rPr>
        <w:t>de booster l’économie et de générer les ressources suffisantes pour financer les ambitions de développement et d’émergence du Mali.</w:t>
      </w:r>
    </w:p>
    <w:p>
      <w:pPr>
        <w:pStyle w:val="ListParagraph"/>
        <w:numPr>
          <w:ilvl w:val="1"/>
          <w:numId w:val="1"/>
        </w:numPr>
        <w:tabs>
          <w:tab w:pos="1489" w:val="left" w:leader="none"/>
          <w:tab w:pos="1491" w:val="left" w:leader="none"/>
        </w:tabs>
        <w:spacing w:line="240" w:lineRule="auto" w:before="121" w:after="0"/>
        <w:ind w:left="1491" w:right="1128" w:hanging="358"/>
        <w:jc w:val="both"/>
        <w:rPr>
          <w:sz w:val="24"/>
        </w:rPr>
      </w:pPr>
      <w:r>
        <w:rPr>
          <w:sz w:val="24"/>
        </w:rPr>
        <w:t>La vision se fonde aussi sur un nouvel Homme malien (Maliden kura). Il s’agit d’un citoyen responsable, patriote et respectueux des valeurs, travailleur consciencieux et ouvert d’esprit, qui œuvre pour la souveraineté et le bien-être de tous. Le Maliden kura vise la formation et le façonnage de l’individu (civisme, savoir</w:t>
      </w:r>
      <w:r>
        <w:rPr>
          <w:spacing w:val="-1"/>
          <w:sz w:val="24"/>
        </w:rPr>
        <w:t> </w:t>
      </w:r>
      <w:r>
        <w:rPr>
          <w:sz w:val="24"/>
        </w:rPr>
        <w:t>être et savoir-faire) en vue</w:t>
      </w:r>
      <w:r>
        <w:rPr>
          <w:spacing w:val="-1"/>
          <w:sz w:val="24"/>
        </w:rPr>
        <w:t> </w:t>
      </w:r>
      <w:r>
        <w:rPr>
          <w:sz w:val="24"/>
        </w:rPr>
        <w:t>de parvenir</w:t>
      </w:r>
      <w:r>
        <w:rPr>
          <w:spacing w:val="-1"/>
          <w:sz w:val="24"/>
        </w:rPr>
        <w:t> </w:t>
      </w:r>
      <w:r>
        <w:rPr>
          <w:sz w:val="24"/>
        </w:rPr>
        <w:t>à une nouvelle structuration de la société "vertueuse"</w:t>
      </w:r>
      <w:r>
        <w:rPr>
          <w:spacing w:val="-1"/>
          <w:sz w:val="24"/>
        </w:rPr>
        <w:t> </w:t>
      </w:r>
      <w:r>
        <w:rPr>
          <w:sz w:val="24"/>
        </w:rPr>
        <w:t>par la transformation sociale, le changement de comportement et l’avènement du Mali kura. Cette vision cadre avec celle du Programme National d’Education aux Valeurs qui requiert une mutualisation des actions en faveur de la construction citoyenne. Cela passe par la maitrise des programmes de formations (éducations aux valeurs, à la morale, à la citoyenneté, développement</w:t>
      </w:r>
      <w:r>
        <w:rPr>
          <w:spacing w:val="40"/>
          <w:sz w:val="24"/>
        </w:rPr>
        <w:t> </w:t>
      </w:r>
      <w:r>
        <w:rPr>
          <w:sz w:val="24"/>
        </w:rPr>
        <w:t>des services et des technologies), des activités culturelles, artistiques et sportives (conte, chant, théâtre, cinéma).</w:t>
      </w:r>
    </w:p>
    <w:p>
      <w:pPr>
        <w:pStyle w:val="ListParagraph"/>
        <w:spacing w:after="0" w:line="240" w:lineRule="auto"/>
        <w:jc w:val="both"/>
        <w:rPr>
          <w:sz w:val="24"/>
        </w:rPr>
        <w:sectPr>
          <w:footerReference w:type="default" r:id="rId7"/>
          <w:pgSz w:w="11910" w:h="16840"/>
          <w:pgMar w:header="0" w:footer="680" w:top="1320" w:bottom="960" w:left="283" w:right="141"/>
        </w:sectPr>
      </w:pPr>
    </w:p>
    <w:p>
      <w:pPr>
        <w:pStyle w:val="ListParagraph"/>
        <w:numPr>
          <w:ilvl w:val="1"/>
          <w:numId w:val="1"/>
        </w:numPr>
        <w:tabs>
          <w:tab w:pos="1491" w:val="left" w:leader="none"/>
          <w:tab w:pos="1493" w:val="left" w:leader="none"/>
        </w:tabs>
        <w:spacing w:line="240" w:lineRule="auto" w:before="78" w:after="0"/>
        <w:ind w:left="1493" w:right="1129" w:hanging="360"/>
        <w:jc w:val="both"/>
        <w:rPr>
          <w:sz w:val="24"/>
        </w:rPr>
      </w:pPr>
      <w:r>
        <w:rPr>
          <w:sz w:val="24"/>
        </w:rPr>
        <w:t>La question du financement reste également un important facteur pour l’atteinte des objectifs de la Vision. L’environnement international est marqué par un durcissement des conditions des financements et une rareté des financements concessionnels des bailleurs de fonds multilatéraux et le diktat des pays développés.</w:t>
      </w:r>
      <w:r>
        <w:rPr>
          <w:spacing w:val="40"/>
          <w:sz w:val="24"/>
        </w:rPr>
        <w:t> </w:t>
      </w:r>
      <w:r>
        <w:rPr>
          <w:sz w:val="24"/>
        </w:rPr>
        <w:t>Dans ce contexte, la stratégie de financement de la Vision Mali 2063 est basée sur la mobilisation des ressources internes. Ainsi, le Gouvernement a déjà réalisé les réformes nécessaires permettant d’assurer ce financement. Au-delà d’une population jeune et dynamique, le Mali bénéficie des ressources immenses en soleil, en eau, en terre agricole, en bétail et en ressources minérales. Une place importante est réservée à la bonne gouvernance, une meilleure distribution de la justice, socle d’un développement social harmonieux.</w:t>
      </w:r>
    </w:p>
    <w:p>
      <w:pPr>
        <w:pStyle w:val="ListParagraph"/>
        <w:numPr>
          <w:ilvl w:val="1"/>
          <w:numId w:val="1"/>
        </w:numPr>
        <w:tabs>
          <w:tab w:pos="1491" w:val="left" w:leader="none"/>
          <w:tab w:pos="1493" w:val="left" w:leader="none"/>
        </w:tabs>
        <w:spacing w:line="240" w:lineRule="auto" w:before="196" w:after="0"/>
        <w:ind w:left="1493" w:right="1127" w:hanging="360"/>
        <w:jc w:val="both"/>
        <w:rPr>
          <w:sz w:val="24"/>
        </w:rPr>
      </w:pPr>
      <w:r>
        <w:rPr>
          <w:sz w:val="24"/>
        </w:rPr>
        <w:t>En effet, les réformes opérées dans le secteur minier notamment l’adoption du code minier en 2023</w:t>
      </w:r>
      <w:r>
        <w:rPr>
          <w:spacing w:val="40"/>
          <w:sz w:val="24"/>
        </w:rPr>
        <w:t> </w:t>
      </w:r>
      <w:r>
        <w:rPr>
          <w:sz w:val="24"/>
        </w:rPr>
        <w:t>et la loi sur le contenu local ainsi que la création des sociétés d’Etat dans les secteurs stratégiques sont des atouts importants pour amorcer le financement de cette Vision de développement du Mali. Le secteur minier fournit les ressources nécessaires pour l’amorce du cycle vertueux de la</w:t>
      </w:r>
      <w:r>
        <w:rPr>
          <w:spacing w:val="40"/>
          <w:sz w:val="24"/>
        </w:rPr>
        <w:t> </w:t>
      </w:r>
      <w:r>
        <w:rPr>
          <w:sz w:val="24"/>
        </w:rPr>
        <w:t>croissance. Les fonds d’investissement générés (plus 500 milliards de FCFA par an) ; les revenus budgétaires supplémentaires générés (plus 100 milliards de FCFA par an) ; le volume d’affaires généré par la satisfaction locale des besoins miniers (plus 5000 milliards de FCFA par an) le rapatriement des recettes d’exportation (plus 10 000 milliards de FCFA) assurent l’essentiel des ressources de fonctionnement couplés au financement Partenariat Public Privé (PPP), aux investissements directs étrangers et au financement des partenaires techniques et financiers.</w:t>
      </w:r>
    </w:p>
    <w:p>
      <w:pPr>
        <w:pStyle w:val="ListParagraph"/>
        <w:spacing w:after="0" w:line="240" w:lineRule="auto"/>
        <w:jc w:val="both"/>
        <w:rPr>
          <w:sz w:val="24"/>
        </w:rPr>
        <w:sectPr>
          <w:pgSz w:w="11910" w:h="16840"/>
          <w:pgMar w:header="0" w:footer="680" w:top="1320" w:bottom="960" w:left="283" w:right="141"/>
        </w:sectPr>
      </w:pPr>
    </w:p>
    <w:p>
      <w:pPr>
        <w:pStyle w:val="Heading1"/>
        <w:spacing w:before="77"/>
      </w:pPr>
      <w:bookmarkStart w:name="_bookmark1" w:id="2"/>
      <w:bookmarkEnd w:id="2"/>
      <w:r>
        <w:rPr>
          <w:b w:val="0"/>
        </w:rPr>
      </w:r>
      <w:r>
        <w:rPr>
          <w:spacing w:val="-2"/>
        </w:rPr>
        <w:t>INTRODUCTION</w:t>
      </w:r>
    </w:p>
    <w:p>
      <w:pPr>
        <w:pStyle w:val="BodyText"/>
        <w:spacing w:before="2"/>
        <w:ind w:left="0" w:firstLine="0"/>
        <w:jc w:val="left"/>
        <w:rPr>
          <w:b/>
          <w:sz w:val="28"/>
        </w:rPr>
      </w:pPr>
    </w:p>
    <w:p>
      <w:pPr>
        <w:pStyle w:val="ListParagraph"/>
        <w:numPr>
          <w:ilvl w:val="1"/>
          <w:numId w:val="1"/>
        </w:numPr>
        <w:tabs>
          <w:tab w:pos="1491" w:val="left" w:leader="none"/>
          <w:tab w:pos="1493" w:val="left" w:leader="none"/>
        </w:tabs>
        <w:spacing w:line="240" w:lineRule="auto" w:before="0" w:after="0"/>
        <w:ind w:left="1493" w:right="1130" w:hanging="360"/>
        <w:jc w:val="both"/>
        <w:rPr>
          <w:sz w:val="24"/>
        </w:rPr>
      </w:pPr>
      <w:r>
        <w:rPr>
          <w:sz w:val="24"/>
        </w:rPr>
        <w:t>Depuis 2012, le Mali est plongé dans une crise multidimensionnelle qui a ébranlé les fondements mêmes de son existence, suite aux attaques combinées de mouvements de rebelles armés et l’intrusion de groupes terroristes et djihadistes dans les régions du nord et du centre du pays. Cette situation</w:t>
      </w:r>
      <w:r>
        <w:rPr>
          <w:spacing w:val="-2"/>
          <w:sz w:val="24"/>
        </w:rPr>
        <w:t> </w:t>
      </w:r>
      <w:r>
        <w:rPr>
          <w:sz w:val="24"/>
        </w:rPr>
        <w:t>continue</w:t>
      </w:r>
      <w:r>
        <w:rPr>
          <w:spacing w:val="-4"/>
          <w:sz w:val="24"/>
        </w:rPr>
        <w:t> </w:t>
      </w:r>
      <w:r>
        <w:rPr>
          <w:sz w:val="24"/>
        </w:rPr>
        <w:t>de</w:t>
      </w:r>
      <w:r>
        <w:rPr>
          <w:spacing w:val="-4"/>
          <w:sz w:val="24"/>
        </w:rPr>
        <w:t> </w:t>
      </w:r>
      <w:r>
        <w:rPr>
          <w:sz w:val="24"/>
        </w:rPr>
        <w:t>peser</w:t>
      </w:r>
      <w:r>
        <w:rPr>
          <w:spacing w:val="-5"/>
          <w:sz w:val="24"/>
        </w:rPr>
        <w:t> </w:t>
      </w:r>
      <w:r>
        <w:rPr>
          <w:sz w:val="24"/>
        </w:rPr>
        <w:t>sur</w:t>
      </w:r>
      <w:r>
        <w:rPr>
          <w:spacing w:val="-2"/>
          <w:sz w:val="24"/>
        </w:rPr>
        <w:t> </w:t>
      </w:r>
      <w:r>
        <w:rPr>
          <w:sz w:val="24"/>
        </w:rPr>
        <w:t>les</w:t>
      </w:r>
      <w:r>
        <w:rPr>
          <w:spacing w:val="-2"/>
          <w:sz w:val="24"/>
        </w:rPr>
        <w:t> </w:t>
      </w:r>
      <w:r>
        <w:rPr>
          <w:sz w:val="24"/>
        </w:rPr>
        <w:t>perspectives</w:t>
      </w:r>
      <w:r>
        <w:rPr>
          <w:spacing w:val="-3"/>
          <w:sz w:val="24"/>
        </w:rPr>
        <w:t> </w:t>
      </w:r>
      <w:r>
        <w:rPr>
          <w:sz w:val="24"/>
        </w:rPr>
        <w:t>macroéconomiques</w:t>
      </w:r>
      <w:r>
        <w:rPr>
          <w:spacing w:val="-3"/>
          <w:sz w:val="24"/>
        </w:rPr>
        <w:t> </w:t>
      </w:r>
      <w:r>
        <w:rPr>
          <w:sz w:val="24"/>
        </w:rPr>
        <w:t>et</w:t>
      </w:r>
      <w:r>
        <w:rPr>
          <w:spacing w:val="-4"/>
          <w:sz w:val="24"/>
        </w:rPr>
        <w:t> </w:t>
      </w:r>
      <w:r>
        <w:rPr>
          <w:sz w:val="24"/>
        </w:rPr>
        <w:t>pourrait</w:t>
      </w:r>
      <w:r>
        <w:rPr>
          <w:spacing w:val="-3"/>
          <w:sz w:val="24"/>
        </w:rPr>
        <w:t> </w:t>
      </w:r>
      <w:r>
        <w:rPr>
          <w:sz w:val="24"/>
        </w:rPr>
        <w:t>compromettre</w:t>
      </w:r>
      <w:r>
        <w:rPr>
          <w:spacing w:val="-2"/>
          <w:sz w:val="24"/>
        </w:rPr>
        <w:t> </w:t>
      </w:r>
      <w:r>
        <w:rPr>
          <w:sz w:val="24"/>
        </w:rPr>
        <w:t>à</w:t>
      </w:r>
      <w:r>
        <w:rPr>
          <w:spacing w:val="-3"/>
          <w:sz w:val="24"/>
        </w:rPr>
        <w:t> </w:t>
      </w:r>
      <w:r>
        <w:rPr>
          <w:sz w:val="24"/>
        </w:rPr>
        <w:t>terme les résultats de mise en œuvre des politiques publiques.</w:t>
      </w:r>
    </w:p>
    <w:p>
      <w:pPr>
        <w:pStyle w:val="ListParagraph"/>
        <w:numPr>
          <w:ilvl w:val="1"/>
          <w:numId w:val="1"/>
        </w:numPr>
        <w:tabs>
          <w:tab w:pos="1491" w:val="left" w:leader="none"/>
          <w:tab w:pos="1493" w:val="left" w:leader="none"/>
        </w:tabs>
        <w:spacing w:line="240" w:lineRule="auto" w:before="183" w:after="0"/>
        <w:ind w:left="1493" w:right="1128" w:hanging="360"/>
        <w:jc w:val="both"/>
        <w:rPr>
          <w:sz w:val="24"/>
        </w:rPr>
      </w:pPr>
      <w:r>
        <w:rPr>
          <w:sz w:val="24"/>
        </w:rPr>
        <w:t>Les années 2020 et 2021 ont été marquées par les effets combinés de la crise sanitaire de la Covid- 19 et de la situation sociopolitique et sécuritaire difficile qui ont profondément impacté l’activité économique. Dans le nouveau contexte de la Transition en cours issu des changements politiques et institutionnels du 18 aout 2020 et du 24 mai 2021, de nombreux défis économiques se dressent sur</w:t>
      </w:r>
      <w:r>
        <w:rPr>
          <w:spacing w:val="80"/>
          <w:sz w:val="24"/>
        </w:rPr>
        <w:t> </w:t>
      </w:r>
      <w:r>
        <w:rPr>
          <w:sz w:val="24"/>
        </w:rPr>
        <w:t>la trajectoire du développement durable du Mali. En 2022, le Mali a été victime de sanctions illégales et inhumaines imposées par la CEDEAO et l’UEMOA qui ont impacté négativement les populations </w:t>
      </w:r>
      <w:r>
        <w:rPr>
          <w:spacing w:val="-2"/>
          <w:sz w:val="24"/>
        </w:rPr>
        <w:t>maliennes.</w:t>
      </w:r>
    </w:p>
    <w:p>
      <w:pPr>
        <w:pStyle w:val="ListParagraph"/>
        <w:numPr>
          <w:ilvl w:val="1"/>
          <w:numId w:val="1"/>
        </w:numPr>
        <w:tabs>
          <w:tab w:pos="1491" w:val="left" w:leader="none"/>
          <w:tab w:pos="1493" w:val="left" w:leader="none"/>
        </w:tabs>
        <w:spacing w:line="240" w:lineRule="auto" w:before="185" w:after="0"/>
        <w:ind w:left="1493" w:right="1132" w:hanging="360"/>
        <w:jc w:val="both"/>
        <w:rPr>
          <w:sz w:val="24"/>
        </w:rPr>
      </w:pPr>
      <w:r>
        <w:rPr>
          <w:sz w:val="24"/>
        </w:rPr>
        <w:t>Face</w:t>
      </w:r>
      <w:r>
        <w:rPr>
          <w:spacing w:val="-2"/>
          <w:sz w:val="24"/>
        </w:rPr>
        <w:t> </w:t>
      </w:r>
      <w:r>
        <w:rPr>
          <w:sz w:val="24"/>
        </w:rPr>
        <w:t>à ces</w:t>
      </w:r>
      <w:r>
        <w:rPr>
          <w:spacing w:val="-2"/>
          <w:sz w:val="24"/>
        </w:rPr>
        <w:t> </w:t>
      </w:r>
      <w:r>
        <w:rPr>
          <w:sz w:val="24"/>
        </w:rPr>
        <w:t>défis, les</w:t>
      </w:r>
      <w:r>
        <w:rPr>
          <w:spacing w:val="-2"/>
          <w:sz w:val="24"/>
        </w:rPr>
        <w:t> </w:t>
      </w:r>
      <w:r>
        <w:rPr>
          <w:sz w:val="24"/>
        </w:rPr>
        <w:t>Autorités actuelles</w:t>
      </w:r>
      <w:r>
        <w:rPr>
          <w:spacing w:val="-2"/>
          <w:sz w:val="24"/>
        </w:rPr>
        <w:t> </w:t>
      </w:r>
      <w:r>
        <w:rPr>
          <w:sz w:val="24"/>
        </w:rPr>
        <w:t>de</w:t>
      </w:r>
      <w:r>
        <w:rPr>
          <w:spacing w:val="-1"/>
          <w:sz w:val="24"/>
        </w:rPr>
        <w:t> </w:t>
      </w:r>
      <w:r>
        <w:rPr>
          <w:sz w:val="24"/>
        </w:rPr>
        <w:t>la Transition</w:t>
      </w:r>
      <w:r>
        <w:rPr>
          <w:spacing w:val="-1"/>
          <w:sz w:val="24"/>
        </w:rPr>
        <w:t> </w:t>
      </w:r>
      <w:r>
        <w:rPr>
          <w:sz w:val="24"/>
        </w:rPr>
        <w:t>travaillent</w:t>
      </w:r>
      <w:r>
        <w:rPr>
          <w:spacing w:val="-2"/>
          <w:sz w:val="24"/>
        </w:rPr>
        <w:t> </w:t>
      </w:r>
      <w:r>
        <w:rPr>
          <w:sz w:val="24"/>
        </w:rPr>
        <w:t>à</w:t>
      </w:r>
      <w:r>
        <w:rPr>
          <w:spacing w:val="-1"/>
          <w:sz w:val="24"/>
        </w:rPr>
        <w:t> </w:t>
      </w:r>
      <w:r>
        <w:rPr>
          <w:sz w:val="24"/>
        </w:rPr>
        <w:t>réunir</w:t>
      </w:r>
      <w:r>
        <w:rPr>
          <w:spacing w:val="-1"/>
          <w:sz w:val="24"/>
        </w:rPr>
        <w:t> </w:t>
      </w:r>
      <w:r>
        <w:rPr>
          <w:sz w:val="24"/>
        </w:rPr>
        <w:t>les conditions nécessaires à l’émergence du pays dans un horizon de moyen et long terme. L'émergence caractérise le processus par lequel un État s'intègre à l'économie globalisée grâce à une croissance économique forte sur plusieurs années autorisant un développement harmonieux irréversible.</w:t>
      </w:r>
    </w:p>
    <w:p>
      <w:pPr>
        <w:pStyle w:val="ListParagraph"/>
        <w:numPr>
          <w:ilvl w:val="1"/>
          <w:numId w:val="1"/>
        </w:numPr>
        <w:tabs>
          <w:tab w:pos="1491" w:val="left" w:leader="none"/>
          <w:tab w:pos="1493" w:val="left" w:leader="none"/>
        </w:tabs>
        <w:spacing w:line="240" w:lineRule="auto" w:before="182" w:after="0"/>
        <w:ind w:left="1493" w:right="1128" w:hanging="360"/>
        <w:jc w:val="both"/>
        <w:rPr>
          <w:sz w:val="24"/>
        </w:rPr>
      </w:pPr>
      <w:r>
        <w:rPr>
          <w:sz w:val="24"/>
        </w:rPr>
        <w:t>Dans la perspective des agendas 2030 des Nations Unies et 2063 de l’Union Africaine, le Gouvernement poursuit l’émergence d’un Etat fort et engagé pour une réforme en profondeur des structures publiques et de leurs méthodes et procédures d’intervention en vue de donner une</w:t>
      </w:r>
      <w:r>
        <w:rPr>
          <w:spacing w:val="40"/>
          <w:sz w:val="24"/>
        </w:rPr>
        <w:t> </w:t>
      </w:r>
      <w:r>
        <w:rPr>
          <w:sz w:val="24"/>
        </w:rPr>
        <w:t>nouvelle impulsion à l’action publique. Cela se fera</w:t>
      </w:r>
      <w:r>
        <w:rPr>
          <w:spacing w:val="-1"/>
          <w:sz w:val="24"/>
        </w:rPr>
        <w:t> </w:t>
      </w:r>
      <w:r>
        <w:rPr>
          <w:sz w:val="24"/>
        </w:rPr>
        <w:t>conformément</w:t>
      </w:r>
      <w:r>
        <w:rPr>
          <w:spacing w:val="-3"/>
          <w:sz w:val="24"/>
        </w:rPr>
        <w:t> </w:t>
      </w:r>
      <w:r>
        <w:rPr>
          <w:sz w:val="24"/>
        </w:rPr>
        <w:t>à la vision et la</w:t>
      </w:r>
      <w:r>
        <w:rPr>
          <w:spacing w:val="-3"/>
          <w:sz w:val="24"/>
        </w:rPr>
        <w:t> </w:t>
      </w:r>
      <w:r>
        <w:rPr>
          <w:sz w:val="24"/>
        </w:rPr>
        <w:t>démarche politique du pays consacrées par les trois principes édictés par les Autorités de la Transition, à savoir :</w:t>
      </w:r>
    </w:p>
    <w:p>
      <w:pPr>
        <w:pStyle w:val="ListParagraph"/>
        <w:numPr>
          <w:ilvl w:val="2"/>
          <w:numId w:val="1"/>
        </w:numPr>
        <w:tabs>
          <w:tab w:pos="2392" w:val="left" w:leader="none"/>
        </w:tabs>
        <w:spacing w:line="240" w:lineRule="auto" w:before="117" w:after="0"/>
        <w:ind w:left="2392" w:right="0" w:hanging="359"/>
        <w:jc w:val="left"/>
        <w:rPr>
          <w:sz w:val="24"/>
        </w:rPr>
      </w:pPr>
      <w:r>
        <w:rPr>
          <w:sz w:val="24"/>
        </w:rPr>
        <w:t>le</w:t>
      </w:r>
      <w:r>
        <w:rPr>
          <w:spacing w:val="-3"/>
          <w:sz w:val="24"/>
        </w:rPr>
        <w:t> </w:t>
      </w:r>
      <w:r>
        <w:rPr>
          <w:sz w:val="24"/>
        </w:rPr>
        <w:t>respect</w:t>
      </w:r>
      <w:r>
        <w:rPr>
          <w:spacing w:val="-4"/>
          <w:sz w:val="24"/>
        </w:rPr>
        <w:t> </w:t>
      </w:r>
      <w:r>
        <w:rPr>
          <w:sz w:val="24"/>
        </w:rPr>
        <w:t>de</w:t>
      </w:r>
      <w:r>
        <w:rPr>
          <w:spacing w:val="-4"/>
          <w:sz w:val="24"/>
        </w:rPr>
        <w:t> </w:t>
      </w:r>
      <w:r>
        <w:rPr>
          <w:sz w:val="24"/>
        </w:rPr>
        <w:t>la</w:t>
      </w:r>
      <w:r>
        <w:rPr>
          <w:spacing w:val="-2"/>
          <w:sz w:val="24"/>
        </w:rPr>
        <w:t> </w:t>
      </w:r>
      <w:r>
        <w:rPr>
          <w:sz w:val="24"/>
        </w:rPr>
        <w:t>souveraineté</w:t>
      </w:r>
      <w:r>
        <w:rPr>
          <w:spacing w:val="-2"/>
          <w:sz w:val="24"/>
        </w:rPr>
        <w:t> </w:t>
      </w:r>
      <w:r>
        <w:rPr>
          <w:sz w:val="24"/>
        </w:rPr>
        <w:t>du</w:t>
      </w:r>
      <w:r>
        <w:rPr>
          <w:spacing w:val="-4"/>
          <w:sz w:val="24"/>
        </w:rPr>
        <w:t> </w:t>
      </w:r>
      <w:r>
        <w:rPr>
          <w:sz w:val="24"/>
        </w:rPr>
        <w:t>Mali </w:t>
      </w:r>
      <w:r>
        <w:rPr>
          <w:spacing w:val="-10"/>
          <w:sz w:val="24"/>
        </w:rPr>
        <w:t>;</w:t>
      </w:r>
    </w:p>
    <w:p>
      <w:pPr>
        <w:pStyle w:val="ListParagraph"/>
        <w:numPr>
          <w:ilvl w:val="2"/>
          <w:numId w:val="1"/>
        </w:numPr>
        <w:tabs>
          <w:tab w:pos="2392" w:val="left" w:leader="none"/>
        </w:tabs>
        <w:spacing w:line="275" w:lineRule="exact" w:before="0" w:after="0"/>
        <w:ind w:left="2392" w:right="0" w:hanging="359"/>
        <w:jc w:val="left"/>
        <w:rPr>
          <w:sz w:val="24"/>
        </w:rPr>
      </w:pPr>
      <w:r>
        <w:rPr>
          <w:sz w:val="24"/>
        </w:rPr>
        <w:t>le</w:t>
      </w:r>
      <w:r>
        <w:rPr>
          <w:spacing w:val="-2"/>
          <w:sz w:val="24"/>
        </w:rPr>
        <w:t> </w:t>
      </w:r>
      <w:r>
        <w:rPr>
          <w:sz w:val="24"/>
        </w:rPr>
        <w:t>respect</w:t>
      </w:r>
      <w:r>
        <w:rPr>
          <w:spacing w:val="-4"/>
          <w:sz w:val="24"/>
        </w:rPr>
        <w:t> </w:t>
      </w:r>
      <w:r>
        <w:rPr>
          <w:sz w:val="24"/>
        </w:rPr>
        <w:t>des</w:t>
      </w:r>
      <w:r>
        <w:rPr>
          <w:spacing w:val="-5"/>
          <w:sz w:val="24"/>
        </w:rPr>
        <w:t> </w:t>
      </w:r>
      <w:r>
        <w:rPr>
          <w:sz w:val="24"/>
        </w:rPr>
        <w:t>choix</w:t>
      </w:r>
      <w:r>
        <w:rPr>
          <w:spacing w:val="-3"/>
          <w:sz w:val="24"/>
        </w:rPr>
        <w:t> </w:t>
      </w:r>
      <w:r>
        <w:rPr>
          <w:sz w:val="24"/>
        </w:rPr>
        <w:t>stratégiques</w:t>
      </w:r>
      <w:r>
        <w:rPr>
          <w:spacing w:val="-4"/>
          <w:sz w:val="24"/>
        </w:rPr>
        <w:t> </w:t>
      </w:r>
      <w:r>
        <w:rPr>
          <w:sz w:val="24"/>
        </w:rPr>
        <w:t>et</w:t>
      </w:r>
      <w:r>
        <w:rPr>
          <w:spacing w:val="-4"/>
          <w:sz w:val="24"/>
        </w:rPr>
        <w:t> </w:t>
      </w:r>
      <w:r>
        <w:rPr>
          <w:sz w:val="24"/>
        </w:rPr>
        <w:t>des</w:t>
      </w:r>
      <w:r>
        <w:rPr>
          <w:spacing w:val="-3"/>
          <w:sz w:val="24"/>
        </w:rPr>
        <w:t> </w:t>
      </w:r>
      <w:r>
        <w:rPr>
          <w:sz w:val="24"/>
        </w:rPr>
        <w:t>choix</w:t>
      </w:r>
      <w:r>
        <w:rPr>
          <w:spacing w:val="-3"/>
          <w:sz w:val="24"/>
        </w:rPr>
        <w:t> </w:t>
      </w:r>
      <w:r>
        <w:rPr>
          <w:sz w:val="24"/>
        </w:rPr>
        <w:t>de</w:t>
      </w:r>
      <w:r>
        <w:rPr>
          <w:spacing w:val="-2"/>
          <w:sz w:val="24"/>
        </w:rPr>
        <w:t> </w:t>
      </w:r>
      <w:r>
        <w:rPr>
          <w:sz w:val="24"/>
        </w:rPr>
        <w:t>partenaires</w:t>
      </w:r>
      <w:r>
        <w:rPr>
          <w:spacing w:val="-2"/>
          <w:sz w:val="24"/>
        </w:rPr>
        <w:t> </w:t>
      </w:r>
      <w:r>
        <w:rPr>
          <w:sz w:val="24"/>
        </w:rPr>
        <w:t>du</w:t>
      </w:r>
      <w:r>
        <w:rPr>
          <w:spacing w:val="-2"/>
          <w:sz w:val="24"/>
        </w:rPr>
        <w:t> </w:t>
      </w:r>
      <w:r>
        <w:rPr>
          <w:sz w:val="24"/>
        </w:rPr>
        <w:t>Mali</w:t>
      </w:r>
      <w:r>
        <w:rPr>
          <w:spacing w:val="3"/>
          <w:sz w:val="24"/>
        </w:rPr>
        <w:t> </w:t>
      </w:r>
      <w:r>
        <w:rPr>
          <w:spacing w:val="-10"/>
          <w:sz w:val="24"/>
        </w:rPr>
        <w:t>;</w:t>
      </w:r>
    </w:p>
    <w:p>
      <w:pPr>
        <w:pStyle w:val="ListParagraph"/>
        <w:numPr>
          <w:ilvl w:val="2"/>
          <w:numId w:val="1"/>
        </w:numPr>
        <w:tabs>
          <w:tab w:pos="2392" w:val="left" w:leader="none"/>
        </w:tabs>
        <w:spacing w:line="275" w:lineRule="exact" w:before="0" w:after="0"/>
        <w:ind w:left="2392" w:right="0" w:hanging="359"/>
        <w:jc w:val="left"/>
        <w:rPr>
          <w:sz w:val="24"/>
        </w:rPr>
      </w:pPr>
      <w:r>
        <w:rPr>
          <w:sz w:val="24"/>
        </w:rPr>
        <w:t>la</w:t>
      </w:r>
      <w:r>
        <w:rPr>
          <w:spacing w:val="-4"/>
          <w:sz w:val="24"/>
        </w:rPr>
        <w:t> </w:t>
      </w:r>
      <w:r>
        <w:rPr>
          <w:sz w:val="24"/>
        </w:rPr>
        <w:t>prise</w:t>
      </w:r>
      <w:r>
        <w:rPr>
          <w:spacing w:val="-2"/>
          <w:sz w:val="24"/>
        </w:rPr>
        <w:t> </w:t>
      </w:r>
      <w:r>
        <w:rPr>
          <w:sz w:val="24"/>
        </w:rPr>
        <w:t>en</w:t>
      </w:r>
      <w:r>
        <w:rPr>
          <w:spacing w:val="-2"/>
          <w:sz w:val="24"/>
        </w:rPr>
        <w:t> </w:t>
      </w:r>
      <w:r>
        <w:rPr>
          <w:sz w:val="24"/>
        </w:rPr>
        <w:t>compte</w:t>
      </w:r>
      <w:r>
        <w:rPr>
          <w:spacing w:val="-2"/>
          <w:sz w:val="24"/>
        </w:rPr>
        <w:t> </w:t>
      </w:r>
      <w:r>
        <w:rPr>
          <w:sz w:val="24"/>
        </w:rPr>
        <w:t>des</w:t>
      </w:r>
      <w:r>
        <w:rPr>
          <w:spacing w:val="-3"/>
          <w:sz w:val="24"/>
        </w:rPr>
        <w:t> </w:t>
      </w:r>
      <w:r>
        <w:rPr>
          <w:sz w:val="24"/>
        </w:rPr>
        <w:t>intérêts</w:t>
      </w:r>
      <w:r>
        <w:rPr>
          <w:spacing w:val="-3"/>
          <w:sz w:val="24"/>
        </w:rPr>
        <w:t> </w:t>
      </w:r>
      <w:r>
        <w:rPr>
          <w:sz w:val="24"/>
        </w:rPr>
        <w:t>vitaux</w:t>
      </w:r>
      <w:r>
        <w:rPr>
          <w:spacing w:val="-3"/>
          <w:sz w:val="24"/>
        </w:rPr>
        <w:t> </w:t>
      </w:r>
      <w:r>
        <w:rPr>
          <w:sz w:val="24"/>
        </w:rPr>
        <w:t>du peuple</w:t>
      </w:r>
      <w:r>
        <w:rPr>
          <w:spacing w:val="-3"/>
          <w:sz w:val="24"/>
        </w:rPr>
        <w:t> </w:t>
      </w:r>
      <w:r>
        <w:rPr>
          <w:sz w:val="24"/>
        </w:rPr>
        <w:t>malien</w:t>
      </w:r>
      <w:r>
        <w:rPr>
          <w:spacing w:val="-4"/>
          <w:sz w:val="24"/>
        </w:rPr>
        <w:t> </w:t>
      </w:r>
      <w:r>
        <w:rPr>
          <w:sz w:val="24"/>
        </w:rPr>
        <w:t>dans</w:t>
      </w:r>
      <w:r>
        <w:rPr>
          <w:spacing w:val="-4"/>
          <w:sz w:val="24"/>
        </w:rPr>
        <w:t> </w:t>
      </w:r>
      <w:r>
        <w:rPr>
          <w:sz w:val="24"/>
        </w:rPr>
        <w:t>toutes</w:t>
      </w:r>
      <w:r>
        <w:rPr>
          <w:spacing w:val="-3"/>
          <w:sz w:val="24"/>
        </w:rPr>
        <w:t> </w:t>
      </w:r>
      <w:r>
        <w:rPr>
          <w:sz w:val="24"/>
        </w:rPr>
        <w:t>les</w:t>
      </w:r>
      <w:r>
        <w:rPr>
          <w:spacing w:val="-3"/>
          <w:sz w:val="24"/>
        </w:rPr>
        <w:t> </w:t>
      </w:r>
      <w:r>
        <w:rPr>
          <w:spacing w:val="-2"/>
          <w:sz w:val="24"/>
        </w:rPr>
        <w:t>décisions.</w:t>
      </w:r>
    </w:p>
    <w:p>
      <w:pPr>
        <w:pStyle w:val="ListParagraph"/>
        <w:numPr>
          <w:ilvl w:val="1"/>
          <w:numId w:val="1"/>
        </w:numPr>
        <w:tabs>
          <w:tab w:pos="1491" w:val="left" w:leader="none"/>
          <w:tab w:pos="1493" w:val="left" w:leader="none"/>
        </w:tabs>
        <w:spacing w:line="240" w:lineRule="auto" w:before="185" w:after="0"/>
        <w:ind w:left="1493" w:right="1132" w:hanging="360"/>
        <w:jc w:val="both"/>
        <w:rPr>
          <w:sz w:val="24"/>
        </w:rPr>
      </w:pPr>
      <w:r>
        <w:rPr>
          <w:sz w:val="24"/>
        </w:rPr>
        <w:t>En droite ligne de ces principes, les Autorités ont décidé d’élaborer une Vision de développement à long terme du pays pour mieux prendre en</w:t>
      </w:r>
      <w:r>
        <w:rPr>
          <w:spacing w:val="18"/>
          <w:sz w:val="24"/>
        </w:rPr>
        <w:t> </w:t>
      </w:r>
      <w:r>
        <w:rPr>
          <w:sz w:val="24"/>
        </w:rPr>
        <w:t>charge les recommandations des Assises Nationales de</w:t>
      </w:r>
      <w:r>
        <w:rPr>
          <w:spacing w:val="40"/>
          <w:sz w:val="24"/>
        </w:rPr>
        <w:t> </w:t>
      </w:r>
      <w:r>
        <w:rPr>
          <w:sz w:val="24"/>
        </w:rPr>
        <w:t>la Refondation (ANR) et du Dialogue Inter-Malien (DIM) dans un cadre programmatique de long terme. Ainsi, le Ministère</w:t>
      </w:r>
      <w:r>
        <w:rPr>
          <w:spacing w:val="-1"/>
          <w:sz w:val="24"/>
        </w:rPr>
        <w:t> </w:t>
      </w:r>
      <w:r>
        <w:rPr>
          <w:sz w:val="24"/>
        </w:rPr>
        <w:t>de</w:t>
      </w:r>
      <w:r>
        <w:rPr>
          <w:spacing w:val="-2"/>
          <w:sz w:val="24"/>
        </w:rPr>
        <w:t> </w:t>
      </w:r>
      <w:r>
        <w:rPr>
          <w:sz w:val="24"/>
        </w:rPr>
        <w:t>l’Économie et des</w:t>
      </w:r>
      <w:r>
        <w:rPr>
          <w:spacing w:val="-3"/>
          <w:sz w:val="24"/>
        </w:rPr>
        <w:t> </w:t>
      </w:r>
      <w:r>
        <w:rPr>
          <w:sz w:val="24"/>
        </w:rPr>
        <w:t>Finances</w:t>
      </w:r>
      <w:r>
        <w:rPr>
          <w:spacing w:val="-1"/>
          <w:sz w:val="24"/>
        </w:rPr>
        <w:t> </w:t>
      </w:r>
      <w:r>
        <w:rPr>
          <w:sz w:val="24"/>
        </w:rPr>
        <w:t>(MEF)</w:t>
      </w:r>
      <w:r>
        <w:rPr>
          <w:spacing w:val="-2"/>
          <w:sz w:val="24"/>
        </w:rPr>
        <w:t> </w:t>
      </w:r>
      <w:r>
        <w:rPr>
          <w:sz w:val="24"/>
        </w:rPr>
        <w:t>a entrepris le</w:t>
      </w:r>
      <w:r>
        <w:rPr>
          <w:spacing w:val="-3"/>
          <w:sz w:val="24"/>
        </w:rPr>
        <w:t> </w:t>
      </w:r>
      <w:r>
        <w:rPr>
          <w:sz w:val="24"/>
        </w:rPr>
        <w:t>processus</w:t>
      </w:r>
      <w:r>
        <w:rPr>
          <w:spacing w:val="-1"/>
          <w:sz w:val="24"/>
        </w:rPr>
        <w:t> </w:t>
      </w:r>
      <w:r>
        <w:rPr>
          <w:sz w:val="24"/>
        </w:rPr>
        <w:t>d’élaboration de la Vision du Mali à l’horizon 2063 et de la Stratégie nationale pour l’Emergence et le développement Durable (SNEDD).</w:t>
      </w:r>
    </w:p>
    <w:p>
      <w:pPr>
        <w:pStyle w:val="ListParagraph"/>
        <w:numPr>
          <w:ilvl w:val="1"/>
          <w:numId w:val="1"/>
        </w:numPr>
        <w:tabs>
          <w:tab w:pos="1491" w:val="left" w:leader="none"/>
          <w:tab w:pos="1493" w:val="left" w:leader="none"/>
        </w:tabs>
        <w:spacing w:line="240" w:lineRule="auto" w:before="185" w:after="0"/>
        <w:ind w:left="1493" w:right="1128" w:hanging="360"/>
        <w:jc w:val="both"/>
        <w:rPr>
          <w:sz w:val="24"/>
        </w:rPr>
      </w:pPr>
      <w:r>
        <w:rPr>
          <w:sz w:val="24"/>
        </w:rPr>
        <w:t>La présente note est une synthèse des principaux documents issus du processus d’élaboration de la Vision Mali 2063. Sous le leadership du Ministre de l’Economie et des Finances, le Comité de Pilotage constitué à cet effet a conduit un processus participatif et inclusif ayant permis la production de documents substantifs composés du Diagnostic stratégique,</w:t>
      </w:r>
      <w:r>
        <w:rPr>
          <w:spacing w:val="40"/>
          <w:sz w:val="24"/>
        </w:rPr>
        <w:t> </w:t>
      </w:r>
      <w:r>
        <w:rPr>
          <w:sz w:val="24"/>
        </w:rPr>
        <w:t>du Rapport prospectif de la Vision Mali 2063</w:t>
      </w:r>
      <w:r>
        <w:rPr>
          <w:spacing w:val="-1"/>
          <w:sz w:val="24"/>
        </w:rPr>
        <w:t> </w:t>
      </w:r>
      <w:r>
        <w:rPr>
          <w:sz w:val="24"/>
        </w:rPr>
        <w:t>, de la Stratégie Nationale pour l’Emergence et le Développement Durable (SNEDD 2024- 2033), du Document sur les Projets structurants et intégrateurs, des Cartes prospectives et de l’Atlas économique ainsi que la Stratégie de Communication.</w:t>
      </w:r>
    </w:p>
    <w:p>
      <w:pPr>
        <w:pStyle w:val="ListParagraph"/>
        <w:numPr>
          <w:ilvl w:val="1"/>
          <w:numId w:val="1"/>
        </w:numPr>
        <w:tabs>
          <w:tab w:pos="1491" w:val="left" w:leader="none"/>
          <w:tab w:pos="1493" w:val="left" w:leader="none"/>
        </w:tabs>
        <w:spacing w:line="240" w:lineRule="auto" w:before="182" w:after="0"/>
        <w:ind w:left="1493" w:right="1128" w:hanging="360"/>
        <w:jc w:val="both"/>
        <w:rPr>
          <w:sz w:val="24"/>
        </w:rPr>
      </w:pPr>
      <w:r>
        <w:rPr>
          <w:sz w:val="24"/>
        </w:rPr>
        <w:t>Il convient de noter que le processus a également permis la production de livrables intermédiaires à l’instar des rapports d’exploitation des données du 5</w:t>
      </w:r>
      <w:r>
        <w:rPr>
          <w:position w:val="6"/>
          <w:sz w:val="16"/>
        </w:rPr>
        <w:t>ème</w:t>
      </w:r>
      <w:r>
        <w:rPr>
          <w:spacing w:val="19"/>
          <w:position w:val="6"/>
          <w:sz w:val="16"/>
        </w:rPr>
        <w:t> </w:t>
      </w:r>
      <w:r>
        <w:rPr>
          <w:sz w:val="24"/>
        </w:rPr>
        <w:t>Recensement Général de la Population et de l’Habitat (RGPH5), du Recensement Général des Unités Economiques (RGUE), de l’Enquête</w:t>
      </w:r>
      <w:r>
        <w:rPr>
          <w:spacing w:val="40"/>
          <w:sz w:val="24"/>
        </w:rPr>
        <w:t> </w:t>
      </w:r>
      <w:r>
        <w:rPr>
          <w:sz w:val="24"/>
        </w:rPr>
        <w:t>Agricole de Conjoncture (EAC), du Rapport des résultats de l’analyse structurelle, des Notes théoriques conceptuelles, des Termes de références des ateliers de conception et de production, du Rapport du Lancement officiel du processus, des Rapports d’étapes des réunions du Comité de </w:t>
      </w:r>
      <w:r>
        <w:rPr>
          <w:spacing w:val="-2"/>
          <w:sz w:val="24"/>
        </w:rPr>
        <w:t>pilotage.</w:t>
      </w:r>
    </w:p>
    <w:p>
      <w:pPr>
        <w:pStyle w:val="ListParagraph"/>
        <w:spacing w:after="0" w:line="240" w:lineRule="auto"/>
        <w:jc w:val="both"/>
        <w:rPr>
          <w:sz w:val="24"/>
        </w:rPr>
        <w:sectPr>
          <w:pgSz w:w="11910" w:h="16840"/>
          <w:pgMar w:header="0" w:footer="680" w:top="1320" w:bottom="960" w:left="283" w:right="141"/>
        </w:sectPr>
      </w:pPr>
    </w:p>
    <w:p>
      <w:pPr>
        <w:pStyle w:val="Heading1"/>
        <w:numPr>
          <w:ilvl w:val="0"/>
          <w:numId w:val="6"/>
        </w:numPr>
        <w:tabs>
          <w:tab w:pos="1325" w:val="left" w:leader="none"/>
        </w:tabs>
        <w:spacing w:line="240" w:lineRule="auto" w:before="82" w:after="0"/>
        <w:ind w:left="1325" w:right="0" w:hanging="192"/>
        <w:jc w:val="left"/>
      </w:pPr>
      <w:bookmarkStart w:name="_bookmark2" w:id="3"/>
      <w:bookmarkEnd w:id="3"/>
      <w:r>
        <w:rPr>
          <w:b w:val="0"/>
        </w:rPr>
      </w:r>
      <w:r>
        <w:rPr/>
        <w:t>DIAGNOSTIC</w:t>
      </w:r>
      <w:r>
        <w:rPr>
          <w:spacing w:val="-6"/>
        </w:rPr>
        <w:t> </w:t>
      </w:r>
      <w:r>
        <w:rPr/>
        <w:t>STRATEGIQUE</w:t>
      </w:r>
      <w:r>
        <w:rPr>
          <w:spacing w:val="-8"/>
        </w:rPr>
        <w:t> </w:t>
      </w:r>
      <w:r>
        <w:rPr/>
        <w:t>ET</w:t>
      </w:r>
      <w:r>
        <w:rPr>
          <w:spacing w:val="-5"/>
        </w:rPr>
        <w:t> </w:t>
      </w:r>
      <w:r>
        <w:rPr/>
        <w:t>EVALUATION</w:t>
      </w:r>
      <w:r>
        <w:rPr>
          <w:spacing w:val="-8"/>
        </w:rPr>
        <w:t> </w:t>
      </w:r>
      <w:r>
        <w:rPr/>
        <w:t>DU</w:t>
      </w:r>
      <w:r>
        <w:rPr>
          <w:spacing w:val="-6"/>
        </w:rPr>
        <w:t> </w:t>
      </w:r>
      <w:r>
        <w:rPr/>
        <w:t>CREDD</w:t>
      </w:r>
      <w:r>
        <w:rPr>
          <w:spacing w:val="-8"/>
        </w:rPr>
        <w:t> </w:t>
      </w:r>
      <w:r>
        <w:rPr/>
        <w:t>2019-</w:t>
      </w:r>
      <w:r>
        <w:rPr>
          <w:spacing w:val="-4"/>
        </w:rPr>
        <w:t>2023</w:t>
      </w:r>
    </w:p>
    <w:p>
      <w:pPr>
        <w:pStyle w:val="Heading3"/>
        <w:numPr>
          <w:ilvl w:val="1"/>
          <w:numId w:val="7"/>
        </w:numPr>
        <w:tabs>
          <w:tab w:pos="1517" w:val="left" w:leader="none"/>
        </w:tabs>
        <w:spacing w:line="240" w:lineRule="auto" w:before="184" w:after="0"/>
        <w:ind w:left="1517" w:right="0" w:hanging="384"/>
        <w:jc w:val="left"/>
      </w:pPr>
      <w:bookmarkStart w:name="_bookmark3" w:id="4"/>
      <w:bookmarkEnd w:id="4"/>
      <w:r>
        <w:rPr>
          <w:b w:val="0"/>
        </w:rPr>
      </w:r>
      <w:r>
        <w:rPr>
          <w:color w:val="2E5395"/>
        </w:rPr>
        <w:t>Contexte</w:t>
      </w:r>
      <w:r>
        <w:rPr>
          <w:color w:val="2E5395"/>
          <w:spacing w:val="-7"/>
        </w:rPr>
        <w:t> </w:t>
      </w:r>
      <w:r>
        <w:rPr>
          <w:color w:val="2E5395"/>
          <w:spacing w:val="-2"/>
        </w:rPr>
        <w:t>général</w:t>
      </w:r>
    </w:p>
    <w:p>
      <w:pPr>
        <w:pStyle w:val="ListParagraph"/>
        <w:numPr>
          <w:ilvl w:val="1"/>
          <w:numId w:val="1"/>
        </w:numPr>
        <w:tabs>
          <w:tab w:pos="1491" w:val="left" w:leader="none"/>
          <w:tab w:pos="1493" w:val="left" w:leader="none"/>
        </w:tabs>
        <w:spacing w:line="240" w:lineRule="auto" w:before="183" w:after="0"/>
        <w:ind w:left="1493" w:right="1126" w:hanging="360"/>
        <w:jc w:val="both"/>
        <w:rPr>
          <w:sz w:val="24"/>
        </w:rPr>
      </w:pPr>
      <w:r>
        <w:rPr>
          <w:sz w:val="24"/>
        </w:rPr>
        <w:t>Le contexte général est à la fois géographique, démographique, administratif, politique et institutionnel. Sur le plan géographique, il faut rappeler qu'héritier des grands empires du Ghana, du Mali</w:t>
      </w:r>
      <w:r>
        <w:rPr>
          <w:spacing w:val="-2"/>
          <w:sz w:val="24"/>
        </w:rPr>
        <w:t> </w:t>
      </w:r>
      <w:r>
        <w:rPr>
          <w:sz w:val="24"/>
        </w:rPr>
        <w:t>et</w:t>
      </w:r>
      <w:r>
        <w:rPr>
          <w:spacing w:val="-1"/>
          <w:sz w:val="24"/>
        </w:rPr>
        <w:t> </w:t>
      </w:r>
      <w:r>
        <w:rPr>
          <w:sz w:val="24"/>
        </w:rPr>
        <w:t>du</w:t>
      </w:r>
      <w:r>
        <w:rPr>
          <w:spacing w:val="-1"/>
          <w:sz w:val="24"/>
        </w:rPr>
        <w:t> </w:t>
      </w:r>
      <w:r>
        <w:rPr>
          <w:sz w:val="24"/>
        </w:rPr>
        <w:t>Songhay</w:t>
      </w:r>
      <w:r>
        <w:rPr>
          <w:spacing w:val="-2"/>
          <w:sz w:val="24"/>
        </w:rPr>
        <w:t> </w:t>
      </w:r>
      <w:r>
        <w:rPr>
          <w:sz w:val="24"/>
        </w:rPr>
        <w:t>ainsi</w:t>
      </w:r>
      <w:r>
        <w:rPr>
          <w:spacing w:val="-2"/>
          <w:sz w:val="24"/>
        </w:rPr>
        <w:t> </w:t>
      </w:r>
      <w:r>
        <w:rPr>
          <w:sz w:val="24"/>
        </w:rPr>
        <w:t>que</w:t>
      </w:r>
      <w:r>
        <w:rPr>
          <w:spacing w:val="-1"/>
          <w:sz w:val="24"/>
        </w:rPr>
        <w:t> </w:t>
      </w:r>
      <w:r>
        <w:rPr>
          <w:sz w:val="24"/>
        </w:rPr>
        <w:t>des royaumes</w:t>
      </w:r>
      <w:r>
        <w:rPr>
          <w:spacing w:val="-1"/>
          <w:sz w:val="24"/>
        </w:rPr>
        <w:t> </w:t>
      </w:r>
      <w:r>
        <w:rPr>
          <w:sz w:val="24"/>
        </w:rPr>
        <w:t>de</w:t>
      </w:r>
      <w:r>
        <w:rPr>
          <w:spacing w:val="-3"/>
          <w:sz w:val="24"/>
        </w:rPr>
        <w:t> </w:t>
      </w:r>
      <w:r>
        <w:rPr>
          <w:sz w:val="24"/>
        </w:rPr>
        <w:t>Ségou,</w:t>
      </w:r>
      <w:r>
        <w:rPr>
          <w:spacing w:val="-3"/>
          <w:sz w:val="24"/>
        </w:rPr>
        <w:t> </w:t>
      </w:r>
      <w:r>
        <w:rPr>
          <w:sz w:val="24"/>
        </w:rPr>
        <w:t>du</w:t>
      </w:r>
      <w:r>
        <w:rPr>
          <w:spacing w:val="-1"/>
          <w:sz w:val="24"/>
        </w:rPr>
        <w:t> </w:t>
      </w:r>
      <w:r>
        <w:rPr>
          <w:sz w:val="24"/>
        </w:rPr>
        <w:t>Kaarta,</w:t>
      </w:r>
      <w:r>
        <w:rPr>
          <w:spacing w:val="-1"/>
          <w:sz w:val="24"/>
        </w:rPr>
        <w:t> </w:t>
      </w:r>
      <w:r>
        <w:rPr>
          <w:sz w:val="24"/>
        </w:rPr>
        <w:t>du</w:t>
      </w:r>
      <w:r>
        <w:rPr>
          <w:spacing w:val="-1"/>
          <w:sz w:val="24"/>
        </w:rPr>
        <w:t> </w:t>
      </w:r>
      <w:r>
        <w:rPr>
          <w:sz w:val="24"/>
        </w:rPr>
        <w:t>Macina</w:t>
      </w:r>
      <w:r>
        <w:rPr>
          <w:spacing w:val="-2"/>
          <w:sz w:val="24"/>
        </w:rPr>
        <w:t> </w:t>
      </w:r>
      <w:r>
        <w:rPr>
          <w:sz w:val="24"/>
        </w:rPr>
        <w:t>et</w:t>
      </w:r>
      <w:r>
        <w:rPr>
          <w:spacing w:val="-1"/>
          <w:sz w:val="24"/>
        </w:rPr>
        <w:t> </w:t>
      </w:r>
      <w:r>
        <w:rPr>
          <w:sz w:val="24"/>
        </w:rPr>
        <w:t>du</w:t>
      </w:r>
      <w:r>
        <w:rPr>
          <w:spacing w:val="-3"/>
          <w:sz w:val="24"/>
        </w:rPr>
        <w:t> </w:t>
      </w:r>
      <w:r>
        <w:rPr>
          <w:sz w:val="24"/>
        </w:rPr>
        <w:t>Kénédougou,</w:t>
      </w:r>
      <w:r>
        <w:rPr>
          <w:spacing w:val="-1"/>
          <w:sz w:val="24"/>
        </w:rPr>
        <w:t> </w:t>
      </w:r>
      <w:r>
        <w:rPr>
          <w:sz w:val="24"/>
        </w:rPr>
        <w:t>etc., le Mali s'étend sur une superficie de 1 241 238 km² pour une population de plus de 22 millions d'habitants. Il est traversé par les fleuves Niger et Sénégal, enclavé entre 7 Etats frontaliers</w:t>
      </w:r>
      <w:r>
        <w:rPr>
          <w:spacing w:val="40"/>
          <w:sz w:val="24"/>
        </w:rPr>
        <w:t> </w:t>
      </w:r>
      <w:r>
        <w:rPr>
          <w:sz w:val="24"/>
        </w:rPr>
        <w:t>et connaît 3 zones climatiques, (i) le Nord désertique sur les deux tiers du territoire, appartenant au Sahara méridional dont les précipitations ne dépassent pas une moyenne annuelle de 130 mm, (ii) le Centre sahélien au climat sec, avec des précipitations variant en moyenne annuelle entre 200 mm et 500 mm et dont le couvert végétal varie de la steppe dans sa partie nord à la savane dans sa partie sud, (iii) le Sud soudanien couvert par une savane arborée au nord et des forêts au sud avec des précipitations de 1 400 mm de moyenne annuelle.</w:t>
      </w:r>
    </w:p>
    <w:p>
      <w:pPr>
        <w:pStyle w:val="ListParagraph"/>
        <w:numPr>
          <w:ilvl w:val="1"/>
          <w:numId w:val="1"/>
        </w:numPr>
        <w:tabs>
          <w:tab w:pos="1491" w:val="left" w:leader="none"/>
          <w:tab w:pos="1493" w:val="left" w:leader="none"/>
        </w:tabs>
        <w:spacing w:line="240" w:lineRule="auto" w:before="185" w:after="0"/>
        <w:ind w:left="1493" w:right="1128" w:hanging="360"/>
        <w:jc w:val="both"/>
        <w:rPr>
          <w:sz w:val="24"/>
        </w:rPr>
      </w:pPr>
      <w:r>
        <w:rPr>
          <w:sz w:val="24"/>
        </w:rPr>
        <w:t>Les données démographiques (population, ressources humaines, emploi, habitat et équipements sociaux de base) sont issues du 5</w:t>
      </w:r>
      <w:r>
        <w:rPr>
          <w:position w:val="6"/>
          <w:sz w:val="16"/>
        </w:rPr>
        <w:t>ème</w:t>
      </w:r>
      <w:r>
        <w:rPr>
          <w:spacing w:val="24"/>
          <w:position w:val="6"/>
          <w:sz w:val="16"/>
        </w:rPr>
        <w:t> </w:t>
      </w:r>
      <w:r>
        <w:rPr>
          <w:sz w:val="24"/>
        </w:rPr>
        <w:t>Recensement Général de la Population et de l'Habitat, RGPH5 de 2022. Ce recensement a dénombré 22</w:t>
      </w:r>
      <w:r>
        <w:rPr>
          <w:spacing w:val="-2"/>
          <w:sz w:val="24"/>
        </w:rPr>
        <w:t> </w:t>
      </w:r>
      <w:r>
        <w:rPr>
          <w:sz w:val="24"/>
        </w:rPr>
        <w:t>395</w:t>
      </w:r>
      <w:r>
        <w:rPr>
          <w:spacing w:val="-2"/>
          <w:sz w:val="24"/>
        </w:rPr>
        <w:t> </w:t>
      </w:r>
      <w:r>
        <w:rPr>
          <w:sz w:val="24"/>
        </w:rPr>
        <w:t>489 habitants dont 49,7% de femmes et 47,2% de jeunes de moins de 15 ans, avec un âge moyen de 21,4 ans et un taux de croissance annuel estimé</w:t>
      </w:r>
      <w:r>
        <w:rPr>
          <w:spacing w:val="40"/>
          <w:sz w:val="24"/>
        </w:rPr>
        <w:t> </w:t>
      </w:r>
      <w:r>
        <w:rPr>
          <w:sz w:val="24"/>
        </w:rPr>
        <w:t>à 3,4%.</w:t>
      </w:r>
    </w:p>
    <w:p>
      <w:pPr>
        <w:pStyle w:val="ListParagraph"/>
        <w:numPr>
          <w:ilvl w:val="1"/>
          <w:numId w:val="1"/>
        </w:numPr>
        <w:tabs>
          <w:tab w:pos="1491" w:val="left" w:leader="none"/>
          <w:tab w:pos="1493" w:val="left" w:leader="none"/>
        </w:tabs>
        <w:spacing w:line="240" w:lineRule="auto" w:before="183" w:after="0"/>
        <w:ind w:left="1493" w:right="1125" w:hanging="360"/>
        <w:jc w:val="both"/>
        <w:rPr>
          <w:sz w:val="24"/>
        </w:rPr>
      </w:pPr>
      <w:r>
        <w:rPr>
          <w:sz w:val="24"/>
        </w:rPr>
        <w:t>L’organisation administrative de la République du Mali repose sur les circonscriptions administratives et les Collectivités Territoriales, qui trouvent toutes leur fondement dans la Constitution. Aussi, la Loi </w:t>
      </w:r>
      <w:r>
        <w:rPr>
          <w:color w:val="292828"/>
          <w:sz w:val="24"/>
        </w:rPr>
        <w:t>n°2023 003 du 13 mars 2023 portant création des circonscriptions administratives subdivise le pays en 1 District, 19 régions, 156 cercles, 466 arrondissements, 819 communes et 12 712 villages.</w:t>
      </w:r>
    </w:p>
    <w:p>
      <w:pPr>
        <w:pStyle w:val="ListParagraph"/>
        <w:numPr>
          <w:ilvl w:val="1"/>
          <w:numId w:val="1"/>
        </w:numPr>
        <w:tabs>
          <w:tab w:pos="1491" w:val="left" w:leader="none"/>
          <w:tab w:pos="1493" w:val="left" w:leader="none"/>
        </w:tabs>
        <w:spacing w:line="240" w:lineRule="auto" w:before="185" w:after="0"/>
        <w:ind w:left="1493" w:right="1132" w:hanging="360"/>
        <w:jc w:val="both"/>
        <w:rPr>
          <w:sz w:val="24"/>
        </w:rPr>
      </w:pPr>
      <w:r>
        <w:rPr>
          <w:color w:val="292828"/>
          <w:sz w:val="24"/>
        </w:rPr>
        <w:t>Sur le plan politique et institutionnel, la République du Mali a accédé à l’indépendance le 22 septembre 1960. De cette date à nos jours, le pays a connu quatre Républiques : la première République de 1960 à 1968 ; la deuxième République de 1974 à 1991 ; la troisième République de 1991 à 2023 et la quatrième République instituée suite à la promulgation de la Constitution par</w:t>
      </w:r>
      <w:r>
        <w:rPr>
          <w:color w:val="292828"/>
          <w:spacing w:val="40"/>
          <w:sz w:val="24"/>
        </w:rPr>
        <w:t> </w:t>
      </w:r>
      <w:r>
        <w:rPr>
          <w:color w:val="292828"/>
          <w:sz w:val="24"/>
        </w:rPr>
        <w:t>Décret</w:t>
      </w:r>
      <w:r>
        <w:rPr>
          <w:color w:val="292828"/>
          <w:spacing w:val="-2"/>
          <w:sz w:val="24"/>
        </w:rPr>
        <w:t> </w:t>
      </w:r>
      <w:r>
        <w:rPr>
          <w:color w:val="292828"/>
          <w:sz w:val="24"/>
        </w:rPr>
        <w:t>n°2023-0401/PT-RM</w:t>
      </w:r>
      <w:r>
        <w:rPr>
          <w:color w:val="292828"/>
          <w:spacing w:val="-3"/>
          <w:sz w:val="24"/>
        </w:rPr>
        <w:t> </w:t>
      </w:r>
      <w:r>
        <w:rPr>
          <w:color w:val="292828"/>
          <w:sz w:val="24"/>
        </w:rPr>
        <w:t>du</w:t>
      </w:r>
      <w:r>
        <w:rPr>
          <w:color w:val="292828"/>
          <w:spacing w:val="-2"/>
          <w:sz w:val="24"/>
        </w:rPr>
        <w:t> </w:t>
      </w:r>
      <w:r>
        <w:rPr>
          <w:color w:val="292828"/>
          <w:sz w:val="24"/>
        </w:rPr>
        <w:t>22</w:t>
      </w:r>
      <w:r>
        <w:rPr>
          <w:color w:val="292828"/>
          <w:spacing w:val="-2"/>
          <w:sz w:val="24"/>
        </w:rPr>
        <w:t> </w:t>
      </w:r>
      <w:r>
        <w:rPr>
          <w:color w:val="292828"/>
          <w:sz w:val="24"/>
        </w:rPr>
        <w:t>juillet</w:t>
      </w:r>
      <w:r>
        <w:rPr>
          <w:color w:val="292828"/>
          <w:spacing w:val="-4"/>
          <w:sz w:val="24"/>
        </w:rPr>
        <w:t> </w:t>
      </w:r>
      <w:r>
        <w:rPr>
          <w:color w:val="292828"/>
          <w:sz w:val="24"/>
        </w:rPr>
        <w:t>2023.</w:t>
      </w:r>
      <w:r>
        <w:rPr>
          <w:color w:val="292828"/>
          <w:spacing w:val="-2"/>
          <w:sz w:val="24"/>
        </w:rPr>
        <w:t> </w:t>
      </w:r>
      <w:r>
        <w:rPr>
          <w:color w:val="292828"/>
          <w:sz w:val="24"/>
        </w:rPr>
        <w:t>Cette</w:t>
      </w:r>
      <w:r>
        <w:rPr>
          <w:color w:val="292828"/>
          <w:spacing w:val="-2"/>
          <w:sz w:val="24"/>
        </w:rPr>
        <w:t> </w:t>
      </w:r>
      <w:r>
        <w:rPr>
          <w:color w:val="292828"/>
          <w:sz w:val="24"/>
        </w:rPr>
        <w:t>nouvelle</w:t>
      </w:r>
      <w:r>
        <w:rPr>
          <w:color w:val="292828"/>
          <w:spacing w:val="-2"/>
          <w:sz w:val="24"/>
        </w:rPr>
        <w:t> </w:t>
      </w:r>
      <w:r>
        <w:rPr>
          <w:color w:val="292828"/>
          <w:sz w:val="24"/>
        </w:rPr>
        <w:t>Constitution</w:t>
      </w:r>
      <w:r>
        <w:rPr>
          <w:color w:val="292828"/>
          <w:spacing w:val="-2"/>
          <w:sz w:val="24"/>
        </w:rPr>
        <w:t> </w:t>
      </w:r>
      <w:r>
        <w:rPr>
          <w:color w:val="292828"/>
          <w:sz w:val="24"/>
        </w:rPr>
        <w:t>marque</w:t>
      </w:r>
      <w:r>
        <w:rPr>
          <w:color w:val="292828"/>
          <w:spacing w:val="-4"/>
          <w:sz w:val="24"/>
        </w:rPr>
        <w:t> </w:t>
      </w:r>
      <w:r>
        <w:rPr>
          <w:color w:val="292828"/>
          <w:sz w:val="24"/>
        </w:rPr>
        <w:t>un</w:t>
      </w:r>
      <w:r>
        <w:rPr>
          <w:color w:val="292828"/>
          <w:spacing w:val="-2"/>
          <w:sz w:val="24"/>
        </w:rPr>
        <w:t> </w:t>
      </w:r>
      <w:r>
        <w:rPr>
          <w:color w:val="292828"/>
          <w:sz w:val="24"/>
        </w:rPr>
        <w:t>tournant</w:t>
      </w:r>
      <w:r>
        <w:rPr>
          <w:color w:val="292828"/>
          <w:spacing w:val="-2"/>
          <w:sz w:val="24"/>
        </w:rPr>
        <w:t> </w:t>
      </w:r>
      <w:r>
        <w:rPr>
          <w:color w:val="292828"/>
          <w:sz w:val="24"/>
        </w:rPr>
        <w:t>décisif pour le pays et comporte des vraies ruptures. Parmi les innovations majeures, on note, entre autres, l’affirmation claire du caractère unitaire de l’État du Mali, un parlement bicaméral, la création de la Cour des comptes, la suppression de la Haute Cour de Justice et du Haut Conseil des Collectivités.</w:t>
      </w:r>
    </w:p>
    <w:p>
      <w:pPr>
        <w:pStyle w:val="Heading3"/>
        <w:numPr>
          <w:ilvl w:val="1"/>
          <w:numId w:val="7"/>
        </w:numPr>
        <w:tabs>
          <w:tab w:pos="1517" w:val="left" w:leader="none"/>
        </w:tabs>
        <w:spacing w:line="240" w:lineRule="auto" w:before="183" w:after="0"/>
        <w:ind w:left="1517" w:right="0" w:hanging="384"/>
        <w:jc w:val="left"/>
      </w:pPr>
      <w:bookmarkStart w:name="_bookmark4" w:id="5"/>
      <w:bookmarkEnd w:id="5"/>
      <w:r>
        <w:rPr>
          <w:b w:val="0"/>
        </w:rPr>
      </w:r>
      <w:r>
        <w:rPr>
          <w:color w:val="2E5395"/>
        </w:rPr>
        <w:t>Atouts,</w:t>
      </w:r>
      <w:r>
        <w:rPr>
          <w:color w:val="2E5395"/>
          <w:spacing w:val="-5"/>
        </w:rPr>
        <w:t> </w:t>
      </w:r>
      <w:r>
        <w:rPr>
          <w:color w:val="2E5395"/>
        </w:rPr>
        <w:t>potentialités</w:t>
      </w:r>
      <w:r>
        <w:rPr>
          <w:color w:val="2E5395"/>
          <w:spacing w:val="-6"/>
        </w:rPr>
        <w:t> </w:t>
      </w:r>
      <w:r>
        <w:rPr>
          <w:color w:val="2E5395"/>
        </w:rPr>
        <w:t>et</w:t>
      </w:r>
      <w:r>
        <w:rPr>
          <w:color w:val="2E5395"/>
          <w:spacing w:val="-4"/>
        </w:rPr>
        <w:t> </w:t>
      </w:r>
      <w:r>
        <w:rPr>
          <w:color w:val="2E5395"/>
          <w:spacing w:val="-2"/>
        </w:rPr>
        <w:t>opportunités</w:t>
      </w:r>
    </w:p>
    <w:p>
      <w:pPr>
        <w:pStyle w:val="ListParagraph"/>
        <w:numPr>
          <w:ilvl w:val="1"/>
          <w:numId w:val="1"/>
        </w:numPr>
        <w:tabs>
          <w:tab w:pos="1491" w:val="left" w:leader="none"/>
          <w:tab w:pos="1493" w:val="left" w:leader="none"/>
        </w:tabs>
        <w:spacing w:line="240" w:lineRule="auto" w:before="183" w:after="0"/>
        <w:ind w:left="1493" w:right="1127" w:hanging="360"/>
        <w:jc w:val="both"/>
        <w:rPr>
          <w:sz w:val="24"/>
        </w:rPr>
      </w:pPr>
      <w:r>
        <w:rPr>
          <w:sz w:val="24"/>
        </w:rPr>
        <w:t>Le Mali dispose, pour son développement et le bien-être de sa population, d'un certain nombre d'atouts ou potentialités dont il devrait tirer plus avantage, qu'il s'agisse de ressources humaines, agricoles, hydrauliques, minérales, énergétiques, de sa position géographique stratégique, de sa culture ou des opportunités qu'offre l'économie numérique.</w:t>
      </w:r>
    </w:p>
    <w:p>
      <w:pPr>
        <w:pStyle w:val="ListParagraph"/>
        <w:numPr>
          <w:ilvl w:val="1"/>
          <w:numId w:val="1"/>
        </w:numPr>
        <w:tabs>
          <w:tab w:pos="1491" w:val="left" w:leader="none"/>
          <w:tab w:pos="1493" w:val="left" w:leader="none"/>
        </w:tabs>
        <w:spacing w:line="240" w:lineRule="auto" w:before="185" w:after="0"/>
        <w:ind w:left="1493" w:right="1127" w:hanging="360"/>
        <w:jc w:val="both"/>
        <w:rPr>
          <w:sz w:val="24"/>
        </w:rPr>
      </w:pPr>
      <w:r>
        <w:rPr>
          <w:sz w:val="24"/>
        </w:rPr>
        <w:t>Les potentialités agricoles du Mali englobent, entre autres, (i) la diversité agro-écologique, (ii) le potentiel de terres agricoles de 43,7 millions d’hectares utilisables dont 4,5% cultivés, 2,2 millions ha aménageables pour 23,5% aménagés, d'abondantes ressources animales avec 13 millions de têtes de bovins, 52 millions d'ovins-caprins, 1 million de dromadaires, 57 millions de sujets de volaille, (iii) d’importantes ressources en eaux, 70 milliards de m</w:t>
      </w:r>
      <w:r>
        <w:rPr>
          <w:position w:val="6"/>
          <w:sz w:val="16"/>
        </w:rPr>
        <w:t>3</w:t>
      </w:r>
      <w:r>
        <w:rPr>
          <w:spacing w:val="24"/>
          <w:position w:val="6"/>
          <w:sz w:val="16"/>
        </w:rPr>
        <w:t> </w:t>
      </w:r>
      <w:r>
        <w:rPr>
          <w:sz w:val="24"/>
        </w:rPr>
        <w:t>d’eaux, 2720 milliards de m³ de ressources en eaux souterraines avec un taux de reconstitution estimé à 66 milliards de m³/an, 5500 sites</w:t>
      </w:r>
      <w:r>
        <w:rPr>
          <w:spacing w:val="40"/>
          <w:sz w:val="24"/>
        </w:rPr>
        <w:t> </w:t>
      </w:r>
      <w:r>
        <w:rPr>
          <w:sz w:val="24"/>
        </w:rPr>
        <w:t>aquacoles</w:t>
      </w:r>
      <w:r>
        <w:rPr>
          <w:spacing w:val="-1"/>
          <w:sz w:val="24"/>
        </w:rPr>
        <w:t> </w:t>
      </w:r>
      <w:r>
        <w:rPr>
          <w:sz w:val="24"/>
        </w:rPr>
        <w:t>aménageables</w:t>
      </w:r>
      <w:r>
        <w:rPr>
          <w:spacing w:val="-1"/>
          <w:sz w:val="24"/>
        </w:rPr>
        <w:t> </w:t>
      </w:r>
      <w:r>
        <w:rPr>
          <w:sz w:val="24"/>
        </w:rPr>
        <w:t>sur 895 000</w:t>
      </w:r>
      <w:r>
        <w:rPr>
          <w:spacing w:val="-1"/>
          <w:sz w:val="24"/>
        </w:rPr>
        <w:t> </w:t>
      </w:r>
      <w:r>
        <w:rPr>
          <w:sz w:val="24"/>
        </w:rPr>
        <w:t>ha</w:t>
      </w:r>
      <w:r>
        <w:rPr>
          <w:spacing w:val="-1"/>
          <w:sz w:val="24"/>
        </w:rPr>
        <w:t> </w:t>
      </w:r>
      <w:r>
        <w:rPr>
          <w:sz w:val="24"/>
        </w:rPr>
        <w:t>dont 620</w:t>
      </w:r>
      <w:r>
        <w:rPr>
          <w:spacing w:val="-1"/>
          <w:sz w:val="24"/>
        </w:rPr>
        <w:t> </w:t>
      </w:r>
      <w:r>
        <w:rPr>
          <w:sz w:val="24"/>
        </w:rPr>
        <w:t>500 ha</w:t>
      </w:r>
      <w:r>
        <w:rPr>
          <w:spacing w:val="-1"/>
          <w:sz w:val="24"/>
        </w:rPr>
        <w:t> </w:t>
      </w:r>
      <w:r>
        <w:rPr>
          <w:sz w:val="24"/>
        </w:rPr>
        <w:t>de</w:t>
      </w:r>
      <w:r>
        <w:rPr>
          <w:spacing w:val="-1"/>
          <w:sz w:val="24"/>
        </w:rPr>
        <w:t> </w:t>
      </w:r>
      <w:r>
        <w:rPr>
          <w:sz w:val="24"/>
        </w:rPr>
        <w:t>bas-fond,</w:t>
      </w:r>
      <w:r>
        <w:rPr>
          <w:spacing w:val="-1"/>
          <w:sz w:val="24"/>
        </w:rPr>
        <w:t> </w:t>
      </w:r>
      <w:r>
        <w:rPr>
          <w:sz w:val="24"/>
        </w:rPr>
        <w:t>(iv) le potentiel de production de</w:t>
      </w:r>
      <w:r>
        <w:rPr>
          <w:spacing w:val="14"/>
          <w:sz w:val="24"/>
        </w:rPr>
        <w:t> </w:t>
      </w:r>
      <w:r>
        <w:rPr>
          <w:sz w:val="24"/>
        </w:rPr>
        <w:t>poisson</w:t>
      </w:r>
      <w:r>
        <w:rPr>
          <w:spacing w:val="15"/>
          <w:sz w:val="24"/>
        </w:rPr>
        <w:t> </w:t>
      </w:r>
      <w:r>
        <w:rPr>
          <w:sz w:val="24"/>
        </w:rPr>
        <w:t>est</w:t>
      </w:r>
      <w:r>
        <w:rPr>
          <w:spacing w:val="14"/>
          <w:sz w:val="24"/>
        </w:rPr>
        <w:t> </w:t>
      </w:r>
      <w:r>
        <w:rPr>
          <w:sz w:val="24"/>
        </w:rPr>
        <w:t>d'environ</w:t>
      </w:r>
      <w:r>
        <w:rPr>
          <w:spacing w:val="14"/>
          <w:sz w:val="24"/>
        </w:rPr>
        <w:t> </w:t>
      </w:r>
      <w:r>
        <w:rPr>
          <w:sz w:val="24"/>
        </w:rPr>
        <w:t>200</w:t>
      </w:r>
      <w:r>
        <w:rPr>
          <w:spacing w:val="14"/>
          <w:sz w:val="24"/>
        </w:rPr>
        <w:t> </w:t>
      </w:r>
      <w:r>
        <w:rPr>
          <w:sz w:val="24"/>
        </w:rPr>
        <w:t>000</w:t>
      </w:r>
      <w:r>
        <w:rPr>
          <w:spacing w:val="14"/>
          <w:sz w:val="24"/>
        </w:rPr>
        <w:t> </w:t>
      </w:r>
      <w:r>
        <w:rPr>
          <w:sz w:val="24"/>
        </w:rPr>
        <w:t>tonnes</w:t>
      </w:r>
      <w:r>
        <w:rPr>
          <w:spacing w:val="13"/>
          <w:sz w:val="24"/>
        </w:rPr>
        <w:t> </w:t>
      </w:r>
      <w:r>
        <w:rPr>
          <w:sz w:val="24"/>
        </w:rPr>
        <w:t>par</w:t>
      </w:r>
      <w:r>
        <w:rPr>
          <w:spacing w:val="12"/>
          <w:sz w:val="24"/>
        </w:rPr>
        <w:t> </w:t>
      </w:r>
      <w:r>
        <w:rPr>
          <w:sz w:val="24"/>
        </w:rPr>
        <w:t>an,</w:t>
      </w:r>
      <w:r>
        <w:rPr>
          <w:spacing w:val="14"/>
          <w:sz w:val="24"/>
        </w:rPr>
        <w:t> </w:t>
      </w:r>
      <w:r>
        <w:rPr>
          <w:sz w:val="24"/>
        </w:rPr>
        <w:t>avec</w:t>
      </w:r>
      <w:r>
        <w:rPr>
          <w:spacing w:val="11"/>
          <w:sz w:val="24"/>
        </w:rPr>
        <w:t> </w:t>
      </w:r>
      <w:r>
        <w:rPr>
          <w:sz w:val="24"/>
        </w:rPr>
        <w:t>110</w:t>
      </w:r>
      <w:r>
        <w:rPr>
          <w:spacing w:val="14"/>
          <w:sz w:val="24"/>
        </w:rPr>
        <w:t> </w:t>
      </w:r>
      <w:r>
        <w:rPr>
          <w:sz w:val="24"/>
        </w:rPr>
        <w:t>366</w:t>
      </w:r>
      <w:r>
        <w:rPr>
          <w:spacing w:val="14"/>
          <w:sz w:val="24"/>
        </w:rPr>
        <w:t> </w:t>
      </w:r>
      <w:r>
        <w:rPr>
          <w:sz w:val="24"/>
        </w:rPr>
        <w:t>tonnes</w:t>
      </w:r>
      <w:r>
        <w:rPr>
          <w:spacing w:val="13"/>
          <w:sz w:val="24"/>
        </w:rPr>
        <w:t> </w:t>
      </w:r>
      <w:r>
        <w:rPr>
          <w:sz w:val="24"/>
        </w:rPr>
        <w:t>de</w:t>
      </w:r>
      <w:r>
        <w:rPr>
          <w:spacing w:val="14"/>
          <w:sz w:val="24"/>
        </w:rPr>
        <w:t> </w:t>
      </w:r>
      <w:r>
        <w:rPr>
          <w:sz w:val="24"/>
        </w:rPr>
        <w:t>poisson</w:t>
      </w:r>
      <w:r>
        <w:rPr>
          <w:spacing w:val="12"/>
          <w:sz w:val="24"/>
        </w:rPr>
        <w:t> </w:t>
      </w:r>
      <w:r>
        <w:rPr>
          <w:sz w:val="24"/>
        </w:rPr>
        <w:t>en</w:t>
      </w:r>
      <w:r>
        <w:rPr>
          <w:spacing w:val="14"/>
          <w:sz w:val="24"/>
        </w:rPr>
        <w:t> </w:t>
      </w:r>
      <w:r>
        <w:rPr>
          <w:sz w:val="24"/>
        </w:rPr>
        <w:t>2022</w:t>
      </w:r>
      <w:r>
        <w:rPr>
          <w:spacing w:val="18"/>
          <w:sz w:val="24"/>
        </w:rPr>
        <w:t> </w:t>
      </w:r>
      <w:r>
        <w:rPr>
          <w:sz w:val="24"/>
        </w:rPr>
        <w:t>et</w:t>
      </w:r>
      <w:r>
        <w:rPr>
          <w:spacing w:val="14"/>
          <w:sz w:val="24"/>
        </w:rPr>
        <w:t> </w:t>
      </w:r>
      <w:r>
        <w:rPr>
          <w:sz w:val="24"/>
        </w:rPr>
        <w:t>(v)</w:t>
      </w:r>
      <w:r>
        <w:rPr>
          <w:spacing w:val="12"/>
          <w:sz w:val="24"/>
        </w:rPr>
        <w:t> </w:t>
      </w:r>
      <w:r>
        <w:rPr>
          <w:sz w:val="24"/>
        </w:rPr>
        <w:t>le</w:t>
      </w:r>
    </w:p>
    <w:p>
      <w:pPr>
        <w:pStyle w:val="ListParagraph"/>
        <w:spacing w:after="0" w:line="240" w:lineRule="auto"/>
        <w:jc w:val="both"/>
        <w:rPr>
          <w:sz w:val="24"/>
        </w:rPr>
        <w:sectPr>
          <w:pgSz w:w="11910" w:h="16840"/>
          <w:pgMar w:header="0" w:footer="680" w:top="1500" w:bottom="960" w:left="283" w:right="141"/>
        </w:sectPr>
      </w:pPr>
    </w:p>
    <w:p>
      <w:pPr>
        <w:pStyle w:val="BodyText"/>
        <w:spacing w:before="78"/>
        <w:ind w:right="1139" w:firstLine="0"/>
        <w:jc w:val="left"/>
      </w:pPr>
      <w:r>
        <w:rPr/>
        <w:t>potentiel forestier de 100 millions ha dont 17% sont aujourd'hui productifs avec 7 millions de tonnes par an de potentiel de régénération naturelle.</w:t>
      </w:r>
    </w:p>
    <w:p>
      <w:pPr>
        <w:pStyle w:val="ListParagraph"/>
        <w:numPr>
          <w:ilvl w:val="1"/>
          <w:numId w:val="1"/>
        </w:numPr>
        <w:tabs>
          <w:tab w:pos="1491" w:val="left" w:leader="none"/>
          <w:tab w:pos="1493" w:val="left" w:leader="none"/>
        </w:tabs>
        <w:spacing w:line="240" w:lineRule="auto" w:before="184" w:after="0"/>
        <w:ind w:left="1493" w:right="1127" w:hanging="360"/>
        <w:jc w:val="both"/>
        <w:rPr>
          <w:sz w:val="24"/>
        </w:rPr>
      </w:pPr>
      <w:r>
        <w:rPr>
          <w:sz w:val="24"/>
        </w:rPr>
        <w:t>Les ressources en eaux de surface du Mali comprennent (i) les pluies avec, une forte variation interannuelle et une mauvaise répartition spatiale, pour 415 milliards de m</w:t>
      </w:r>
      <w:r>
        <w:rPr>
          <w:position w:val="6"/>
          <w:sz w:val="16"/>
        </w:rPr>
        <w:t>3 </w:t>
      </w:r>
      <w:r>
        <w:rPr>
          <w:sz w:val="24"/>
        </w:rPr>
        <w:t>d’eaux par an, (ii) les ressources en eaux de surface, fortes des 300 000 km² du bassin fluvial du Niger, des 155 000 km² du</w:t>
      </w:r>
      <w:r>
        <w:rPr>
          <w:spacing w:val="66"/>
          <w:sz w:val="24"/>
        </w:rPr>
        <w:t> </w:t>
      </w:r>
      <w:r>
        <w:rPr>
          <w:sz w:val="24"/>
        </w:rPr>
        <w:t>bassin</w:t>
      </w:r>
      <w:r>
        <w:rPr>
          <w:spacing w:val="66"/>
          <w:sz w:val="24"/>
        </w:rPr>
        <w:t> </w:t>
      </w:r>
      <w:r>
        <w:rPr>
          <w:sz w:val="24"/>
        </w:rPr>
        <w:t>du</w:t>
      </w:r>
      <w:r>
        <w:rPr>
          <w:spacing w:val="68"/>
          <w:sz w:val="24"/>
        </w:rPr>
        <w:t> </w:t>
      </w:r>
      <w:r>
        <w:rPr>
          <w:sz w:val="24"/>
        </w:rPr>
        <w:t>Sénégal</w:t>
      </w:r>
      <w:r>
        <w:rPr>
          <w:spacing w:val="65"/>
          <w:sz w:val="24"/>
        </w:rPr>
        <w:t> </w:t>
      </w:r>
      <w:r>
        <w:rPr>
          <w:sz w:val="24"/>
        </w:rPr>
        <w:t>et</w:t>
      </w:r>
      <w:r>
        <w:rPr>
          <w:spacing w:val="66"/>
          <w:sz w:val="24"/>
        </w:rPr>
        <w:t> </w:t>
      </w:r>
      <w:r>
        <w:rPr>
          <w:sz w:val="24"/>
        </w:rPr>
        <w:t>des</w:t>
      </w:r>
      <w:r>
        <w:rPr>
          <w:spacing w:val="65"/>
          <w:sz w:val="24"/>
        </w:rPr>
        <w:t> </w:t>
      </w:r>
      <w:r>
        <w:rPr>
          <w:sz w:val="24"/>
        </w:rPr>
        <w:t>15</w:t>
      </w:r>
      <w:r>
        <w:rPr>
          <w:spacing w:val="66"/>
          <w:sz w:val="24"/>
        </w:rPr>
        <w:t> </w:t>
      </w:r>
      <w:r>
        <w:rPr>
          <w:sz w:val="24"/>
        </w:rPr>
        <w:t>392</w:t>
      </w:r>
      <w:r>
        <w:rPr>
          <w:spacing w:val="66"/>
          <w:sz w:val="24"/>
        </w:rPr>
        <w:t> </w:t>
      </w:r>
      <w:r>
        <w:rPr>
          <w:sz w:val="24"/>
        </w:rPr>
        <w:t>km²</w:t>
      </w:r>
      <w:r>
        <w:rPr>
          <w:spacing w:val="65"/>
          <w:sz w:val="24"/>
        </w:rPr>
        <w:t> </w:t>
      </w:r>
      <w:r>
        <w:rPr>
          <w:sz w:val="24"/>
        </w:rPr>
        <w:t>du</w:t>
      </w:r>
      <w:r>
        <w:rPr>
          <w:spacing w:val="66"/>
          <w:sz w:val="24"/>
        </w:rPr>
        <w:t> </w:t>
      </w:r>
      <w:r>
        <w:rPr>
          <w:sz w:val="24"/>
        </w:rPr>
        <w:t>bassin</w:t>
      </w:r>
      <w:r>
        <w:rPr>
          <w:spacing w:val="66"/>
          <w:sz w:val="24"/>
        </w:rPr>
        <w:t> </w:t>
      </w:r>
      <w:r>
        <w:rPr>
          <w:sz w:val="24"/>
        </w:rPr>
        <w:t>de</w:t>
      </w:r>
      <w:r>
        <w:rPr>
          <w:spacing w:val="66"/>
          <w:sz w:val="24"/>
        </w:rPr>
        <w:t> </w:t>
      </w:r>
      <w:r>
        <w:rPr>
          <w:sz w:val="24"/>
        </w:rPr>
        <w:t>la</w:t>
      </w:r>
      <w:r>
        <w:rPr>
          <w:spacing w:val="66"/>
          <w:sz w:val="24"/>
        </w:rPr>
        <w:t> </w:t>
      </w:r>
      <w:r>
        <w:rPr>
          <w:sz w:val="24"/>
        </w:rPr>
        <w:t>Volta</w:t>
      </w:r>
      <w:r>
        <w:rPr>
          <w:spacing w:val="66"/>
          <w:sz w:val="24"/>
        </w:rPr>
        <w:t> </w:t>
      </w:r>
      <w:r>
        <w:rPr>
          <w:sz w:val="24"/>
        </w:rPr>
        <w:t>représenté</w:t>
      </w:r>
      <w:r>
        <w:rPr>
          <w:spacing w:val="66"/>
          <w:sz w:val="24"/>
        </w:rPr>
        <w:t> </w:t>
      </w:r>
      <w:r>
        <w:rPr>
          <w:sz w:val="24"/>
        </w:rPr>
        <w:t>par</w:t>
      </w:r>
      <w:r>
        <w:rPr>
          <w:spacing w:val="65"/>
          <w:sz w:val="24"/>
        </w:rPr>
        <w:t> </w:t>
      </w:r>
      <w:r>
        <w:rPr>
          <w:sz w:val="24"/>
        </w:rPr>
        <w:t>le</w:t>
      </w:r>
      <w:r>
        <w:rPr>
          <w:spacing w:val="66"/>
          <w:sz w:val="24"/>
        </w:rPr>
        <w:t> </w:t>
      </w:r>
      <w:r>
        <w:rPr>
          <w:sz w:val="24"/>
        </w:rPr>
        <w:t>Sourou. A ce potentiel de ressources pérennes, il faut ajouter 15 milliards de m</w:t>
      </w:r>
      <w:r>
        <w:rPr>
          <w:position w:val="6"/>
          <w:sz w:val="16"/>
        </w:rPr>
        <w:t>3 </w:t>
      </w:r>
      <w:r>
        <w:rPr>
          <w:sz w:val="24"/>
        </w:rPr>
        <w:t>de ressources en eaux de surface non pérennes constituées de sites naturels capables avec ou sans aménagement de</w:t>
      </w:r>
      <w:r>
        <w:rPr>
          <w:spacing w:val="40"/>
          <w:sz w:val="24"/>
        </w:rPr>
        <w:t> </w:t>
      </w:r>
      <w:r>
        <w:rPr>
          <w:sz w:val="24"/>
        </w:rPr>
        <w:t>recueillir des ruissellements et de les conserver pendant un certain temps. Les ressources en eaux souterraines sont estimées à 2 700 milliards de m</w:t>
      </w:r>
      <w:r>
        <w:rPr>
          <w:position w:val="6"/>
          <w:sz w:val="16"/>
        </w:rPr>
        <w:t>3</w:t>
      </w:r>
      <w:r>
        <w:rPr>
          <w:spacing w:val="40"/>
          <w:position w:val="6"/>
          <w:sz w:val="16"/>
        </w:rPr>
        <w:t> </w:t>
      </w:r>
      <w:r>
        <w:rPr>
          <w:sz w:val="24"/>
        </w:rPr>
        <w:t>de réserves statiques avec un taux annuel de renouvellement évalué à 66 milliards de m</w:t>
      </w:r>
      <w:r>
        <w:rPr>
          <w:position w:val="6"/>
          <w:sz w:val="16"/>
        </w:rPr>
        <w:t>3</w:t>
      </w:r>
      <w:r>
        <w:rPr>
          <w:sz w:val="24"/>
        </w:rPr>
        <w:t>.</w:t>
      </w:r>
    </w:p>
    <w:p>
      <w:pPr>
        <w:pStyle w:val="ListParagraph"/>
        <w:numPr>
          <w:ilvl w:val="1"/>
          <w:numId w:val="1"/>
        </w:numPr>
        <w:tabs>
          <w:tab w:pos="1491" w:val="left" w:leader="none"/>
          <w:tab w:pos="1493" w:val="left" w:leader="none"/>
        </w:tabs>
        <w:spacing w:line="259" w:lineRule="auto" w:before="186" w:after="0"/>
        <w:ind w:left="1493" w:right="1133" w:hanging="360"/>
        <w:jc w:val="both"/>
        <w:rPr>
          <w:sz w:val="24"/>
        </w:rPr>
      </w:pPr>
      <w:r>
        <w:rPr>
          <w:sz w:val="24"/>
        </w:rPr>
        <w:t>En matière de ressources minières, le sous-sol regorge d’une importante réserve de pierres précieuses</w:t>
      </w:r>
      <w:r>
        <w:rPr>
          <w:spacing w:val="39"/>
          <w:sz w:val="24"/>
        </w:rPr>
        <w:t> </w:t>
      </w:r>
      <w:r>
        <w:rPr>
          <w:sz w:val="24"/>
        </w:rPr>
        <w:t>et</w:t>
      </w:r>
      <w:r>
        <w:rPr>
          <w:spacing w:val="40"/>
          <w:sz w:val="24"/>
        </w:rPr>
        <w:t> </w:t>
      </w:r>
      <w:r>
        <w:rPr>
          <w:sz w:val="24"/>
        </w:rPr>
        <w:t>de</w:t>
      </w:r>
      <w:r>
        <w:rPr>
          <w:spacing w:val="40"/>
          <w:sz w:val="24"/>
        </w:rPr>
        <w:t> </w:t>
      </w:r>
      <w:r>
        <w:rPr>
          <w:sz w:val="24"/>
        </w:rPr>
        <w:t>matières</w:t>
      </w:r>
      <w:r>
        <w:rPr>
          <w:spacing w:val="39"/>
          <w:sz w:val="24"/>
        </w:rPr>
        <w:t> </w:t>
      </w:r>
      <w:r>
        <w:rPr>
          <w:sz w:val="24"/>
        </w:rPr>
        <w:t>fossiles,</w:t>
      </w:r>
      <w:r>
        <w:rPr>
          <w:spacing w:val="40"/>
          <w:sz w:val="24"/>
        </w:rPr>
        <w:t> </w:t>
      </w:r>
      <w:r>
        <w:rPr>
          <w:sz w:val="24"/>
        </w:rPr>
        <w:t>réparties</w:t>
      </w:r>
      <w:r>
        <w:rPr>
          <w:spacing w:val="40"/>
          <w:sz w:val="24"/>
        </w:rPr>
        <w:t> </w:t>
      </w:r>
      <w:r>
        <w:rPr>
          <w:sz w:val="24"/>
        </w:rPr>
        <w:t>quasiment</w:t>
      </w:r>
      <w:r>
        <w:rPr>
          <w:spacing w:val="40"/>
          <w:sz w:val="24"/>
        </w:rPr>
        <w:t> </w:t>
      </w:r>
      <w:r>
        <w:rPr>
          <w:sz w:val="24"/>
        </w:rPr>
        <w:t>sur</w:t>
      </w:r>
      <w:r>
        <w:rPr>
          <w:spacing w:val="40"/>
          <w:sz w:val="24"/>
        </w:rPr>
        <w:t> </w:t>
      </w:r>
      <w:r>
        <w:rPr>
          <w:sz w:val="24"/>
        </w:rPr>
        <w:t>toute</w:t>
      </w:r>
      <w:r>
        <w:rPr>
          <w:spacing w:val="40"/>
          <w:sz w:val="24"/>
        </w:rPr>
        <w:t> </w:t>
      </w:r>
      <w:r>
        <w:rPr>
          <w:sz w:val="24"/>
        </w:rPr>
        <w:t>l’étendue</w:t>
      </w:r>
      <w:r>
        <w:rPr>
          <w:spacing w:val="40"/>
          <w:sz w:val="24"/>
        </w:rPr>
        <w:t> </w:t>
      </w:r>
      <w:r>
        <w:rPr>
          <w:sz w:val="24"/>
        </w:rPr>
        <w:t>du</w:t>
      </w:r>
      <w:r>
        <w:rPr>
          <w:spacing w:val="40"/>
          <w:sz w:val="24"/>
        </w:rPr>
        <w:t> </w:t>
      </w:r>
      <w:r>
        <w:rPr>
          <w:sz w:val="24"/>
        </w:rPr>
        <w:t>territoire</w:t>
      </w:r>
      <w:r>
        <w:rPr>
          <w:spacing w:val="40"/>
          <w:sz w:val="24"/>
        </w:rPr>
        <w:t> </w:t>
      </w:r>
      <w:r>
        <w:rPr>
          <w:sz w:val="24"/>
        </w:rPr>
        <w:t>national. Ce sont principalement (i) l'or, plus de 50% de tous les indices répertoriés, surtout des placers dans les formations du Birrimien, (ii) des kimberlites et diamants sur environ 10 000 km². Plusieurs diamants de</w:t>
      </w:r>
      <w:r>
        <w:rPr>
          <w:spacing w:val="13"/>
          <w:sz w:val="24"/>
        </w:rPr>
        <w:t> </w:t>
      </w:r>
      <w:r>
        <w:rPr>
          <w:sz w:val="24"/>
        </w:rPr>
        <w:t>qualité</w:t>
      </w:r>
      <w:r>
        <w:rPr>
          <w:spacing w:val="13"/>
          <w:sz w:val="24"/>
        </w:rPr>
        <w:t> </w:t>
      </w:r>
      <w:r>
        <w:rPr>
          <w:sz w:val="24"/>
        </w:rPr>
        <w:t>joaillière y ont été</w:t>
      </w:r>
      <w:r>
        <w:rPr>
          <w:spacing w:val="13"/>
          <w:sz w:val="24"/>
        </w:rPr>
        <w:t> </w:t>
      </w:r>
      <w:r>
        <w:rPr>
          <w:sz w:val="24"/>
        </w:rPr>
        <w:t>découverts, (iii)</w:t>
      </w:r>
      <w:r>
        <w:rPr>
          <w:spacing w:val="18"/>
          <w:sz w:val="24"/>
        </w:rPr>
        <w:t> </w:t>
      </w:r>
      <w:r>
        <w:rPr>
          <w:sz w:val="24"/>
        </w:rPr>
        <w:t>le</w:t>
      </w:r>
      <w:r>
        <w:rPr>
          <w:spacing w:val="13"/>
          <w:sz w:val="24"/>
        </w:rPr>
        <w:t> </w:t>
      </w:r>
      <w:r>
        <w:rPr>
          <w:sz w:val="24"/>
        </w:rPr>
        <w:t>cuivre</w:t>
      </w:r>
      <w:r>
        <w:rPr>
          <w:spacing w:val="13"/>
          <w:sz w:val="24"/>
        </w:rPr>
        <w:t> </w:t>
      </w:r>
      <w:r>
        <w:rPr>
          <w:sz w:val="24"/>
        </w:rPr>
        <w:t>et</w:t>
      </w:r>
      <w:r>
        <w:rPr>
          <w:spacing w:val="14"/>
          <w:sz w:val="24"/>
        </w:rPr>
        <w:t> </w:t>
      </w:r>
      <w:r>
        <w:rPr>
          <w:sz w:val="24"/>
        </w:rPr>
        <w:t>le</w:t>
      </w:r>
      <w:r>
        <w:rPr>
          <w:spacing w:val="13"/>
          <w:sz w:val="24"/>
        </w:rPr>
        <w:t> </w:t>
      </w:r>
      <w:r>
        <w:rPr>
          <w:sz w:val="24"/>
        </w:rPr>
        <w:t>nickel, au</w:t>
      </w:r>
      <w:r>
        <w:rPr>
          <w:spacing w:val="13"/>
          <w:sz w:val="24"/>
        </w:rPr>
        <w:t> </w:t>
      </w:r>
      <w:r>
        <w:rPr>
          <w:sz w:val="24"/>
        </w:rPr>
        <w:t>potentiel mal connu,</w:t>
      </w:r>
    </w:p>
    <w:p>
      <w:pPr>
        <w:pStyle w:val="BodyText"/>
        <w:spacing w:line="259" w:lineRule="auto" w:before="0"/>
        <w:ind w:right="1127" w:firstLine="0"/>
      </w:pPr>
      <w:r>
        <w:rPr/>
        <w:t>(iv) le fer, dans la zone linéaire de Falémé sur plus de 60 km, dans le bassin du Bafing-Bakoye pour 500 millions de tonnes de potentiel, (v) la bauxite sur une bande d’une centaine de kilomètres de largeur depuis la frontière guinéenne jusqu’à une centaine de kilomètres à l’est du fleuve Niger, avec des réserves estimées à 138 millions de tonnes, (vi) du manganèse, dans le Gourma oriental , (vii) le phosphate dont le gisement de Tamaguilelt dans la partie nord et à l’ouest de l’Adrar des Iforas, (viii) le calcaire pour la fabrication de ciment, environ 40 millions de tonnes</w:t>
      </w:r>
      <w:r>
        <w:rPr>
          <w:spacing w:val="-2"/>
        </w:rPr>
        <w:t> </w:t>
      </w:r>
      <w:r>
        <w:rPr/>
        <w:t>de</w:t>
      </w:r>
      <w:r>
        <w:rPr>
          <w:spacing w:val="-1"/>
        </w:rPr>
        <w:t> </w:t>
      </w:r>
      <w:r>
        <w:rPr/>
        <w:t>potentiel,</w:t>
      </w:r>
      <w:r>
        <w:rPr>
          <w:spacing w:val="-2"/>
        </w:rPr>
        <w:t> </w:t>
      </w:r>
      <w:r>
        <w:rPr/>
        <w:t>(ix) le sel gemme, 53 millions de tonnes de réserves, etc. Le potentiel pétrolier et gazier du Mali reste peu connu, les bassins sédimentaires étant jusqu'ici peu explorés, (x) le lithium avec un potentiel de 130 millions de 1,11 à 1,45%Li2O pour les gisements de Galamina et Foulaboula, plaçant le Mali dans le top dix des pays détenteurs de réserves de lithium au monde et (xi) l’uranium avec une réserve de 5000 tonnes de U3O6 et 200 tonnes de U3O2 à 0,085 % à l’Adrar des Iforas et à Faléa.</w:t>
      </w:r>
    </w:p>
    <w:p>
      <w:pPr>
        <w:pStyle w:val="ListParagraph"/>
        <w:numPr>
          <w:ilvl w:val="1"/>
          <w:numId w:val="1"/>
        </w:numPr>
        <w:tabs>
          <w:tab w:pos="1491" w:val="left" w:leader="none"/>
          <w:tab w:pos="1493" w:val="left" w:leader="none"/>
        </w:tabs>
        <w:spacing w:line="259" w:lineRule="auto" w:before="157" w:after="0"/>
        <w:ind w:left="1493" w:right="1130" w:hanging="360"/>
        <w:jc w:val="both"/>
        <w:rPr>
          <w:sz w:val="24"/>
        </w:rPr>
      </w:pPr>
      <w:r>
        <w:rPr>
          <w:sz w:val="24"/>
        </w:rPr>
        <w:t>Le potentiel énergétique des différents aménagements hydro-électriques réalisés et à réaliser concerne de nombreux sites, notamment ceux de Sélingué, Manantali, Taoussa, Labbézanga, Guîna et Félou, avec d'importantes possibilités d’hydroélectricité dont 5600 MW sur les fleuves Niger et Sénégal</w:t>
      </w:r>
      <w:r>
        <w:rPr>
          <w:spacing w:val="-5"/>
          <w:sz w:val="24"/>
        </w:rPr>
        <w:t> </w:t>
      </w:r>
      <w:r>
        <w:rPr>
          <w:sz w:val="24"/>
        </w:rPr>
        <w:t>avec</w:t>
      </w:r>
      <w:r>
        <w:rPr>
          <w:spacing w:val="-3"/>
          <w:sz w:val="24"/>
        </w:rPr>
        <w:t> </w:t>
      </w:r>
      <w:r>
        <w:rPr>
          <w:sz w:val="24"/>
        </w:rPr>
        <w:t>seulement</w:t>
      </w:r>
      <w:r>
        <w:rPr>
          <w:spacing w:val="-2"/>
          <w:sz w:val="24"/>
        </w:rPr>
        <w:t> </w:t>
      </w:r>
      <w:r>
        <w:rPr>
          <w:sz w:val="24"/>
        </w:rPr>
        <w:t>30%</w:t>
      </w:r>
      <w:r>
        <w:rPr>
          <w:spacing w:val="-2"/>
          <w:sz w:val="24"/>
        </w:rPr>
        <w:t> </w:t>
      </w:r>
      <w:r>
        <w:rPr>
          <w:sz w:val="24"/>
        </w:rPr>
        <w:t>exploités.</w:t>
      </w:r>
      <w:r>
        <w:rPr>
          <w:spacing w:val="-2"/>
          <w:sz w:val="24"/>
        </w:rPr>
        <w:t> </w:t>
      </w:r>
      <w:r>
        <w:rPr>
          <w:sz w:val="24"/>
        </w:rPr>
        <w:t>Le</w:t>
      </w:r>
      <w:r>
        <w:rPr>
          <w:spacing w:val="-2"/>
          <w:sz w:val="24"/>
        </w:rPr>
        <w:t> </w:t>
      </w:r>
      <w:r>
        <w:rPr>
          <w:sz w:val="24"/>
        </w:rPr>
        <w:t>Mali</w:t>
      </w:r>
      <w:r>
        <w:rPr>
          <w:spacing w:val="-3"/>
          <w:sz w:val="24"/>
        </w:rPr>
        <w:t> </w:t>
      </w:r>
      <w:r>
        <w:rPr>
          <w:sz w:val="24"/>
        </w:rPr>
        <w:t>est</w:t>
      </w:r>
      <w:r>
        <w:rPr>
          <w:spacing w:val="-2"/>
          <w:sz w:val="24"/>
        </w:rPr>
        <w:t> </w:t>
      </w:r>
      <w:r>
        <w:rPr>
          <w:sz w:val="24"/>
        </w:rPr>
        <w:t>situé</w:t>
      </w:r>
      <w:r>
        <w:rPr>
          <w:spacing w:val="-2"/>
          <w:sz w:val="24"/>
        </w:rPr>
        <w:t> </w:t>
      </w:r>
      <w:r>
        <w:rPr>
          <w:sz w:val="24"/>
        </w:rPr>
        <w:t>dans</w:t>
      </w:r>
      <w:r>
        <w:rPr>
          <w:spacing w:val="-3"/>
          <w:sz w:val="24"/>
        </w:rPr>
        <w:t> </w:t>
      </w:r>
      <w:r>
        <w:rPr>
          <w:sz w:val="24"/>
        </w:rPr>
        <w:t>une</w:t>
      </w:r>
      <w:r>
        <w:rPr>
          <w:spacing w:val="-2"/>
          <w:sz w:val="24"/>
        </w:rPr>
        <w:t> </w:t>
      </w:r>
      <w:r>
        <w:rPr>
          <w:sz w:val="24"/>
        </w:rPr>
        <w:t>région</w:t>
      </w:r>
      <w:r>
        <w:rPr>
          <w:spacing w:val="-3"/>
          <w:sz w:val="24"/>
        </w:rPr>
        <w:t> </w:t>
      </w:r>
      <w:r>
        <w:rPr>
          <w:sz w:val="24"/>
        </w:rPr>
        <w:t>à</w:t>
      </w:r>
      <w:r>
        <w:rPr>
          <w:spacing w:val="-2"/>
          <w:sz w:val="24"/>
        </w:rPr>
        <w:t> </w:t>
      </w:r>
      <w:r>
        <w:rPr>
          <w:sz w:val="24"/>
        </w:rPr>
        <w:t>fort</w:t>
      </w:r>
      <w:r>
        <w:rPr>
          <w:spacing w:val="-5"/>
          <w:sz w:val="24"/>
        </w:rPr>
        <w:t> </w:t>
      </w:r>
      <w:r>
        <w:rPr>
          <w:sz w:val="24"/>
        </w:rPr>
        <w:t>potentiel</w:t>
      </w:r>
      <w:r>
        <w:rPr>
          <w:spacing w:val="-3"/>
          <w:sz w:val="24"/>
        </w:rPr>
        <w:t> </w:t>
      </w:r>
      <w:r>
        <w:rPr>
          <w:sz w:val="24"/>
        </w:rPr>
        <w:t>solaire</w:t>
      </w:r>
      <w:r>
        <w:rPr>
          <w:spacing w:val="-2"/>
          <w:sz w:val="24"/>
        </w:rPr>
        <w:t> </w:t>
      </w:r>
      <w:r>
        <w:rPr>
          <w:sz w:val="24"/>
        </w:rPr>
        <w:t>et</w:t>
      </w:r>
      <w:r>
        <w:rPr>
          <w:spacing w:val="-2"/>
          <w:sz w:val="24"/>
        </w:rPr>
        <w:t> </w:t>
      </w:r>
      <w:r>
        <w:rPr>
          <w:sz w:val="24"/>
        </w:rPr>
        <w:t>se présente comme un pays particulièrement propice au développement de technologies solaires. Le rayonnement solaire moyen est estimé entre 5 à 7 kWh/m²/jour avec une durée d’ensoleillement journalière de 7 à 10 heures laissant présager un fort potentiel de production à partir du solaire </w:t>
      </w:r>
      <w:r>
        <w:rPr>
          <w:spacing w:val="-2"/>
          <w:sz w:val="24"/>
        </w:rPr>
        <w:t>photovoltaïque...</w:t>
      </w:r>
    </w:p>
    <w:p>
      <w:pPr>
        <w:pStyle w:val="BodyText"/>
        <w:spacing w:before="65"/>
        <w:ind w:left="0" w:firstLine="0"/>
        <w:jc w:val="left"/>
      </w:pPr>
    </w:p>
    <w:p>
      <w:pPr>
        <w:pStyle w:val="Heading3"/>
        <w:numPr>
          <w:ilvl w:val="1"/>
          <w:numId w:val="7"/>
        </w:numPr>
        <w:tabs>
          <w:tab w:pos="1517" w:val="left" w:leader="none"/>
        </w:tabs>
        <w:spacing w:line="240" w:lineRule="auto" w:before="0" w:after="0"/>
        <w:ind w:left="1517" w:right="0" w:hanging="384"/>
        <w:jc w:val="left"/>
      </w:pPr>
      <w:bookmarkStart w:name="_bookmark5" w:id="6"/>
      <w:bookmarkEnd w:id="6"/>
      <w:r>
        <w:rPr>
          <w:b w:val="0"/>
        </w:rPr>
      </w:r>
      <w:r>
        <w:rPr>
          <w:color w:val="2E5395"/>
        </w:rPr>
        <w:t>Analyse</w:t>
      </w:r>
      <w:r>
        <w:rPr>
          <w:color w:val="2E5395"/>
          <w:spacing w:val="-5"/>
        </w:rPr>
        <w:t> </w:t>
      </w:r>
      <w:r>
        <w:rPr>
          <w:color w:val="2E5395"/>
        </w:rPr>
        <w:t>diagnostique</w:t>
      </w:r>
      <w:r>
        <w:rPr>
          <w:color w:val="2E5395"/>
          <w:spacing w:val="-3"/>
        </w:rPr>
        <w:t> </w:t>
      </w:r>
      <w:r>
        <w:rPr>
          <w:color w:val="2E5395"/>
        </w:rPr>
        <w:t>du</w:t>
      </w:r>
      <w:r>
        <w:rPr>
          <w:color w:val="2E5395"/>
          <w:spacing w:val="-3"/>
        </w:rPr>
        <w:t> </w:t>
      </w:r>
      <w:r>
        <w:rPr>
          <w:color w:val="2E5395"/>
        </w:rPr>
        <w:t>«</w:t>
      </w:r>
      <w:r>
        <w:rPr>
          <w:color w:val="2E5395"/>
          <w:spacing w:val="-2"/>
        </w:rPr>
        <w:t> </w:t>
      </w:r>
      <w:r>
        <w:rPr>
          <w:color w:val="2E5395"/>
        </w:rPr>
        <w:t>Système</w:t>
      </w:r>
      <w:r>
        <w:rPr>
          <w:color w:val="2E5395"/>
          <w:spacing w:val="-4"/>
        </w:rPr>
        <w:t> </w:t>
      </w:r>
      <w:r>
        <w:rPr>
          <w:color w:val="2E5395"/>
        </w:rPr>
        <w:t>Mali</w:t>
      </w:r>
      <w:r>
        <w:rPr>
          <w:color w:val="2E5395"/>
          <w:spacing w:val="-4"/>
        </w:rPr>
        <w:t> </w:t>
      </w:r>
      <w:r>
        <w:rPr>
          <w:color w:val="2E5395"/>
          <w:spacing w:val="-10"/>
        </w:rPr>
        <w:t>»</w:t>
      </w:r>
    </w:p>
    <w:p>
      <w:pPr>
        <w:pStyle w:val="ListParagraph"/>
        <w:numPr>
          <w:ilvl w:val="1"/>
          <w:numId w:val="1"/>
        </w:numPr>
        <w:tabs>
          <w:tab w:pos="1491" w:val="left" w:leader="none"/>
          <w:tab w:pos="1493" w:val="left" w:leader="none"/>
        </w:tabs>
        <w:spacing w:line="240" w:lineRule="auto" w:before="183" w:after="0"/>
        <w:ind w:left="1493" w:right="1131" w:hanging="360"/>
        <w:jc w:val="both"/>
        <w:rPr>
          <w:sz w:val="24"/>
        </w:rPr>
      </w:pPr>
      <w:r>
        <w:rPr>
          <w:sz w:val="24"/>
        </w:rPr>
        <w:t>Il s'agit d’analyser la situation du pays sur la base de l'évaluation du CREDD 2019-2023 et de l'ENP Mali 2025, des perceptions des populations relatives aux problèmes de développement les plus importants du pays et des résultats de l’analyse structurelle du système Mali. Cette analyse est également menée au regard des recommandations des Assises Nationales de la Refondation.</w:t>
      </w:r>
    </w:p>
    <w:p>
      <w:pPr>
        <w:pStyle w:val="Heading3"/>
        <w:spacing w:before="185"/>
      </w:pPr>
      <w:r>
        <w:rPr/>
        <w:t>Evaluation</w:t>
      </w:r>
      <w:r>
        <w:rPr>
          <w:spacing w:val="-3"/>
        </w:rPr>
        <w:t> </w:t>
      </w:r>
      <w:r>
        <w:rPr/>
        <w:t>du</w:t>
      </w:r>
      <w:r>
        <w:rPr>
          <w:spacing w:val="-1"/>
        </w:rPr>
        <w:t> </w:t>
      </w:r>
      <w:r>
        <w:rPr/>
        <w:t>CREDD</w:t>
      </w:r>
      <w:r>
        <w:rPr>
          <w:spacing w:val="-1"/>
        </w:rPr>
        <w:t> </w:t>
      </w:r>
      <w:r>
        <w:rPr/>
        <w:t>2019-</w:t>
      </w:r>
      <w:r>
        <w:rPr>
          <w:spacing w:val="-4"/>
        </w:rPr>
        <w:t>2023</w:t>
      </w:r>
    </w:p>
    <w:p>
      <w:pPr>
        <w:pStyle w:val="ListParagraph"/>
        <w:numPr>
          <w:ilvl w:val="1"/>
          <w:numId w:val="1"/>
        </w:numPr>
        <w:tabs>
          <w:tab w:pos="358" w:val="left" w:leader="none"/>
        </w:tabs>
        <w:spacing w:line="240" w:lineRule="auto" w:before="183" w:after="0"/>
        <w:ind w:left="358" w:right="1141" w:hanging="358"/>
        <w:jc w:val="right"/>
        <w:rPr>
          <w:sz w:val="24"/>
        </w:rPr>
      </w:pPr>
      <w:r>
        <w:rPr>
          <w:sz w:val="24"/>
        </w:rPr>
        <w:t>L'évaluation</w:t>
      </w:r>
      <w:r>
        <w:rPr>
          <w:spacing w:val="-2"/>
          <w:sz w:val="24"/>
        </w:rPr>
        <w:t> </w:t>
      </w:r>
      <w:r>
        <w:rPr>
          <w:sz w:val="24"/>
        </w:rPr>
        <w:t>du</w:t>
      </w:r>
      <w:r>
        <w:rPr>
          <w:spacing w:val="2"/>
          <w:sz w:val="24"/>
        </w:rPr>
        <w:t> </w:t>
      </w:r>
      <w:r>
        <w:rPr>
          <w:sz w:val="24"/>
        </w:rPr>
        <w:t>CREDD</w:t>
      </w:r>
      <w:r>
        <w:rPr>
          <w:spacing w:val="-1"/>
          <w:sz w:val="24"/>
        </w:rPr>
        <w:t> </w:t>
      </w:r>
      <w:r>
        <w:rPr>
          <w:sz w:val="24"/>
        </w:rPr>
        <w:t>examine, axe</w:t>
      </w:r>
      <w:r>
        <w:rPr>
          <w:spacing w:val="1"/>
          <w:sz w:val="24"/>
        </w:rPr>
        <w:t> </w:t>
      </w:r>
      <w:r>
        <w:rPr>
          <w:sz w:val="24"/>
        </w:rPr>
        <w:t>après</w:t>
      </w:r>
      <w:r>
        <w:rPr>
          <w:spacing w:val="-1"/>
          <w:sz w:val="24"/>
        </w:rPr>
        <w:t> </w:t>
      </w:r>
      <w:r>
        <w:rPr>
          <w:sz w:val="24"/>
        </w:rPr>
        <w:t>axe</w:t>
      </w:r>
      <w:r>
        <w:rPr>
          <w:spacing w:val="1"/>
          <w:sz w:val="24"/>
        </w:rPr>
        <w:t> </w:t>
      </w:r>
      <w:r>
        <w:rPr>
          <w:sz w:val="24"/>
        </w:rPr>
        <w:t>et par</w:t>
      </w:r>
      <w:r>
        <w:rPr>
          <w:spacing w:val="2"/>
          <w:sz w:val="24"/>
        </w:rPr>
        <w:t> </w:t>
      </w:r>
      <w:r>
        <w:rPr>
          <w:sz w:val="24"/>
        </w:rPr>
        <w:t>objectif, les</w:t>
      </w:r>
      <w:r>
        <w:rPr>
          <w:spacing w:val="3"/>
          <w:sz w:val="24"/>
        </w:rPr>
        <w:t> </w:t>
      </w:r>
      <w:r>
        <w:rPr>
          <w:sz w:val="24"/>
        </w:rPr>
        <w:t>résultats obtenus et</w:t>
      </w:r>
      <w:r>
        <w:rPr>
          <w:spacing w:val="2"/>
          <w:sz w:val="24"/>
        </w:rPr>
        <w:t> </w:t>
      </w:r>
      <w:r>
        <w:rPr>
          <w:sz w:val="24"/>
        </w:rPr>
        <w:t>les</w:t>
      </w:r>
      <w:r>
        <w:rPr>
          <w:spacing w:val="1"/>
          <w:sz w:val="24"/>
        </w:rPr>
        <w:t> </w:t>
      </w:r>
      <w:r>
        <w:rPr>
          <w:spacing w:val="-2"/>
          <w:sz w:val="24"/>
        </w:rPr>
        <w:t>contextes</w:t>
      </w:r>
    </w:p>
    <w:p>
      <w:pPr>
        <w:pStyle w:val="BodyText"/>
        <w:spacing w:before="1"/>
        <w:ind w:left="0" w:right="1143" w:firstLine="0"/>
        <w:jc w:val="right"/>
      </w:pPr>
      <w:r>
        <w:rPr/>
        <w:t>favorables</w:t>
      </w:r>
      <w:r>
        <w:rPr>
          <w:spacing w:val="19"/>
        </w:rPr>
        <w:t> </w:t>
      </w:r>
      <w:r>
        <w:rPr/>
        <w:t>ou</w:t>
      </w:r>
      <w:r>
        <w:rPr>
          <w:spacing w:val="19"/>
        </w:rPr>
        <w:t> </w:t>
      </w:r>
      <w:r>
        <w:rPr/>
        <w:t>défavorables</w:t>
      </w:r>
      <w:r>
        <w:rPr>
          <w:spacing w:val="20"/>
        </w:rPr>
        <w:t> </w:t>
      </w:r>
      <w:r>
        <w:rPr/>
        <w:t>à</w:t>
      </w:r>
      <w:r>
        <w:rPr>
          <w:spacing w:val="21"/>
        </w:rPr>
        <w:t> </w:t>
      </w:r>
      <w:r>
        <w:rPr/>
        <w:t>sa</w:t>
      </w:r>
      <w:r>
        <w:rPr>
          <w:spacing w:val="21"/>
        </w:rPr>
        <w:t> </w:t>
      </w:r>
      <w:r>
        <w:rPr/>
        <w:t>mise</w:t>
      </w:r>
      <w:r>
        <w:rPr>
          <w:spacing w:val="21"/>
        </w:rPr>
        <w:t> </w:t>
      </w:r>
      <w:r>
        <w:rPr/>
        <w:t>en</w:t>
      </w:r>
      <w:r>
        <w:rPr>
          <w:spacing w:val="22"/>
        </w:rPr>
        <w:t> </w:t>
      </w:r>
      <w:r>
        <w:rPr/>
        <w:t>œuvre.</w:t>
      </w:r>
      <w:r>
        <w:rPr>
          <w:spacing w:val="21"/>
        </w:rPr>
        <w:t> </w:t>
      </w:r>
      <w:r>
        <w:rPr/>
        <w:t>Les</w:t>
      </w:r>
      <w:r>
        <w:rPr>
          <w:spacing w:val="19"/>
        </w:rPr>
        <w:t> </w:t>
      </w:r>
      <w:r>
        <w:rPr/>
        <w:t>5</w:t>
      </w:r>
      <w:r>
        <w:rPr>
          <w:spacing w:val="21"/>
        </w:rPr>
        <w:t> </w:t>
      </w:r>
      <w:r>
        <w:rPr/>
        <w:t>axes</w:t>
      </w:r>
      <w:r>
        <w:rPr>
          <w:spacing w:val="21"/>
        </w:rPr>
        <w:t> </w:t>
      </w:r>
      <w:r>
        <w:rPr/>
        <w:t>stratégiques</w:t>
      </w:r>
      <w:r>
        <w:rPr>
          <w:spacing w:val="19"/>
        </w:rPr>
        <w:t> </w:t>
      </w:r>
      <w:r>
        <w:rPr/>
        <w:t>du</w:t>
      </w:r>
      <w:r>
        <w:rPr>
          <w:spacing w:val="21"/>
        </w:rPr>
        <w:t> </w:t>
      </w:r>
      <w:r>
        <w:rPr/>
        <w:t>CREDD</w:t>
      </w:r>
      <w:r>
        <w:rPr>
          <w:spacing w:val="20"/>
        </w:rPr>
        <w:t> </w:t>
      </w:r>
      <w:r>
        <w:rPr/>
        <w:t>totalisent</w:t>
      </w:r>
      <w:r>
        <w:rPr>
          <w:spacing w:val="22"/>
        </w:rPr>
        <w:t> </w:t>
      </w:r>
      <w:r>
        <w:rPr>
          <w:spacing w:val="-5"/>
        </w:rPr>
        <w:t>23</w:t>
      </w:r>
    </w:p>
    <w:p>
      <w:pPr>
        <w:pStyle w:val="BodyText"/>
        <w:spacing w:after="0"/>
        <w:jc w:val="right"/>
        <w:sectPr>
          <w:pgSz w:w="11910" w:h="16840"/>
          <w:pgMar w:header="0" w:footer="680" w:top="1320" w:bottom="960" w:left="283" w:right="141"/>
        </w:sectPr>
      </w:pPr>
    </w:p>
    <w:p>
      <w:pPr>
        <w:pStyle w:val="BodyText"/>
        <w:spacing w:before="78"/>
        <w:ind w:right="1130" w:firstLine="0"/>
      </w:pPr>
      <w:r>
        <w:rPr/>
        <w:t>objectifs globaux, déclinés</w:t>
      </w:r>
      <w:r>
        <w:rPr>
          <w:spacing w:val="-2"/>
        </w:rPr>
        <w:t> </w:t>
      </w:r>
      <w:r>
        <w:rPr/>
        <w:t>en objectifs spécifiques et lignes d’action, assortis d’une liste d’indicateurs consignés dans le Cadre de mesure de performances et évalués à l’occasion de la Revue annuelle</w:t>
      </w:r>
      <w:r>
        <w:rPr>
          <w:spacing w:val="40"/>
        </w:rPr>
        <w:t> </w:t>
      </w:r>
      <w:r>
        <w:rPr/>
        <w:t>du CREDD et des ODD. L’année 2023 est la dernière année du cycle des réalisations du CREDD.</w:t>
      </w:r>
    </w:p>
    <w:p>
      <w:pPr>
        <w:pStyle w:val="ListParagraph"/>
        <w:numPr>
          <w:ilvl w:val="1"/>
          <w:numId w:val="1"/>
        </w:numPr>
        <w:tabs>
          <w:tab w:pos="1491" w:val="left" w:leader="none"/>
          <w:tab w:pos="1493" w:val="left" w:leader="none"/>
        </w:tabs>
        <w:spacing w:line="240" w:lineRule="auto" w:before="185" w:after="0"/>
        <w:ind w:left="1493" w:right="1129" w:hanging="360"/>
        <w:jc w:val="both"/>
        <w:rPr>
          <w:sz w:val="24"/>
        </w:rPr>
      </w:pPr>
      <w:r>
        <w:rPr>
          <w:b/>
          <w:sz w:val="24"/>
        </w:rPr>
        <w:t>Axe 1 : Consolidation</w:t>
      </w:r>
      <w:r>
        <w:rPr>
          <w:b/>
          <w:spacing w:val="-1"/>
          <w:sz w:val="24"/>
        </w:rPr>
        <w:t> </w:t>
      </w:r>
      <w:r>
        <w:rPr>
          <w:b/>
          <w:sz w:val="24"/>
        </w:rPr>
        <w:t>de la démocratie et</w:t>
      </w:r>
      <w:r>
        <w:rPr>
          <w:b/>
          <w:spacing w:val="-1"/>
          <w:sz w:val="24"/>
        </w:rPr>
        <w:t> </w:t>
      </w:r>
      <w:r>
        <w:rPr>
          <w:b/>
          <w:sz w:val="24"/>
        </w:rPr>
        <w:t>amélioration de la gouvernance </w:t>
      </w:r>
      <w:r>
        <w:rPr>
          <w:color w:val="C00000"/>
          <w:sz w:val="24"/>
        </w:rPr>
        <w:t>: </w:t>
      </w:r>
      <w:r>
        <w:rPr>
          <w:sz w:val="24"/>
        </w:rPr>
        <w:t>La proclamation des résultats définitifs des élections législatives tenues en mars et avril 2020 a donné lieu à des manifestations postélectorales qui ont conduit aux changements politiques et institutionnels intervenus le 18 août 2020 et à la rectification de la trajectoire de la Transition à partir du 24 mai</w:t>
      </w:r>
      <w:r>
        <w:rPr>
          <w:spacing w:val="40"/>
          <w:sz w:val="24"/>
        </w:rPr>
        <w:t> </w:t>
      </w:r>
      <w:r>
        <w:rPr>
          <w:sz w:val="24"/>
        </w:rPr>
        <w:t>2021. La refondation de l’Etat est au cœur des activités de réformes du Gouvernement de la Transition. Dans ce cadre, il a été organisé en décembre 2021 les ANR dont l’objectif était de faire l’état de la Nation et engager un véritable processus de refondation de l’Etat. L’exécution des recommandations des ANR s’est traduite par la mise en œuvre de certaines réformes politiques et institutionnelles</w:t>
      </w:r>
      <w:r>
        <w:rPr>
          <w:spacing w:val="-2"/>
          <w:sz w:val="24"/>
        </w:rPr>
        <w:t> </w:t>
      </w:r>
      <w:r>
        <w:rPr>
          <w:sz w:val="24"/>
        </w:rPr>
        <w:t>pour asseoir les bases</w:t>
      </w:r>
      <w:r>
        <w:rPr>
          <w:spacing w:val="-1"/>
          <w:sz w:val="24"/>
        </w:rPr>
        <w:t> </w:t>
      </w:r>
      <w:r>
        <w:rPr>
          <w:sz w:val="24"/>
        </w:rPr>
        <w:t>de la démocratie. Il s’agit</w:t>
      </w:r>
      <w:r>
        <w:rPr>
          <w:spacing w:val="-1"/>
          <w:sz w:val="24"/>
        </w:rPr>
        <w:t> </w:t>
      </w:r>
      <w:r>
        <w:rPr>
          <w:sz w:val="24"/>
        </w:rPr>
        <w:t>notamment</w:t>
      </w:r>
      <w:r>
        <w:rPr>
          <w:spacing w:val="-1"/>
          <w:sz w:val="24"/>
        </w:rPr>
        <w:t> </w:t>
      </w:r>
      <w:r>
        <w:rPr>
          <w:sz w:val="24"/>
        </w:rPr>
        <w:t>(i) de</w:t>
      </w:r>
      <w:r>
        <w:rPr>
          <w:spacing w:val="-1"/>
          <w:sz w:val="24"/>
        </w:rPr>
        <w:t> </w:t>
      </w:r>
      <w:r>
        <w:rPr>
          <w:sz w:val="24"/>
        </w:rPr>
        <w:t>la promulgation</w:t>
      </w:r>
      <w:r>
        <w:rPr>
          <w:spacing w:val="-1"/>
          <w:sz w:val="24"/>
        </w:rPr>
        <w:t> </w:t>
      </w:r>
      <w:r>
        <w:rPr>
          <w:sz w:val="24"/>
        </w:rPr>
        <w:t>de la Loi n°2022-019</w:t>
      </w:r>
      <w:r>
        <w:rPr>
          <w:spacing w:val="-2"/>
          <w:sz w:val="24"/>
        </w:rPr>
        <w:t> </w:t>
      </w:r>
      <w:r>
        <w:rPr>
          <w:sz w:val="24"/>
        </w:rPr>
        <w:t>du</w:t>
      </w:r>
      <w:r>
        <w:rPr>
          <w:spacing w:val="-1"/>
          <w:sz w:val="24"/>
        </w:rPr>
        <w:t> </w:t>
      </w:r>
      <w:r>
        <w:rPr>
          <w:sz w:val="24"/>
        </w:rPr>
        <w:t>24</w:t>
      </w:r>
      <w:r>
        <w:rPr>
          <w:spacing w:val="-1"/>
          <w:sz w:val="24"/>
        </w:rPr>
        <w:t> </w:t>
      </w:r>
      <w:r>
        <w:rPr>
          <w:sz w:val="24"/>
        </w:rPr>
        <w:t>juin 2022 portant</w:t>
      </w:r>
      <w:r>
        <w:rPr>
          <w:spacing w:val="-2"/>
          <w:sz w:val="24"/>
        </w:rPr>
        <w:t> </w:t>
      </w:r>
      <w:r>
        <w:rPr>
          <w:sz w:val="24"/>
        </w:rPr>
        <w:t>Loi</w:t>
      </w:r>
      <w:r>
        <w:rPr>
          <w:spacing w:val="-3"/>
          <w:sz w:val="24"/>
        </w:rPr>
        <w:t> </w:t>
      </w:r>
      <w:r>
        <w:rPr>
          <w:sz w:val="24"/>
        </w:rPr>
        <w:t>électorale par</w:t>
      </w:r>
      <w:r>
        <w:rPr>
          <w:spacing w:val="-1"/>
          <w:sz w:val="24"/>
        </w:rPr>
        <w:t> </w:t>
      </w:r>
      <w:r>
        <w:rPr>
          <w:sz w:val="24"/>
        </w:rPr>
        <w:t>le</w:t>
      </w:r>
      <w:r>
        <w:rPr>
          <w:spacing w:val="-2"/>
          <w:sz w:val="24"/>
        </w:rPr>
        <w:t> </w:t>
      </w:r>
      <w:r>
        <w:rPr>
          <w:sz w:val="24"/>
        </w:rPr>
        <w:t>Président</w:t>
      </w:r>
      <w:r>
        <w:rPr>
          <w:spacing w:val="-2"/>
          <w:sz w:val="24"/>
        </w:rPr>
        <w:t> </w:t>
      </w:r>
      <w:r>
        <w:rPr>
          <w:sz w:val="24"/>
        </w:rPr>
        <w:t>de la</w:t>
      </w:r>
      <w:r>
        <w:rPr>
          <w:spacing w:val="-2"/>
          <w:sz w:val="24"/>
        </w:rPr>
        <w:t> </w:t>
      </w:r>
      <w:r>
        <w:rPr>
          <w:sz w:val="24"/>
        </w:rPr>
        <w:t>Transition ;</w:t>
      </w:r>
      <w:r>
        <w:rPr>
          <w:spacing w:val="-2"/>
          <w:sz w:val="24"/>
        </w:rPr>
        <w:t> </w:t>
      </w:r>
      <w:r>
        <w:rPr>
          <w:sz w:val="24"/>
        </w:rPr>
        <w:t>(ii)</w:t>
      </w:r>
      <w:r>
        <w:rPr>
          <w:spacing w:val="-1"/>
          <w:sz w:val="24"/>
        </w:rPr>
        <w:t> </w:t>
      </w:r>
      <w:r>
        <w:rPr>
          <w:sz w:val="24"/>
        </w:rPr>
        <w:t>la tenue de l’élection référendaire le 18 juin 2023 et la promulgation de la Constitution par le Président de la Transition par Décret N°2023-0401/PT-RM du 22 juillet 2023.</w:t>
      </w:r>
    </w:p>
    <w:p>
      <w:pPr>
        <w:pStyle w:val="ListParagraph"/>
        <w:numPr>
          <w:ilvl w:val="1"/>
          <w:numId w:val="1"/>
        </w:numPr>
        <w:tabs>
          <w:tab w:pos="1491" w:val="left" w:leader="none"/>
          <w:tab w:pos="1493" w:val="left" w:leader="none"/>
        </w:tabs>
        <w:spacing w:line="240" w:lineRule="auto" w:before="183" w:after="0"/>
        <w:ind w:left="1493" w:right="1132" w:hanging="360"/>
        <w:jc w:val="both"/>
        <w:rPr>
          <w:sz w:val="24"/>
        </w:rPr>
      </w:pPr>
      <w:r>
        <w:rPr>
          <w:b/>
          <w:sz w:val="24"/>
        </w:rPr>
        <w:t>Dans</w:t>
      </w:r>
      <w:r>
        <w:rPr>
          <w:b/>
          <w:spacing w:val="-1"/>
          <w:sz w:val="24"/>
        </w:rPr>
        <w:t> </w:t>
      </w:r>
      <w:r>
        <w:rPr>
          <w:b/>
          <w:sz w:val="24"/>
        </w:rPr>
        <w:t>le</w:t>
      </w:r>
      <w:r>
        <w:rPr>
          <w:b/>
          <w:spacing w:val="-1"/>
          <w:sz w:val="24"/>
        </w:rPr>
        <w:t> </w:t>
      </w:r>
      <w:r>
        <w:rPr>
          <w:b/>
          <w:sz w:val="24"/>
        </w:rPr>
        <w:t>domaine</w:t>
      </w:r>
      <w:r>
        <w:rPr>
          <w:b/>
          <w:spacing w:val="-1"/>
          <w:sz w:val="24"/>
        </w:rPr>
        <w:t> </w:t>
      </w:r>
      <w:r>
        <w:rPr>
          <w:b/>
          <w:sz w:val="24"/>
        </w:rPr>
        <w:t>de</w:t>
      </w:r>
      <w:r>
        <w:rPr>
          <w:b/>
          <w:spacing w:val="-1"/>
          <w:sz w:val="24"/>
        </w:rPr>
        <w:t> </w:t>
      </w:r>
      <w:r>
        <w:rPr>
          <w:b/>
          <w:sz w:val="24"/>
        </w:rPr>
        <w:t>la</w:t>
      </w:r>
      <w:r>
        <w:rPr>
          <w:b/>
          <w:spacing w:val="-1"/>
          <w:sz w:val="24"/>
        </w:rPr>
        <w:t> </w:t>
      </w:r>
      <w:r>
        <w:rPr>
          <w:b/>
          <w:sz w:val="24"/>
        </w:rPr>
        <w:t>coopération</w:t>
      </w:r>
      <w:r>
        <w:rPr>
          <w:sz w:val="24"/>
        </w:rPr>
        <w:t>,</w:t>
      </w:r>
      <w:r>
        <w:rPr>
          <w:spacing w:val="-1"/>
          <w:sz w:val="24"/>
        </w:rPr>
        <w:t> </w:t>
      </w:r>
      <w:r>
        <w:rPr>
          <w:sz w:val="24"/>
        </w:rPr>
        <w:t>une</w:t>
      </w:r>
      <w:r>
        <w:rPr>
          <w:spacing w:val="-3"/>
          <w:sz w:val="24"/>
        </w:rPr>
        <w:t> </w:t>
      </w:r>
      <w:r>
        <w:rPr>
          <w:sz w:val="24"/>
        </w:rPr>
        <w:t>nouvelle</w:t>
      </w:r>
      <w:r>
        <w:rPr>
          <w:spacing w:val="-1"/>
          <w:sz w:val="24"/>
        </w:rPr>
        <w:t> </w:t>
      </w:r>
      <w:r>
        <w:rPr>
          <w:sz w:val="24"/>
        </w:rPr>
        <w:t>réorientation</w:t>
      </w:r>
      <w:r>
        <w:rPr>
          <w:spacing w:val="-1"/>
          <w:sz w:val="24"/>
        </w:rPr>
        <w:t> </w:t>
      </w:r>
      <w:r>
        <w:rPr>
          <w:sz w:val="24"/>
        </w:rPr>
        <w:t>des</w:t>
      </w:r>
      <w:r>
        <w:rPr>
          <w:spacing w:val="-2"/>
          <w:sz w:val="24"/>
        </w:rPr>
        <w:t> </w:t>
      </w:r>
      <w:r>
        <w:rPr>
          <w:sz w:val="24"/>
        </w:rPr>
        <w:t>relations</w:t>
      </w:r>
      <w:r>
        <w:rPr>
          <w:spacing w:val="-2"/>
          <w:sz w:val="24"/>
        </w:rPr>
        <w:t> </w:t>
      </w:r>
      <w:r>
        <w:rPr>
          <w:sz w:val="24"/>
        </w:rPr>
        <w:t>de</w:t>
      </w:r>
      <w:r>
        <w:rPr>
          <w:spacing w:val="-3"/>
          <w:sz w:val="24"/>
        </w:rPr>
        <w:t> </w:t>
      </w:r>
      <w:r>
        <w:rPr>
          <w:sz w:val="24"/>
        </w:rPr>
        <w:t>coopération</w:t>
      </w:r>
      <w:r>
        <w:rPr>
          <w:spacing w:val="-2"/>
          <w:sz w:val="24"/>
        </w:rPr>
        <w:t> </w:t>
      </w:r>
      <w:r>
        <w:rPr>
          <w:sz w:val="24"/>
        </w:rPr>
        <w:t>du</w:t>
      </w:r>
      <w:r>
        <w:rPr>
          <w:spacing w:val="-1"/>
          <w:sz w:val="24"/>
        </w:rPr>
        <w:t> </w:t>
      </w:r>
      <w:r>
        <w:rPr>
          <w:sz w:val="24"/>
        </w:rPr>
        <w:t>Mali s’est opérée, guidée par trois principes, à savoir : (i) le respect de la souveraineté du Mali, (ii) le respect des choix stratégiques et des choix de partenaires du Mali et (iii) la défense des intérêts du peuple malien dans les prises de décisions.</w:t>
      </w:r>
    </w:p>
    <w:p>
      <w:pPr>
        <w:pStyle w:val="ListParagraph"/>
        <w:numPr>
          <w:ilvl w:val="1"/>
          <w:numId w:val="1"/>
        </w:numPr>
        <w:tabs>
          <w:tab w:pos="1491" w:val="left" w:leader="none"/>
          <w:tab w:pos="1493" w:val="left" w:leader="none"/>
        </w:tabs>
        <w:spacing w:line="240" w:lineRule="auto" w:before="185" w:after="0"/>
        <w:ind w:left="1493" w:right="1127" w:hanging="360"/>
        <w:jc w:val="both"/>
        <w:rPr>
          <w:sz w:val="24"/>
        </w:rPr>
      </w:pPr>
      <w:r>
        <w:rPr>
          <w:b/>
          <w:sz w:val="24"/>
        </w:rPr>
        <w:t>Axe 2 : Restauration de la paix, de la sécurité et renforcement du vivre ensemble </w:t>
      </w:r>
      <w:r>
        <w:rPr>
          <w:sz w:val="24"/>
        </w:rPr>
        <w:t>: Après les résultats enregistrés dans la mise en œuvre de l’Accord pour la Paix et la Réconciliation au Mali issu du</w:t>
      </w:r>
      <w:r>
        <w:rPr>
          <w:spacing w:val="-1"/>
          <w:sz w:val="24"/>
        </w:rPr>
        <w:t> </w:t>
      </w:r>
      <w:r>
        <w:rPr>
          <w:sz w:val="24"/>
        </w:rPr>
        <w:t>processus</w:t>
      </w:r>
      <w:r>
        <w:rPr>
          <w:spacing w:val="-2"/>
          <w:sz w:val="24"/>
        </w:rPr>
        <w:t> </w:t>
      </w:r>
      <w:r>
        <w:rPr>
          <w:sz w:val="24"/>
        </w:rPr>
        <w:t>d’Alger</w:t>
      </w:r>
      <w:r>
        <w:rPr>
          <w:spacing w:val="-2"/>
          <w:sz w:val="24"/>
        </w:rPr>
        <w:t> </w:t>
      </w:r>
      <w:r>
        <w:rPr>
          <w:sz w:val="24"/>
        </w:rPr>
        <w:t>depuis sa signature</w:t>
      </w:r>
      <w:r>
        <w:rPr>
          <w:spacing w:val="-1"/>
          <w:sz w:val="24"/>
        </w:rPr>
        <w:t> </w:t>
      </w:r>
      <w:r>
        <w:rPr>
          <w:sz w:val="24"/>
        </w:rPr>
        <w:t>en</w:t>
      </w:r>
      <w:r>
        <w:rPr>
          <w:spacing w:val="-1"/>
          <w:sz w:val="24"/>
        </w:rPr>
        <w:t> </w:t>
      </w:r>
      <w:r>
        <w:rPr>
          <w:sz w:val="24"/>
        </w:rPr>
        <w:t>2015,</w:t>
      </w:r>
      <w:r>
        <w:rPr>
          <w:spacing w:val="-1"/>
          <w:sz w:val="24"/>
        </w:rPr>
        <w:t> </w:t>
      </w:r>
      <w:r>
        <w:rPr>
          <w:sz w:val="24"/>
        </w:rPr>
        <w:t>les</w:t>
      </w:r>
      <w:r>
        <w:rPr>
          <w:spacing w:val="-1"/>
          <w:sz w:val="24"/>
        </w:rPr>
        <w:t> </w:t>
      </w:r>
      <w:r>
        <w:rPr>
          <w:sz w:val="24"/>
        </w:rPr>
        <w:t>années</w:t>
      </w:r>
      <w:r>
        <w:rPr>
          <w:spacing w:val="-1"/>
          <w:sz w:val="24"/>
        </w:rPr>
        <w:t> </w:t>
      </w:r>
      <w:r>
        <w:rPr>
          <w:sz w:val="24"/>
        </w:rPr>
        <w:t>2022 et 2023 ont été marquées</w:t>
      </w:r>
      <w:r>
        <w:rPr>
          <w:spacing w:val="-1"/>
          <w:sz w:val="24"/>
        </w:rPr>
        <w:t> </w:t>
      </w:r>
      <w:r>
        <w:rPr>
          <w:sz w:val="24"/>
        </w:rPr>
        <w:t>par un relâchement dû essentiellement à la crise de confiance entre les parties maliennes. Par la suite, les Autorités de la Transition ont décidé de la fin de l’Accord pour la Paix et la Réconciliation, et ont organisé le Dialogue Inter Maliens (DIM) en vue de trouver des solutions internes à travers l’élaboration de la Charte pour la Paix, la Réconciliation et la Cohésion nationale et son appropriation par les parties maliennes.</w:t>
      </w:r>
    </w:p>
    <w:p>
      <w:pPr>
        <w:pStyle w:val="ListParagraph"/>
        <w:numPr>
          <w:ilvl w:val="1"/>
          <w:numId w:val="1"/>
        </w:numPr>
        <w:tabs>
          <w:tab w:pos="1491" w:val="left" w:leader="none"/>
          <w:tab w:pos="1493" w:val="left" w:leader="none"/>
        </w:tabs>
        <w:spacing w:line="240" w:lineRule="auto" w:before="182" w:after="0"/>
        <w:ind w:left="1493" w:right="1129" w:hanging="360"/>
        <w:jc w:val="both"/>
        <w:rPr>
          <w:sz w:val="24"/>
        </w:rPr>
      </w:pPr>
      <w:r>
        <w:rPr>
          <w:sz w:val="24"/>
        </w:rPr>
        <w:t>Les efforts du Gouvernement en matière de sécurité ont porté d’une part sur l’accroissement des capacités opérationnelles des forces de défense et de sécurité à travers l’augmentation des effectifs et l’amélioration des conditions de vie et de travail, et d’autre part, sur</w:t>
      </w:r>
      <w:r>
        <w:rPr>
          <w:spacing w:val="-3"/>
          <w:sz w:val="24"/>
        </w:rPr>
        <w:t> </w:t>
      </w:r>
      <w:r>
        <w:rPr>
          <w:sz w:val="24"/>
        </w:rPr>
        <w:t>: (i) l’acquisition d’équipements militaires (véhicules d’intervention, véhicules blindés, vecteurs aériens, etc.) et de matériels de maintien d’ordre, de transmission et accessoires, (ii) le recrutement et la formation de personnel de défense et de sécurité, ainsi que (iii) la construction et la réhabilitation d’infrastructures militaires. Sur le plan opérationnel, les différentes opérations initiées dans le cadre de « Maliko » ont permis d’obtenir des résultats appréciables. Avec la dynamique du retrait de la MINUSMA en application de la Résolution 2690 des Nations Unies, les Forces de Défense et de Sécurité se sont employées à récupérer toutes les anciennes bases occupées par celle-ci. L’un des résultats phares dans ce cadre a été la reprise le 14 novembre 2023 de la ville de Kidal, marquant la souveraineté du Mali sur l’ensemble de son territoire.</w:t>
      </w:r>
    </w:p>
    <w:p>
      <w:pPr>
        <w:pStyle w:val="BodyText"/>
        <w:spacing w:before="186"/>
        <w:ind w:right="1129" w:firstLine="0"/>
      </w:pPr>
      <w:r>
        <w:rPr>
          <w:b/>
        </w:rPr>
        <w:t>Axe</w:t>
      </w:r>
      <w:r>
        <w:rPr>
          <w:b/>
          <w:spacing w:val="-2"/>
        </w:rPr>
        <w:t> </w:t>
      </w:r>
      <w:r>
        <w:rPr>
          <w:b/>
        </w:rPr>
        <w:t>3 :</w:t>
      </w:r>
      <w:r>
        <w:rPr>
          <w:b/>
          <w:spacing w:val="-4"/>
        </w:rPr>
        <w:t> </w:t>
      </w:r>
      <w:r>
        <w:rPr>
          <w:b/>
        </w:rPr>
        <w:t>Croissance inclusive</w:t>
      </w:r>
      <w:r>
        <w:rPr>
          <w:b/>
          <w:spacing w:val="-3"/>
        </w:rPr>
        <w:t> </w:t>
      </w:r>
      <w:r>
        <w:rPr>
          <w:b/>
        </w:rPr>
        <w:t>et</w:t>
      </w:r>
      <w:r>
        <w:rPr>
          <w:b/>
          <w:spacing w:val="-2"/>
        </w:rPr>
        <w:t> </w:t>
      </w:r>
      <w:r>
        <w:rPr>
          <w:b/>
        </w:rPr>
        <w:t>transformation</w:t>
      </w:r>
      <w:r>
        <w:rPr>
          <w:b/>
          <w:spacing w:val="-4"/>
        </w:rPr>
        <w:t> </w:t>
      </w:r>
      <w:r>
        <w:rPr>
          <w:b/>
        </w:rPr>
        <w:t>structurelle</w:t>
      </w:r>
      <w:r>
        <w:rPr>
          <w:b/>
          <w:spacing w:val="-2"/>
        </w:rPr>
        <w:t> </w:t>
      </w:r>
      <w:r>
        <w:rPr>
          <w:b/>
        </w:rPr>
        <w:t>de</w:t>
      </w:r>
      <w:r>
        <w:rPr>
          <w:b/>
          <w:spacing w:val="-3"/>
        </w:rPr>
        <w:t> </w:t>
      </w:r>
      <w:r>
        <w:rPr>
          <w:b/>
        </w:rPr>
        <w:t>l'économie </w:t>
      </w:r>
      <w:r>
        <w:rPr/>
        <w:t>:</w:t>
      </w:r>
      <w:r>
        <w:rPr>
          <w:spacing w:val="-3"/>
        </w:rPr>
        <w:t> </w:t>
      </w:r>
      <w:r>
        <w:rPr/>
        <w:t>L’économie</w:t>
      </w:r>
      <w:r>
        <w:rPr>
          <w:spacing w:val="-3"/>
        </w:rPr>
        <w:t> </w:t>
      </w:r>
      <w:r>
        <w:rPr/>
        <w:t>nationale a connu sur la période 2019-2023 un rebond des activités économiques malgré l’instabilité institutionnelle, en lien avec la volonté du gouvernement de soutenir les politiques et stratégies pour booster les différents secteurs de l’économie. Cette période a été marquée par les crises sécuritaire, sanitaire (Covid-19), cotonnière, l’instabilité institutionnelle, les sanctions économiques et financières de l’UEMOA et de la CEDEAO et la crise russo-ukrainienne. Ainsi, la croissance sur la période est ressortie en moyenne à 3,1%. Ce taux était de -1,2% en 2020 contre 5,0% en 2019. Il est ressorti à 3,1%</w:t>
      </w:r>
      <w:r>
        <w:rPr>
          <w:spacing w:val="37"/>
        </w:rPr>
        <w:t> </w:t>
      </w:r>
      <w:r>
        <w:rPr/>
        <w:t>en</w:t>
      </w:r>
      <w:r>
        <w:rPr>
          <w:spacing w:val="37"/>
        </w:rPr>
        <w:t> </w:t>
      </w:r>
      <w:r>
        <w:rPr/>
        <w:t>2021,</w:t>
      </w:r>
      <w:r>
        <w:rPr>
          <w:spacing w:val="37"/>
        </w:rPr>
        <w:t> </w:t>
      </w:r>
      <w:r>
        <w:rPr/>
        <w:t>3,5%</w:t>
      </w:r>
      <w:r>
        <w:rPr>
          <w:spacing w:val="37"/>
        </w:rPr>
        <w:t> </w:t>
      </w:r>
      <w:r>
        <w:rPr/>
        <w:t>en</w:t>
      </w:r>
      <w:r>
        <w:rPr>
          <w:spacing w:val="37"/>
        </w:rPr>
        <w:t> </w:t>
      </w:r>
      <w:r>
        <w:rPr/>
        <w:t>2022</w:t>
      </w:r>
      <w:r>
        <w:rPr>
          <w:spacing w:val="37"/>
        </w:rPr>
        <w:t> </w:t>
      </w:r>
      <w:r>
        <w:rPr/>
        <w:t>et</w:t>
      </w:r>
      <w:r>
        <w:rPr>
          <w:spacing w:val="37"/>
        </w:rPr>
        <w:t> </w:t>
      </w:r>
      <w:r>
        <w:rPr/>
        <w:t>4,7%</w:t>
      </w:r>
      <w:r>
        <w:rPr>
          <w:spacing w:val="39"/>
        </w:rPr>
        <w:t> </w:t>
      </w:r>
      <w:r>
        <w:rPr/>
        <w:t>en</w:t>
      </w:r>
      <w:r>
        <w:rPr>
          <w:spacing w:val="37"/>
        </w:rPr>
        <w:t> </w:t>
      </w:r>
      <w:r>
        <w:rPr/>
        <w:t>2023.</w:t>
      </w:r>
      <w:r>
        <w:rPr>
          <w:spacing w:val="39"/>
        </w:rPr>
        <w:t> </w:t>
      </w:r>
      <w:r>
        <w:rPr/>
        <w:t>Cette</w:t>
      </w:r>
      <w:r>
        <w:rPr>
          <w:spacing w:val="40"/>
        </w:rPr>
        <w:t> </w:t>
      </w:r>
      <w:r>
        <w:rPr/>
        <w:t>progression</w:t>
      </w:r>
      <w:r>
        <w:rPr>
          <w:spacing w:val="38"/>
        </w:rPr>
        <w:t> </w:t>
      </w:r>
      <w:r>
        <w:rPr/>
        <w:t>continue</w:t>
      </w:r>
      <w:r>
        <w:rPr>
          <w:spacing w:val="37"/>
        </w:rPr>
        <w:t> </w:t>
      </w:r>
      <w:r>
        <w:rPr/>
        <w:t>démontre</w:t>
      </w:r>
      <w:r>
        <w:rPr>
          <w:spacing w:val="39"/>
        </w:rPr>
        <w:t> </w:t>
      </w:r>
      <w:r>
        <w:rPr/>
        <w:t>la</w:t>
      </w:r>
      <w:r>
        <w:rPr>
          <w:spacing w:val="37"/>
        </w:rPr>
        <w:t> </w:t>
      </w:r>
      <w:r>
        <w:rPr/>
        <w:t>grande</w:t>
      </w:r>
    </w:p>
    <w:p>
      <w:pPr>
        <w:pStyle w:val="BodyText"/>
        <w:spacing w:after="0"/>
        <w:sectPr>
          <w:pgSz w:w="11910" w:h="16840"/>
          <w:pgMar w:header="0" w:footer="680" w:top="1320" w:bottom="960" w:left="283" w:right="141"/>
        </w:sectPr>
      </w:pPr>
    </w:p>
    <w:p>
      <w:pPr>
        <w:pStyle w:val="BodyText"/>
        <w:spacing w:before="78"/>
        <w:ind w:right="1138" w:firstLine="0"/>
      </w:pPr>
      <w:r>
        <w:rPr/>
        <w:t>capacité de résilience économique du pays malgré un contexte national et international particulièrement défavorable</w:t>
      </w:r>
      <w:r>
        <w:rPr>
          <w:color w:val="FF0000"/>
        </w:rPr>
        <w:t>.</w:t>
      </w:r>
    </w:p>
    <w:p>
      <w:pPr>
        <w:pStyle w:val="Heading3"/>
        <w:spacing w:before="2"/>
        <w:ind w:left="3870"/>
      </w:pPr>
      <w:r>
        <w:rPr/>
        <w:t>Evolution</w:t>
      </w:r>
      <w:r>
        <w:rPr>
          <w:spacing w:val="-2"/>
        </w:rPr>
        <w:t> </w:t>
      </w:r>
      <w:r>
        <w:rPr/>
        <w:t>du</w:t>
      </w:r>
      <w:r>
        <w:rPr>
          <w:spacing w:val="-1"/>
        </w:rPr>
        <w:t> </w:t>
      </w:r>
      <w:r>
        <w:rPr/>
        <w:t>taux</w:t>
      </w:r>
      <w:r>
        <w:rPr>
          <w:spacing w:val="-2"/>
        </w:rPr>
        <w:t> </w:t>
      </w:r>
      <w:r>
        <w:rPr/>
        <w:t>de</w:t>
      </w:r>
      <w:r>
        <w:rPr>
          <w:spacing w:val="-3"/>
        </w:rPr>
        <w:t> </w:t>
      </w:r>
      <w:r>
        <w:rPr/>
        <w:t>croissance</w:t>
      </w:r>
      <w:r>
        <w:rPr>
          <w:spacing w:val="-2"/>
        </w:rPr>
        <w:t> </w:t>
      </w:r>
      <w:r>
        <w:rPr/>
        <w:t>réel</w:t>
      </w:r>
      <w:r>
        <w:rPr>
          <w:spacing w:val="-1"/>
        </w:rPr>
        <w:t> </w:t>
      </w:r>
      <w:r>
        <w:rPr/>
        <w:t>du</w:t>
      </w:r>
      <w:r>
        <w:rPr>
          <w:spacing w:val="-4"/>
        </w:rPr>
        <w:t> </w:t>
      </w:r>
      <w:r>
        <w:rPr>
          <w:spacing w:val="-5"/>
        </w:rPr>
        <w:t>PIB</w:t>
      </w:r>
    </w:p>
    <w:p>
      <w:pPr>
        <w:pStyle w:val="BodyText"/>
        <w:spacing w:before="8"/>
        <w:ind w:left="0" w:firstLine="0"/>
        <w:jc w:val="left"/>
        <w:rPr>
          <w:b/>
          <w:sz w:val="13"/>
        </w:rPr>
      </w:pPr>
      <w:r>
        <w:rPr>
          <w:b/>
          <w:sz w:val="13"/>
        </w:rPr>
        <w:drawing>
          <wp:anchor distT="0" distB="0" distL="0" distR="0" allowOverlap="1" layoutInCell="1" locked="0" behindDoc="1" simplePos="0" relativeHeight="487588352">
            <wp:simplePos x="0" y="0"/>
            <wp:positionH relativeFrom="page">
              <wp:posOffset>899160</wp:posOffset>
            </wp:positionH>
            <wp:positionV relativeFrom="paragraph">
              <wp:posOffset>115206</wp:posOffset>
            </wp:positionV>
            <wp:extent cx="5771398" cy="211531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771398" cy="2115312"/>
                    </a:xfrm>
                    <a:prstGeom prst="rect">
                      <a:avLst/>
                    </a:prstGeom>
                  </pic:spPr>
                </pic:pic>
              </a:graphicData>
            </a:graphic>
          </wp:anchor>
        </w:drawing>
      </w:r>
    </w:p>
    <w:p>
      <w:pPr>
        <w:pStyle w:val="ListParagraph"/>
        <w:numPr>
          <w:ilvl w:val="1"/>
          <w:numId w:val="1"/>
        </w:numPr>
        <w:tabs>
          <w:tab w:pos="1491" w:val="left" w:leader="none"/>
          <w:tab w:pos="1493" w:val="left" w:leader="none"/>
        </w:tabs>
        <w:spacing w:line="240" w:lineRule="auto" w:before="184" w:after="0"/>
        <w:ind w:left="1493" w:right="1129" w:hanging="360"/>
        <w:jc w:val="both"/>
        <w:rPr>
          <w:sz w:val="24"/>
        </w:rPr>
      </w:pPr>
      <w:r>
        <w:rPr>
          <w:sz w:val="24"/>
        </w:rPr>
        <w:t>La pauvreté reste élevée malgré les efforts de l’Etat. L’analyse de la pauvreté monétaire révèle qu’entre</w:t>
      </w:r>
      <w:r>
        <w:rPr>
          <w:spacing w:val="40"/>
          <w:sz w:val="24"/>
        </w:rPr>
        <w:t> </w:t>
      </w:r>
      <w:r>
        <w:rPr>
          <w:sz w:val="24"/>
        </w:rPr>
        <w:t>2019</w:t>
      </w:r>
      <w:r>
        <w:rPr>
          <w:spacing w:val="40"/>
          <w:sz w:val="24"/>
        </w:rPr>
        <w:t> </w:t>
      </w:r>
      <w:r>
        <w:rPr>
          <w:sz w:val="24"/>
        </w:rPr>
        <w:t>et</w:t>
      </w:r>
      <w:r>
        <w:rPr>
          <w:spacing w:val="39"/>
          <w:sz w:val="24"/>
        </w:rPr>
        <w:t> </w:t>
      </w:r>
      <w:r>
        <w:rPr>
          <w:sz w:val="24"/>
        </w:rPr>
        <w:t>2022,</w:t>
      </w:r>
      <w:r>
        <w:rPr>
          <w:spacing w:val="40"/>
          <w:sz w:val="24"/>
        </w:rPr>
        <w:t> </w:t>
      </w:r>
      <w:r>
        <w:rPr>
          <w:sz w:val="24"/>
        </w:rPr>
        <w:t>le</w:t>
      </w:r>
      <w:r>
        <w:rPr>
          <w:spacing w:val="39"/>
          <w:sz w:val="24"/>
        </w:rPr>
        <w:t> </w:t>
      </w:r>
      <w:r>
        <w:rPr>
          <w:sz w:val="24"/>
        </w:rPr>
        <w:t>seuil</w:t>
      </w:r>
      <w:r>
        <w:rPr>
          <w:spacing w:val="40"/>
          <w:sz w:val="24"/>
        </w:rPr>
        <w:t> </w:t>
      </w:r>
      <w:r>
        <w:rPr>
          <w:sz w:val="24"/>
        </w:rPr>
        <w:t>de</w:t>
      </w:r>
      <w:r>
        <w:rPr>
          <w:spacing w:val="40"/>
          <w:sz w:val="24"/>
        </w:rPr>
        <w:t> </w:t>
      </w:r>
      <w:r>
        <w:rPr>
          <w:sz w:val="24"/>
        </w:rPr>
        <w:t>pauvreté</w:t>
      </w:r>
      <w:r>
        <w:rPr>
          <w:spacing w:val="40"/>
          <w:sz w:val="24"/>
        </w:rPr>
        <w:t> </w:t>
      </w:r>
      <w:r>
        <w:rPr>
          <w:sz w:val="24"/>
        </w:rPr>
        <w:t>obtenu</w:t>
      </w:r>
      <w:r>
        <w:rPr>
          <w:spacing w:val="40"/>
          <w:sz w:val="24"/>
        </w:rPr>
        <w:t> </w:t>
      </w:r>
      <w:r>
        <w:rPr>
          <w:sz w:val="24"/>
        </w:rPr>
        <w:t>par</w:t>
      </w:r>
      <w:r>
        <w:rPr>
          <w:spacing w:val="40"/>
          <w:sz w:val="24"/>
        </w:rPr>
        <w:t> </w:t>
      </w:r>
      <w:r>
        <w:rPr>
          <w:sz w:val="24"/>
        </w:rPr>
        <w:t>l’EMOP</w:t>
      </w:r>
      <w:r>
        <w:rPr>
          <w:spacing w:val="40"/>
          <w:sz w:val="24"/>
        </w:rPr>
        <w:t> </w:t>
      </w:r>
      <w:r>
        <w:rPr>
          <w:sz w:val="24"/>
        </w:rPr>
        <w:t>est</w:t>
      </w:r>
      <w:r>
        <w:rPr>
          <w:spacing w:val="39"/>
          <w:sz w:val="24"/>
        </w:rPr>
        <w:t> </w:t>
      </w:r>
      <w:r>
        <w:rPr>
          <w:sz w:val="24"/>
        </w:rPr>
        <w:t>passé</w:t>
      </w:r>
      <w:r>
        <w:rPr>
          <w:spacing w:val="40"/>
          <w:sz w:val="24"/>
        </w:rPr>
        <w:t> </w:t>
      </w:r>
      <w:r>
        <w:rPr>
          <w:sz w:val="24"/>
        </w:rPr>
        <w:t>de</w:t>
      </w:r>
      <w:r>
        <w:rPr>
          <w:spacing w:val="40"/>
          <w:sz w:val="24"/>
        </w:rPr>
        <w:t> </w:t>
      </w:r>
      <w:r>
        <w:rPr>
          <w:sz w:val="24"/>
        </w:rPr>
        <w:t>181</w:t>
      </w:r>
      <w:r>
        <w:rPr>
          <w:spacing w:val="40"/>
          <w:sz w:val="24"/>
        </w:rPr>
        <w:t> </w:t>
      </w:r>
      <w:r>
        <w:rPr>
          <w:sz w:val="24"/>
        </w:rPr>
        <w:t>201</w:t>
      </w:r>
      <w:r>
        <w:rPr>
          <w:spacing w:val="40"/>
          <w:sz w:val="24"/>
        </w:rPr>
        <w:t> </w:t>
      </w:r>
      <w:r>
        <w:rPr>
          <w:sz w:val="24"/>
        </w:rPr>
        <w:t>FCFA</w:t>
      </w:r>
      <w:r>
        <w:rPr>
          <w:spacing w:val="40"/>
          <w:sz w:val="24"/>
        </w:rPr>
        <w:t> </w:t>
      </w:r>
      <w:r>
        <w:rPr>
          <w:sz w:val="24"/>
        </w:rPr>
        <w:t>à 279</w:t>
      </w:r>
      <w:r>
        <w:rPr>
          <w:spacing w:val="-3"/>
          <w:sz w:val="24"/>
        </w:rPr>
        <w:t> </w:t>
      </w:r>
      <w:r>
        <w:rPr>
          <w:sz w:val="24"/>
        </w:rPr>
        <w:t>574 FCFA. L’ampleur de la pauvreté mesurée par son incidence, c'est-à-dire la proportion d’individus pauvres dans la population, est estimée à 43,9</w:t>
      </w:r>
      <w:r>
        <w:rPr>
          <w:spacing w:val="-2"/>
          <w:sz w:val="24"/>
        </w:rPr>
        <w:t> </w:t>
      </w:r>
      <w:r>
        <w:rPr>
          <w:sz w:val="24"/>
        </w:rPr>
        <w:t>% en 2023 au niveau national contre 45,5% en 2022 et 42,3% en 2019, soit une baisse de 1,6 point de pourcentage.</w:t>
      </w:r>
    </w:p>
    <w:p>
      <w:pPr>
        <w:pStyle w:val="ListParagraph"/>
        <w:numPr>
          <w:ilvl w:val="1"/>
          <w:numId w:val="1"/>
        </w:numPr>
        <w:tabs>
          <w:tab w:pos="1491" w:val="left" w:leader="none"/>
          <w:tab w:pos="1493" w:val="left" w:leader="none"/>
        </w:tabs>
        <w:spacing w:line="240" w:lineRule="auto" w:before="186" w:after="0"/>
        <w:ind w:left="1493" w:right="1138" w:hanging="360"/>
        <w:jc w:val="both"/>
        <w:rPr>
          <w:sz w:val="24"/>
        </w:rPr>
      </w:pPr>
      <w:r>
        <w:rPr>
          <w:b/>
          <w:sz w:val="24"/>
        </w:rPr>
        <w:t>Axe 4 : Protection de l’environnement et renforcement de la résilience au changement climatique</w:t>
      </w:r>
      <w:r>
        <w:rPr>
          <w:b/>
          <w:spacing w:val="-2"/>
          <w:sz w:val="24"/>
        </w:rPr>
        <w:t> </w:t>
      </w:r>
      <w:r>
        <w:rPr>
          <w:sz w:val="24"/>
        </w:rPr>
        <w:t>: Plusieurs efforts ont été faits pour l’amélioration de la couverture végétale pour une gestion durable des forêts. La tendance de la surface émergée totale couverte par des zones forestières a connu une légère augmentation entre 2018 et 2022 qui s’expliquerait par la consommation de gaz butane suite à la subvention accordée par l’État aux opérateurs gaziers et des efforts entrepris à travers la mise en œuvre des projets et programmes dans le secteur.</w:t>
      </w:r>
    </w:p>
    <w:p>
      <w:pPr>
        <w:pStyle w:val="ListParagraph"/>
        <w:numPr>
          <w:ilvl w:val="1"/>
          <w:numId w:val="1"/>
        </w:numPr>
        <w:tabs>
          <w:tab w:pos="1491" w:val="left" w:leader="none"/>
        </w:tabs>
        <w:spacing w:line="274" w:lineRule="exact" w:before="184" w:after="0"/>
        <w:ind w:left="1491" w:right="0" w:hanging="358"/>
        <w:jc w:val="both"/>
        <w:rPr>
          <w:sz w:val="24"/>
        </w:rPr>
      </w:pPr>
      <w:r>
        <w:rPr>
          <w:sz w:val="24"/>
        </w:rPr>
        <w:t>Concernant</w:t>
      </w:r>
      <w:r>
        <w:rPr>
          <w:spacing w:val="21"/>
          <w:sz w:val="24"/>
        </w:rPr>
        <w:t> </w:t>
      </w:r>
      <w:r>
        <w:rPr>
          <w:sz w:val="24"/>
        </w:rPr>
        <w:t>l’évolution</w:t>
      </w:r>
      <w:r>
        <w:rPr>
          <w:spacing w:val="19"/>
          <w:sz w:val="24"/>
        </w:rPr>
        <w:t> </w:t>
      </w:r>
      <w:r>
        <w:rPr>
          <w:sz w:val="24"/>
        </w:rPr>
        <w:t>de</w:t>
      </w:r>
      <w:r>
        <w:rPr>
          <w:spacing w:val="21"/>
          <w:sz w:val="24"/>
        </w:rPr>
        <w:t> </w:t>
      </w:r>
      <w:r>
        <w:rPr>
          <w:sz w:val="24"/>
        </w:rPr>
        <w:t>la</w:t>
      </w:r>
      <w:r>
        <w:rPr>
          <w:spacing w:val="22"/>
          <w:sz w:val="24"/>
        </w:rPr>
        <w:t> </w:t>
      </w:r>
      <w:r>
        <w:rPr>
          <w:sz w:val="24"/>
        </w:rPr>
        <w:t>superficie</w:t>
      </w:r>
      <w:r>
        <w:rPr>
          <w:spacing w:val="21"/>
          <w:sz w:val="24"/>
        </w:rPr>
        <w:t> </w:t>
      </w:r>
      <w:r>
        <w:rPr>
          <w:sz w:val="24"/>
        </w:rPr>
        <w:t>de</w:t>
      </w:r>
      <w:r>
        <w:rPr>
          <w:spacing w:val="19"/>
          <w:sz w:val="24"/>
        </w:rPr>
        <w:t> </w:t>
      </w:r>
      <w:r>
        <w:rPr>
          <w:sz w:val="24"/>
        </w:rPr>
        <w:t>terres</w:t>
      </w:r>
      <w:r>
        <w:rPr>
          <w:spacing w:val="22"/>
          <w:sz w:val="24"/>
        </w:rPr>
        <w:t> </w:t>
      </w:r>
      <w:r>
        <w:rPr>
          <w:sz w:val="24"/>
        </w:rPr>
        <w:t>et</w:t>
      </w:r>
      <w:r>
        <w:rPr>
          <w:spacing w:val="19"/>
          <w:sz w:val="24"/>
        </w:rPr>
        <w:t> </w:t>
      </w:r>
      <w:r>
        <w:rPr>
          <w:sz w:val="24"/>
        </w:rPr>
        <w:t>de</w:t>
      </w:r>
      <w:r>
        <w:rPr>
          <w:spacing w:val="19"/>
          <w:sz w:val="24"/>
        </w:rPr>
        <w:t> </w:t>
      </w:r>
      <w:r>
        <w:rPr>
          <w:sz w:val="24"/>
        </w:rPr>
        <w:t>dunes</w:t>
      </w:r>
      <w:r>
        <w:rPr>
          <w:spacing w:val="22"/>
          <w:sz w:val="24"/>
        </w:rPr>
        <w:t> </w:t>
      </w:r>
      <w:r>
        <w:rPr>
          <w:sz w:val="24"/>
        </w:rPr>
        <w:t>restaurées,</w:t>
      </w:r>
      <w:r>
        <w:rPr>
          <w:spacing w:val="19"/>
          <w:sz w:val="24"/>
        </w:rPr>
        <w:t> </w:t>
      </w:r>
      <w:r>
        <w:rPr>
          <w:sz w:val="24"/>
        </w:rPr>
        <w:t>on</w:t>
      </w:r>
      <w:r>
        <w:rPr>
          <w:spacing w:val="19"/>
          <w:sz w:val="24"/>
        </w:rPr>
        <w:t> </w:t>
      </w:r>
      <w:r>
        <w:rPr>
          <w:sz w:val="24"/>
        </w:rPr>
        <w:t>note</w:t>
      </w:r>
      <w:r>
        <w:rPr>
          <w:spacing w:val="20"/>
          <w:sz w:val="24"/>
        </w:rPr>
        <w:t> </w:t>
      </w:r>
      <w:r>
        <w:rPr>
          <w:sz w:val="24"/>
        </w:rPr>
        <w:t>une</w:t>
      </w:r>
      <w:r>
        <w:rPr>
          <w:spacing w:val="19"/>
          <w:sz w:val="24"/>
        </w:rPr>
        <w:t> </w:t>
      </w:r>
      <w:r>
        <w:rPr>
          <w:sz w:val="24"/>
        </w:rPr>
        <w:t>évolution</w:t>
      </w:r>
      <w:r>
        <w:rPr>
          <w:spacing w:val="20"/>
          <w:sz w:val="24"/>
        </w:rPr>
        <w:t> </w:t>
      </w:r>
      <w:r>
        <w:rPr>
          <w:spacing w:val="-5"/>
          <w:sz w:val="24"/>
        </w:rPr>
        <w:t>en</w:t>
      </w:r>
    </w:p>
    <w:p>
      <w:pPr>
        <w:pStyle w:val="BodyText"/>
        <w:spacing w:line="274" w:lineRule="exact" w:before="0"/>
        <w:ind w:firstLine="0"/>
      </w:pPr>
      <w:r>
        <w:rPr/>
        <w:t>dents</w:t>
      </w:r>
      <w:r>
        <w:rPr>
          <w:spacing w:val="-2"/>
        </w:rPr>
        <w:t> </w:t>
      </w:r>
      <w:r>
        <w:rPr/>
        <w:t>de scie.</w:t>
      </w:r>
      <w:r>
        <w:rPr>
          <w:spacing w:val="1"/>
        </w:rPr>
        <w:t> </w:t>
      </w:r>
      <w:r>
        <w:rPr/>
        <w:t>Elle</w:t>
      </w:r>
      <w:r>
        <w:rPr>
          <w:spacing w:val="2"/>
        </w:rPr>
        <w:t> </w:t>
      </w:r>
      <w:r>
        <w:rPr/>
        <w:t>est</w:t>
      </w:r>
      <w:r>
        <w:rPr>
          <w:spacing w:val="2"/>
        </w:rPr>
        <w:t> </w:t>
      </w:r>
      <w:r>
        <w:rPr/>
        <w:t>passée de</w:t>
      </w:r>
      <w:r>
        <w:rPr>
          <w:spacing w:val="-2"/>
        </w:rPr>
        <w:t> </w:t>
      </w:r>
      <w:r>
        <w:rPr/>
        <w:t>8</w:t>
      </w:r>
      <w:r>
        <w:rPr>
          <w:spacing w:val="2"/>
        </w:rPr>
        <w:t> </w:t>
      </w:r>
      <w:r>
        <w:rPr/>
        <w:t>049</w:t>
      </w:r>
      <w:r>
        <w:rPr>
          <w:spacing w:val="1"/>
        </w:rPr>
        <w:t> </w:t>
      </w:r>
      <w:r>
        <w:rPr/>
        <w:t>ha</w:t>
      </w:r>
      <w:r>
        <w:rPr>
          <w:spacing w:val="-1"/>
        </w:rPr>
        <w:t> </w:t>
      </w:r>
      <w:r>
        <w:rPr/>
        <w:t>en 2018 à</w:t>
      </w:r>
      <w:r>
        <w:rPr>
          <w:spacing w:val="-2"/>
        </w:rPr>
        <w:t> </w:t>
      </w:r>
      <w:r>
        <w:rPr/>
        <w:t>65</w:t>
      </w:r>
      <w:r>
        <w:rPr>
          <w:spacing w:val="2"/>
        </w:rPr>
        <w:t> </w:t>
      </w:r>
      <w:r>
        <w:rPr/>
        <w:t>845</w:t>
      </w:r>
      <w:r>
        <w:rPr>
          <w:spacing w:val="-1"/>
        </w:rPr>
        <w:t> </w:t>
      </w:r>
      <w:r>
        <w:rPr/>
        <w:t>ha</w:t>
      </w:r>
      <w:r>
        <w:rPr>
          <w:spacing w:val="-2"/>
        </w:rPr>
        <w:t> </w:t>
      </w:r>
      <w:r>
        <w:rPr/>
        <w:t>en</w:t>
      </w:r>
      <w:r>
        <w:rPr>
          <w:spacing w:val="-1"/>
        </w:rPr>
        <w:t> </w:t>
      </w:r>
      <w:r>
        <w:rPr/>
        <w:t>2019</w:t>
      </w:r>
      <w:r>
        <w:rPr>
          <w:spacing w:val="2"/>
        </w:rPr>
        <w:t> </w:t>
      </w:r>
      <w:r>
        <w:rPr/>
        <w:t>suivie</w:t>
      </w:r>
      <w:r>
        <w:rPr>
          <w:spacing w:val="1"/>
        </w:rPr>
        <w:t> </w:t>
      </w:r>
      <w:r>
        <w:rPr/>
        <w:t>d’une</w:t>
      </w:r>
      <w:r>
        <w:rPr>
          <w:spacing w:val="-1"/>
        </w:rPr>
        <w:t> </w:t>
      </w:r>
      <w:r>
        <w:rPr/>
        <w:t>baisse</w:t>
      </w:r>
      <w:r>
        <w:rPr>
          <w:spacing w:val="-1"/>
        </w:rPr>
        <w:t> </w:t>
      </w:r>
      <w:r>
        <w:rPr/>
        <w:t>en </w:t>
      </w:r>
      <w:r>
        <w:rPr>
          <w:spacing w:val="-4"/>
        </w:rPr>
        <w:t>2020</w:t>
      </w:r>
    </w:p>
    <w:p>
      <w:pPr>
        <w:pStyle w:val="BodyText"/>
        <w:spacing w:before="0"/>
        <w:ind w:right="1134" w:firstLine="0"/>
      </w:pPr>
      <w:r>
        <w:rPr/>
        <w:t>et d’une augmentation en 2021 (249 692,54). De 2022 à 2023, il a été enregistré respectivement 980,9 ha et 1 584,85 ha. Cela s’explique par l’insuffisance des ressources financières, le retard dans le démarrage du Programme Intégré de Développement et d’Adaptation au Changement Climatique dans le Bassin du Niger (PIDACC/ BN) et l’insécurité qui sévit dans le pays.</w:t>
      </w:r>
    </w:p>
    <w:p>
      <w:pPr>
        <w:spacing w:line="182" w:lineRule="exact" w:before="0"/>
        <w:ind w:left="1493" w:right="0" w:firstLine="0"/>
        <w:jc w:val="left"/>
        <w:rPr>
          <w:sz w:val="16"/>
        </w:rPr>
      </w:pPr>
      <w:r>
        <w:rPr>
          <w:spacing w:val="-10"/>
          <w:sz w:val="16"/>
        </w:rPr>
        <w:t>.</w:t>
      </w:r>
    </w:p>
    <w:p>
      <w:pPr>
        <w:pStyle w:val="ListParagraph"/>
        <w:numPr>
          <w:ilvl w:val="1"/>
          <w:numId w:val="1"/>
        </w:numPr>
        <w:tabs>
          <w:tab w:pos="1491" w:val="left" w:leader="none"/>
          <w:tab w:pos="1493" w:val="left" w:leader="none"/>
        </w:tabs>
        <w:spacing w:line="240" w:lineRule="auto" w:before="2" w:after="0"/>
        <w:ind w:left="1493" w:right="1133" w:hanging="360"/>
        <w:jc w:val="both"/>
        <w:rPr>
          <w:sz w:val="24"/>
        </w:rPr>
      </w:pPr>
      <w:r>
        <w:rPr>
          <w:b/>
          <w:sz w:val="24"/>
        </w:rPr>
        <w:t>Axe 5 : Développement du capital humain </w:t>
      </w:r>
      <w:r>
        <w:rPr>
          <w:sz w:val="24"/>
        </w:rPr>
        <w:t>: L’accès à des structures sanitaires s’est faiblement amélioré entre 2019 et 2022. En effet,</w:t>
      </w:r>
      <w:r>
        <w:rPr>
          <w:spacing w:val="-1"/>
          <w:sz w:val="24"/>
        </w:rPr>
        <w:t> </w:t>
      </w:r>
      <w:r>
        <w:rPr>
          <w:sz w:val="24"/>
        </w:rPr>
        <w:t>le taux</w:t>
      </w:r>
      <w:r>
        <w:rPr>
          <w:spacing w:val="-3"/>
          <w:sz w:val="24"/>
        </w:rPr>
        <w:t> </w:t>
      </w:r>
      <w:r>
        <w:rPr>
          <w:sz w:val="24"/>
        </w:rPr>
        <w:t>d’accès</w:t>
      </w:r>
      <w:r>
        <w:rPr>
          <w:spacing w:val="-3"/>
          <w:sz w:val="24"/>
        </w:rPr>
        <w:t> </w:t>
      </w:r>
      <w:r>
        <w:rPr>
          <w:sz w:val="24"/>
        </w:rPr>
        <w:t>à des</w:t>
      </w:r>
      <w:r>
        <w:rPr>
          <w:spacing w:val="-2"/>
          <w:sz w:val="24"/>
        </w:rPr>
        <w:t> </w:t>
      </w:r>
      <w:r>
        <w:rPr>
          <w:sz w:val="24"/>
        </w:rPr>
        <w:t>infrastructures sanitaires situées</w:t>
      </w:r>
      <w:r>
        <w:rPr>
          <w:spacing w:val="-2"/>
          <w:sz w:val="24"/>
        </w:rPr>
        <w:t> </w:t>
      </w:r>
      <w:r>
        <w:rPr>
          <w:sz w:val="24"/>
        </w:rPr>
        <w:t>à moins de 5 km est resté presque stationnaire passant de 58% à 58,66% au cours de la période pour une cible de 70% du CREDD, ce qui s’expliquerait en partie par l’absence de nouvelles constructions de centres de santé.</w:t>
      </w:r>
    </w:p>
    <w:p>
      <w:pPr>
        <w:pStyle w:val="ListParagraph"/>
        <w:spacing w:after="0" w:line="240" w:lineRule="auto"/>
        <w:jc w:val="both"/>
        <w:rPr>
          <w:sz w:val="24"/>
        </w:rPr>
        <w:sectPr>
          <w:pgSz w:w="11910" w:h="16840"/>
          <w:pgMar w:header="0" w:footer="680" w:top="1320" w:bottom="960" w:left="283" w:right="141"/>
        </w:sectPr>
      </w:pPr>
    </w:p>
    <w:p>
      <w:pPr>
        <w:spacing w:before="78"/>
        <w:ind w:left="1133" w:right="0" w:firstLine="0"/>
        <w:jc w:val="left"/>
        <w:rPr>
          <w:b/>
          <w:sz w:val="22"/>
        </w:rPr>
      </w:pPr>
      <w:r>
        <w:rPr>
          <w:b/>
          <w:color w:val="221F1F"/>
          <w:sz w:val="22"/>
        </w:rPr>
        <w:t>Taux</w:t>
      </w:r>
      <w:r>
        <w:rPr>
          <w:b/>
          <w:color w:val="221F1F"/>
          <w:spacing w:val="-9"/>
          <w:sz w:val="22"/>
        </w:rPr>
        <w:t> </w:t>
      </w:r>
      <w:r>
        <w:rPr>
          <w:b/>
          <w:color w:val="221F1F"/>
          <w:sz w:val="22"/>
        </w:rPr>
        <w:t>Brut</w:t>
      </w:r>
      <w:r>
        <w:rPr>
          <w:b/>
          <w:color w:val="221F1F"/>
          <w:spacing w:val="-7"/>
          <w:sz w:val="22"/>
        </w:rPr>
        <w:t> </w:t>
      </w:r>
      <w:r>
        <w:rPr>
          <w:b/>
          <w:color w:val="221F1F"/>
          <w:sz w:val="22"/>
        </w:rPr>
        <w:t>et</w:t>
      </w:r>
      <w:r>
        <w:rPr>
          <w:b/>
          <w:color w:val="221F1F"/>
          <w:spacing w:val="-5"/>
          <w:sz w:val="22"/>
        </w:rPr>
        <w:t> </w:t>
      </w:r>
      <w:r>
        <w:rPr>
          <w:b/>
          <w:color w:val="221F1F"/>
          <w:sz w:val="22"/>
        </w:rPr>
        <w:t>taux</w:t>
      </w:r>
      <w:r>
        <w:rPr>
          <w:b/>
          <w:color w:val="221F1F"/>
          <w:spacing w:val="-4"/>
          <w:sz w:val="22"/>
        </w:rPr>
        <w:t> </w:t>
      </w:r>
      <w:r>
        <w:rPr>
          <w:b/>
          <w:color w:val="221F1F"/>
          <w:sz w:val="22"/>
        </w:rPr>
        <w:t>net</w:t>
      </w:r>
      <w:r>
        <w:rPr>
          <w:b/>
          <w:color w:val="221F1F"/>
          <w:spacing w:val="-5"/>
          <w:sz w:val="22"/>
        </w:rPr>
        <w:t> </w:t>
      </w:r>
      <w:r>
        <w:rPr>
          <w:b/>
          <w:color w:val="221F1F"/>
          <w:sz w:val="22"/>
        </w:rPr>
        <w:t>de</w:t>
      </w:r>
      <w:r>
        <w:rPr>
          <w:b/>
          <w:color w:val="221F1F"/>
          <w:spacing w:val="-6"/>
          <w:sz w:val="22"/>
        </w:rPr>
        <w:t> </w:t>
      </w:r>
      <w:r>
        <w:rPr>
          <w:b/>
          <w:color w:val="221F1F"/>
          <w:sz w:val="22"/>
        </w:rPr>
        <w:t>scolarisation</w:t>
      </w:r>
      <w:r>
        <w:rPr>
          <w:b/>
          <w:color w:val="221F1F"/>
          <w:spacing w:val="-7"/>
          <w:sz w:val="22"/>
        </w:rPr>
        <w:t> </w:t>
      </w:r>
      <w:r>
        <w:rPr>
          <w:b/>
          <w:color w:val="221F1F"/>
          <w:sz w:val="22"/>
        </w:rPr>
        <w:t>(TBS</w:t>
      </w:r>
      <w:r>
        <w:rPr>
          <w:b/>
          <w:color w:val="221F1F"/>
          <w:spacing w:val="-5"/>
          <w:sz w:val="22"/>
        </w:rPr>
        <w:t> </w:t>
      </w:r>
      <w:r>
        <w:rPr>
          <w:b/>
          <w:color w:val="221F1F"/>
          <w:sz w:val="22"/>
        </w:rPr>
        <w:t>et</w:t>
      </w:r>
      <w:r>
        <w:rPr>
          <w:b/>
          <w:color w:val="221F1F"/>
          <w:spacing w:val="-7"/>
          <w:sz w:val="22"/>
        </w:rPr>
        <w:t> </w:t>
      </w:r>
      <w:r>
        <w:rPr>
          <w:b/>
          <w:color w:val="221F1F"/>
          <w:sz w:val="22"/>
        </w:rPr>
        <w:t>TNS)</w:t>
      </w:r>
      <w:r>
        <w:rPr>
          <w:b/>
          <w:color w:val="221F1F"/>
          <w:spacing w:val="-4"/>
          <w:sz w:val="22"/>
        </w:rPr>
        <w:t> </w:t>
      </w:r>
      <w:r>
        <w:rPr>
          <w:b/>
          <w:color w:val="221F1F"/>
          <w:sz w:val="22"/>
        </w:rPr>
        <w:t>au</w:t>
      </w:r>
      <w:r>
        <w:rPr>
          <w:b/>
          <w:color w:val="221F1F"/>
          <w:spacing w:val="-5"/>
          <w:sz w:val="22"/>
        </w:rPr>
        <w:t> </w:t>
      </w:r>
      <w:r>
        <w:rPr>
          <w:b/>
          <w:color w:val="221F1F"/>
          <w:sz w:val="22"/>
        </w:rPr>
        <w:t>1</w:t>
      </w:r>
      <w:r>
        <w:rPr>
          <w:b/>
          <w:color w:val="221F1F"/>
          <w:position w:val="7"/>
          <w:sz w:val="13"/>
        </w:rPr>
        <w:t>er</w:t>
      </w:r>
      <w:r>
        <w:rPr>
          <w:b/>
          <w:color w:val="221F1F"/>
          <w:spacing w:val="16"/>
          <w:position w:val="7"/>
          <w:sz w:val="13"/>
        </w:rPr>
        <w:t> </w:t>
      </w:r>
      <w:r>
        <w:rPr>
          <w:b/>
          <w:color w:val="221F1F"/>
          <w:sz w:val="22"/>
        </w:rPr>
        <w:t>cycle</w:t>
      </w:r>
      <w:r>
        <w:rPr>
          <w:b/>
          <w:color w:val="221F1F"/>
          <w:spacing w:val="-5"/>
          <w:sz w:val="22"/>
        </w:rPr>
        <w:t> </w:t>
      </w:r>
      <w:r>
        <w:rPr>
          <w:b/>
          <w:color w:val="221F1F"/>
          <w:sz w:val="22"/>
        </w:rPr>
        <w:t>du</w:t>
      </w:r>
      <w:r>
        <w:rPr>
          <w:b/>
          <w:color w:val="221F1F"/>
          <w:spacing w:val="-6"/>
          <w:sz w:val="22"/>
        </w:rPr>
        <w:t> </w:t>
      </w:r>
      <w:r>
        <w:rPr>
          <w:b/>
          <w:color w:val="221F1F"/>
          <w:spacing w:val="-2"/>
          <w:sz w:val="22"/>
        </w:rPr>
        <w:t>fondamental</w:t>
      </w:r>
    </w:p>
    <w:p>
      <w:pPr>
        <w:pStyle w:val="BodyText"/>
        <w:spacing w:before="10"/>
        <w:ind w:left="0" w:firstLine="0"/>
        <w:jc w:val="left"/>
        <w:rPr>
          <w:b/>
          <w:sz w:val="13"/>
        </w:rPr>
      </w:pPr>
      <w:r>
        <w:rPr>
          <w:b/>
          <w:sz w:val="13"/>
        </w:rPr>
        <mc:AlternateContent>
          <mc:Choice Requires="wps">
            <w:drawing>
              <wp:anchor distT="0" distB="0" distL="0" distR="0" allowOverlap="1" layoutInCell="1" locked="0" behindDoc="1" simplePos="0" relativeHeight="487588864">
                <wp:simplePos x="0" y="0"/>
                <wp:positionH relativeFrom="page">
                  <wp:posOffset>899471</wp:posOffset>
                </wp:positionH>
                <wp:positionV relativeFrom="paragraph">
                  <wp:posOffset>117251</wp:posOffset>
                </wp:positionV>
                <wp:extent cx="6163945" cy="1647189"/>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163945" cy="1647189"/>
                          <a:chExt cx="6163945" cy="1647189"/>
                        </a:xfrm>
                      </wpg:grpSpPr>
                      <wps:wsp>
                        <wps:cNvPr id="10" name="Graphic 10"/>
                        <wps:cNvSpPr/>
                        <wps:spPr>
                          <a:xfrm>
                            <a:off x="474033" y="928058"/>
                            <a:ext cx="173355" cy="1270"/>
                          </a:xfrm>
                          <a:custGeom>
                            <a:avLst/>
                            <a:gdLst/>
                            <a:ahLst/>
                            <a:cxnLst/>
                            <a:rect l="l" t="t" r="r" b="b"/>
                            <a:pathLst>
                              <a:path w="173355" h="0">
                                <a:moveTo>
                                  <a:pt x="0" y="0"/>
                                </a:moveTo>
                                <a:lnTo>
                                  <a:pt x="173354" y="0"/>
                                </a:lnTo>
                              </a:path>
                            </a:pathLst>
                          </a:custGeom>
                          <a:ln w="10807">
                            <a:solidFill>
                              <a:srgbClr val="D9D9D9"/>
                            </a:solidFill>
                            <a:prstDash val="solid"/>
                          </a:ln>
                        </wps:spPr>
                        <wps:bodyPr wrap="square" lIns="0" tIns="0" rIns="0" bIns="0" rtlCol="0">
                          <a:prstTxWarp prst="textNoShape">
                            <a:avLst/>
                          </a:prstTxWarp>
                          <a:noAutofit/>
                        </wps:bodyPr>
                      </wps:wsp>
                      <wps:wsp>
                        <wps:cNvPr id="11" name="Graphic 11"/>
                        <wps:cNvSpPr/>
                        <wps:spPr>
                          <a:xfrm>
                            <a:off x="798518" y="928058"/>
                            <a:ext cx="42545" cy="1270"/>
                          </a:xfrm>
                          <a:custGeom>
                            <a:avLst/>
                            <a:gdLst/>
                            <a:ahLst/>
                            <a:cxnLst/>
                            <a:rect l="l" t="t" r="r" b="b"/>
                            <a:pathLst>
                              <a:path w="42545" h="0">
                                <a:moveTo>
                                  <a:pt x="0" y="0"/>
                                </a:moveTo>
                                <a:lnTo>
                                  <a:pt x="42545" y="0"/>
                                </a:lnTo>
                              </a:path>
                            </a:pathLst>
                          </a:custGeom>
                          <a:ln w="10807">
                            <a:solidFill>
                              <a:srgbClr val="D9D9D9"/>
                            </a:solidFill>
                            <a:prstDash val="solid"/>
                          </a:ln>
                        </wps:spPr>
                        <wps:bodyPr wrap="square" lIns="0" tIns="0" rIns="0" bIns="0" rtlCol="0">
                          <a:prstTxWarp prst="textNoShape">
                            <a:avLst/>
                          </a:prstTxWarp>
                          <a:noAutofit/>
                        </wps:bodyPr>
                      </wps:wsp>
                      <wps:wsp>
                        <wps:cNvPr id="12" name="Graphic 12"/>
                        <wps:cNvSpPr/>
                        <wps:spPr>
                          <a:xfrm>
                            <a:off x="474033" y="733748"/>
                            <a:ext cx="173355" cy="1270"/>
                          </a:xfrm>
                          <a:custGeom>
                            <a:avLst/>
                            <a:gdLst/>
                            <a:ahLst/>
                            <a:cxnLst/>
                            <a:rect l="l" t="t" r="r" b="b"/>
                            <a:pathLst>
                              <a:path w="173355" h="0">
                                <a:moveTo>
                                  <a:pt x="0" y="0"/>
                                </a:moveTo>
                                <a:lnTo>
                                  <a:pt x="173354" y="0"/>
                                </a:lnTo>
                              </a:path>
                            </a:pathLst>
                          </a:custGeom>
                          <a:ln w="10807">
                            <a:solidFill>
                              <a:srgbClr val="D9D9D9"/>
                            </a:solidFill>
                            <a:prstDash val="solid"/>
                          </a:ln>
                        </wps:spPr>
                        <wps:bodyPr wrap="square" lIns="0" tIns="0" rIns="0" bIns="0" rtlCol="0">
                          <a:prstTxWarp prst="textNoShape">
                            <a:avLst/>
                          </a:prstTxWarp>
                          <a:noAutofit/>
                        </wps:bodyPr>
                      </wps:wsp>
                      <wps:wsp>
                        <wps:cNvPr id="13" name="Graphic 13"/>
                        <wps:cNvSpPr/>
                        <wps:spPr>
                          <a:xfrm>
                            <a:off x="798518" y="733748"/>
                            <a:ext cx="42545" cy="1270"/>
                          </a:xfrm>
                          <a:custGeom>
                            <a:avLst/>
                            <a:gdLst/>
                            <a:ahLst/>
                            <a:cxnLst/>
                            <a:rect l="l" t="t" r="r" b="b"/>
                            <a:pathLst>
                              <a:path w="42545" h="0">
                                <a:moveTo>
                                  <a:pt x="0" y="0"/>
                                </a:moveTo>
                                <a:lnTo>
                                  <a:pt x="42545" y="0"/>
                                </a:lnTo>
                              </a:path>
                            </a:pathLst>
                          </a:custGeom>
                          <a:ln w="10807">
                            <a:solidFill>
                              <a:srgbClr val="D9D9D9"/>
                            </a:solidFill>
                            <a:prstDash val="solid"/>
                          </a:ln>
                        </wps:spPr>
                        <wps:bodyPr wrap="square" lIns="0" tIns="0" rIns="0" bIns="0" rtlCol="0">
                          <a:prstTxWarp prst="textNoShape">
                            <a:avLst/>
                          </a:prstTxWarp>
                          <a:noAutofit/>
                        </wps:bodyPr>
                      </wps:wsp>
                      <wps:wsp>
                        <wps:cNvPr id="14" name="Graphic 14"/>
                        <wps:cNvSpPr/>
                        <wps:spPr>
                          <a:xfrm>
                            <a:off x="474033" y="546423"/>
                            <a:ext cx="173355" cy="1270"/>
                          </a:xfrm>
                          <a:custGeom>
                            <a:avLst/>
                            <a:gdLst/>
                            <a:ahLst/>
                            <a:cxnLst/>
                            <a:rect l="l" t="t" r="r" b="b"/>
                            <a:pathLst>
                              <a:path w="173355" h="0">
                                <a:moveTo>
                                  <a:pt x="0" y="0"/>
                                </a:moveTo>
                                <a:lnTo>
                                  <a:pt x="173354" y="0"/>
                                </a:lnTo>
                              </a:path>
                            </a:pathLst>
                          </a:custGeom>
                          <a:ln w="10807">
                            <a:solidFill>
                              <a:srgbClr val="D9D9D9"/>
                            </a:solidFill>
                            <a:prstDash val="solid"/>
                          </a:ln>
                        </wps:spPr>
                        <wps:bodyPr wrap="square" lIns="0" tIns="0" rIns="0" bIns="0" rtlCol="0">
                          <a:prstTxWarp prst="textNoShape">
                            <a:avLst/>
                          </a:prstTxWarp>
                          <a:noAutofit/>
                        </wps:bodyPr>
                      </wps:wsp>
                      <wps:wsp>
                        <wps:cNvPr id="15" name="Graphic 15"/>
                        <wps:cNvSpPr/>
                        <wps:spPr>
                          <a:xfrm>
                            <a:off x="798518" y="546423"/>
                            <a:ext cx="42545" cy="1270"/>
                          </a:xfrm>
                          <a:custGeom>
                            <a:avLst/>
                            <a:gdLst/>
                            <a:ahLst/>
                            <a:cxnLst/>
                            <a:rect l="l" t="t" r="r" b="b"/>
                            <a:pathLst>
                              <a:path w="42545" h="0">
                                <a:moveTo>
                                  <a:pt x="0" y="0"/>
                                </a:moveTo>
                                <a:lnTo>
                                  <a:pt x="42545" y="0"/>
                                </a:lnTo>
                              </a:path>
                            </a:pathLst>
                          </a:custGeom>
                          <a:ln w="10807">
                            <a:solidFill>
                              <a:srgbClr val="D9D9D9"/>
                            </a:solidFill>
                            <a:prstDash val="solid"/>
                          </a:ln>
                        </wps:spPr>
                        <wps:bodyPr wrap="square" lIns="0" tIns="0" rIns="0" bIns="0" rtlCol="0">
                          <a:prstTxWarp prst="textNoShape">
                            <a:avLst/>
                          </a:prstTxWarp>
                          <a:noAutofit/>
                        </wps:bodyPr>
                      </wps:wsp>
                      <wps:wsp>
                        <wps:cNvPr id="16" name="Graphic 16"/>
                        <wps:cNvSpPr/>
                        <wps:spPr>
                          <a:xfrm>
                            <a:off x="474033" y="351478"/>
                            <a:ext cx="1549400" cy="1270"/>
                          </a:xfrm>
                          <a:custGeom>
                            <a:avLst/>
                            <a:gdLst/>
                            <a:ahLst/>
                            <a:cxnLst/>
                            <a:rect l="l" t="t" r="r" b="b"/>
                            <a:pathLst>
                              <a:path w="1549400" h="0">
                                <a:moveTo>
                                  <a:pt x="0" y="0"/>
                                </a:moveTo>
                                <a:lnTo>
                                  <a:pt x="1549400" y="0"/>
                                </a:lnTo>
                              </a:path>
                            </a:pathLst>
                          </a:custGeom>
                          <a:ln w="10807">
                            <a:solidFill>
                              <a:srgbClr val="D9D9D9"/>
                            </a:solidFill>
                            <a:prstDash val="solid"/>
                          </a:ln>
                        </wps:spPr>
                        <wps:bodyPr wrap="square" lIns="0" tIns="0" rIns="0" bIns="0" rtlCol="0">
                          <a:prstTxWarp prst="textNoShape">
                            <a:avLst/>
                          </a:prstTxWarp>
                          <a:noAutofit/>
                        </wps:bodyPr>
                      </wps:wsp>
                      <wps:wsp>
                        <wps:cNvPr id="17" name="Graphic 17"/>
                        <wps:cNvSpPr/>
                        <wps:spPr>
                          <a:xfrm>
                            <a:off x="646753" y="366083"/>
                            <a:ext cx="151765" cy="655955"/>
                          </a:xfrm>
                          <a:custGeom>
                            <a:avLst/>
                            <a:gdLst/>
                            <a:ahLst/>
                            <a:cxnLst/>
                            <a:rect l="l" t="t" r="r" b="b"/>
                            <a:pathLst>
                              <a:path w="151765" h="655955">
                                <a:moveTo>
                                  <a:pt x="151764" y="0"/>
                                </a:moveTo>
                                <a:lnTo>
                                  <a:pt x="0" y="0"/>
                                </a:lnTo>
                                <a:lnTo>
                                  <a:pt x="0" y="655954"/>
                                </a:lnTo>
                                <a:lnTo>
                                  <a:pt x="151764" y="655954"/>
                                </a:lnTo>
                                <a:lnTo>
                                  <a:pt x="151764" y="0"/>
                                </a:lnTo>
                                <a:close/>
                              </a:path>
                            </a:pathLst>
                          </a:custGeom>
                          <a:solidFill>
                            <a:srgbClr val="5B9BD3"/>
                          </a:solidFill>
                        </wps:spPr>
                        <wps:bodyPr wrap="square" lIns="0" tIns="0" rIns="0" bIns="0" rtlCol="0">
                          <a:prstTxWarp prst="textNoShape">
                            <a:avLst/>
                          </a:prstTxWarp>
                          <a:noAutofit/>
                        </wps:bodyPr>
                      </wps:wsp>
                      <wps:wsp>
                        <wps:cNvPr id="18" name="Graphic 18"/>
                        <wps:cNvSpPr/>
                        <wps:spPr>
                          <a:xfrm>
                            <a:off x="992828" y="927424"/>
                            <a:ext cx="346075" cy="1270"/>
                          </a:xfrm>
                          <a:custGeom>
                            <a:avLst/>
                            <a:gdLst/>
                            <a:ahLst/>
                            <a:cxnLst/>
                            <a:rect l="l" t="t" r="r" b="b"/>
                            <a:pathLst>
                              <a:path w="346075" h="0">
                                <a:moveTo>
                                  <a:pt x="0" y="0"/>
                                </a:moveTo>
                                <a:lnTo>
                                  <a:pt x="346075" y="0"/>
                                </a:lnTo>
                              </a:path>
                            </a:pathLst>
                          </a:custGeom>
                          <a:ln w="10807">
                            <a:solidFill>
                              <a:srgbClr val="D9D9D9"/>
                            </a:solidFill>
                            <a:prstDash val="solid"/>
                          </a:ln>
                        </wps:spPr>
                        <wps:bodyPr wrap="square" lIns="0" tIns="0" rIns="0" bIns="0" rtlCol="0">
                          <a:prstTxWarp prst="textNoShape">
                            <a:avLst/>
                          </a:prstTxWarp>
                          <a:noAutofit/>
                        </wps:bodyPr>
                      </wps:wsp>
                      <wps:wsp>
                        <wps:cNvPr id="19" name="Graphic 19"/>
                        <wps:cNvSpPr/>
                        <wps:spPr>
                          <a:xfrm>
                            <a:off x="1490033" y="927424"/>
                            <a:ext cx="42545" cy="1270"/>
                          </a:xfrm>
                          <a:custGeom>
                            <a:avLst/>
                            <a:gdLst/>
                            <a:ahLst/>
                            <a:cxnLst/>
                            <a:rect l="l" t="t" r="r" b="b"/>
                            <a:pathLst>
                              <a:path w="42545" h="0">
                                <a:moveTo>
                                  <a:pt x="0" y="0"/>
                                </a:moveTo>
                                <a:lnTo>
                                  <a:pt x="42544" y="0"/>
                                </a:lnTo>
                              </a:path>
                            </a:pathLst>
                          </a:custGeom>
                          <a:ln w="10807">
                            <a:solidFill>
                              <a:srgbClr val="D9D9D9"/>
                            </a:solidFill>
                            <a:prstDash val="solid"/>
                          </a:ln>
                        </wps:spPr>
                        <wps:bodyPr wrap="square" lIns="0" tIns="0" rIns="0" bIns="0" rtlCol="0">
                          <a:prstTxWarp prst="textNoShape">
                            <a:avLst/>
                          </a:prstTxWarp>
                          <a:noAutofit/>
                        </wps:bodyPr>
                      </wps:wsp>
                      <wps:wsp>
                        <wps:cNvPr id="20" name="Graphic 20"/>
                        <wps:cNvSpPr/>
                        <wps:spPr>
                          <a:xfrm>
                            <a:off x="992828" y="733113"/>
                            <a:ext cx="346075" cy="1270"/>
                          </a:xfrm>
                          <a:custGeom>
                            <a:avLst/>
                            <a:gdLst/>
                            <a:ahLst/>
                            <a:cxnLst/>
                            <a:rect l="l" t="t" r="r" b="b"/>
                            <a:pathLst>
                              <a:path w="346075" h="0">
                                <a:moveTo>
                                  <a:pt x="0" y="0"/>
                                </a:moveTo>
                                <a:lnTo>
                                  <a:pt x="346075" y="0"/>
                                </a:lnTo>
                              </a:path>
                            </a:pathLst>
                          </a:custGeom>
                          <a:ln w="10807">
                            <a:solidFill>
                              <a:srgbClr val="D9D9D9"/>
                            </a:solidFill>
                            <a:prstDash val="solid"/>
                          </a:ln>
                        </wps:spPr>
                        <wps:bodyPr wrap="square" lIns="0" tIns="0" rIns="0" bIns="0" rtlCol="0">
                          <a:prstTxWarp prst="textNoShape">
                            <a:avLst/>
                          </a:prstTxWarp>
                          <a:noAutofit/>
                        </wps:bodyPr>
                      </wps:wsp>
                      <wps:wsp>
                        <wps:cNvPr id="21" name="Graphic 21"/>
                        <wps:cNvSpPr/>
                        <wps:spPr>
                          <a:xfrm>
                            <a:off x="1490033" y="733113"/>
                            <a:ext cx="42545" cy="1270"/>
                          </a:xfrm>
                          <a:custGeom>
                            <a:avLst/>
                            <a:gdLst/>
                            <a:ahLst/>
                            <a:cxnLst/>
                            <a:rect l="l" t="t" r="r" b="b"/>
                            <a:pathLst>
                              <a:path w="42545" h="0">
                                <a:moveTo>
                                  <a:pt x="0" y="0"/>
                                </a:moveTo>
                                <a:lnTo>
                                  <a:pt x="42544" y="0"/>
                                </a:lnTo>
                              </a:path>
                            </a:pathLst>
                          </a:custGeom>
                          <a:ln w="10807">
                            <a:solidFill>
                              <a:srgbClr val="D9D9D9"/>
                            </a:solidFill>
                            <a:prstDash val="solid"/>
                          </a:ln>
                        </wps:spPr>
                        <wps:bodyPr wrap="square" lIns="0" tIns="0" rIns="0" bIns="0" rtlCol="0">
                          <a:prstTxWarp prst="textNoShape">
                            <a:avLst/>
                          </a:prstTxWarp>
                          <a:noAutofit/>
                        </wps:bodyPr>
                      </wps:wsp>
                      <wps:wsp>
                        <wps:cNvPr id="22" name="Graphic 22"/>
                        <wps:cNvSpPr/>
                        <wps:spPr>
                          <a:xfrm>
                            <a:off x="992828" y="545788"/>
                            <a:ext cx="346075" cy="1270"/>
                          </a:xfrm>
                          <a:custGeom>
                            <a:avLst/>
                            <a:gdLst/>
                            <a:ahLst/>
                            <a:cxnLst/>
                            <a:rect l="l" t="t" r="r" b="b"/>
                            <a:pathLst>
                              <a:path w="346075" h="0">
                                <a:moveTo>
                                  <a:pt x="0" y="0"/>
                                </a:moveTo>
                                <a:lnTo>
                                  <a:pt x="346075" y="0"/>
                                </a:lnTo>
                              </a:path>
                            </a:pathLst>
                          </a:custGeom>
                          <a:ln w="10807">
                            <a:solidFill>
                              <a:srgbClr val="D9D9D9"/>
                            </a:solidFill>
                            <a:prstDash val="solid"/>
                          </a:ln>
                        </wps:spPr>
                        <wps:bodyPr wrap="square" lIns="0" tIns="0" rIns="0" bIns="0" rtlCol="0">
                          <a:prstTxWarp prst="textNoShape">
                            <a:avLst/>
                          </a:prstTxWarp>
                          <a:noAutofit/>
                        </wps:bodyPr>
                      </wps:wsp>
                      <wps:wsp>
                        <wps:cNvPr id="23" name="Graphic 23"/>
                        <wps:cNvSpPr/>
                        <wps:spPr>
                          <a:xfrm>
                            <a:off x="1490033" y="545788"/>
                            <a:ext cx="42545" cy="1270"/>
                          </a:xfrm>
                          <a:custGeom>
                            <a:avLst/>
                            <a:gdLst/>
                            <a:ahLst/>
                            <a:cxnLst/>
                            <a:rect l="l" t="t" r="r" b="b"/>
                            <a:pathLst>
                              <a:path w="42545" h="0">
                                <a:moveTo>
                                  <a:pt x="0" y="0"/>
                                </a:moveTo>
                                <a:lnTo>
                                  <a:pt x="42544" y="0"/>
                                </a:lnTo>
                              </a:path>
                            </a:pathLst>
                          </a:custGeom>
                          <a:ln w="10807">
                            <a:solidFill>
                              <a:srgbClr val="D9D9D9"/>
                            </a:solidFill>
                            <a:prstDash val="solid"/>
                          </a:ln>
                        </wps:spPr>
                        <wps:bodyPr wrap="square" lIns="0" tIns="0" rIns="0" bIns="0" rtlCol="0">
                          <a:prstTxWarp prst="textNoShape">
                            <a:avLst/>
                          </a:prstTxWarp>
                          <a:noAutofit/>
                        </wps:bodyPr>
                      </wps:wsp>
                      <wps:wsp>
                        <wps:cNvPr id="24" name="Graphic 24"/>
                        <wps:cNvSpPr/>
                        <wps:spPr>
                          <a:xfrm>
                            <a:off x="1338268" y="358463"/>
                            <a:ext cx="151765" cy="662940"/>
                          </a:xfrm>
                          <a:custGeom>
                            <a:avLst/>
                            <a:gdLst/>
                            <a:ahLst/>
                            <a:cxnLst/>
                            <a:rect l="l" t="t" r="r" b="b"/>
                            <a:pathLst>
                              <a:path w="151765" h="662940">
                                <a:moveTo>
                                  <a:pt x="151764" y="0"/>
                                </a:moveTo>
                                <a:lnTo>
                                  <a:pt x="0" y="0"/>
                                </a:lnTo>
                                <a:lnTo>
                                  <a:pt x="0" y="662940"/>
                                </a:lnTo>
                                <a:lnTo>
                                  <a:pt x="151764" y="662940"/>
                                </a:lnTo>
                                <a:lnTo>
                                  <a:pt x="151764" y="0"/>
                                </a:lnTo>
                                <a:close/>
                              </a:path>
                            </a:pathLst>
                          </a:custGeom>
                          <a:solidFill>
                            <a:srgbClr val="5B9BD3"/>
                          </a:solidFill>
                        </wps:spPr>
                        <wps:bodyPr wrap="square" lIns="0" tIns="0" rIns="0" bIns="0" rtlCol="0">
                          <a:prstTxWarp prst="textNoShape">
                            <a:avLst/>
                          </a:prstTxWarp>
                          <a:noAutofit/>
                        </wps:bodyPr>
                      </wps:wsp>
                      <wps:wsp>
                        <wps:cNvPr id="25" name="Graphic 25"/>
                        <wps:cNvSpPr/>
                        <wps:spPr>
                          <a:xfrm>
                            <a:off x="1684343" y="928058"/>
                            <a:ext cx="339090" cy="1270"/>
                          </a:xfrm>
                          <a:custGeom>
                            <a:avLst/>
                            <a:gdLst/>
                            <a:ahLst/>
                            <a:cxnLst/>
                            <a:rect l="l" t="t" r="r" b="b"/>
                            <a:pathLst>
                              <a:path w="339090" h="0">
                                <a:moveTo>
                                  <a:pt x="0" y="0"/>
                                </a:moveTo>
                                <a:lnTo>
                                  <a:pt x="339090" y="0"/>
                                </a:lnTo>
                              </a:path>
                            </a:pathLst>
                          </a:custGeom>
                          <a:ln w="10807">
                            <a:solidFill>
                              <a:srgbClr val="D9D9D9"/>
                            </a:solidFill>
                            <a:prstDash val="solid"/>
                          </a:ln>
                        </wps:spPr>
                        <wps:bodyPr wrap="square" lIns="0" tIns="0" rIns="0" bIns="0" rtlCol="0">
                          <a:prstTxWarp prst="textNoShape">
                            <a:avLst/>
                          </a:prstTxWarp>
                          <a:noAutofit/>
                        </wps:bodyPr>
                      </wps:wsp>
                      <wps:wsp>
                        <wps:cNvPr id="26" name="Graphic 26"/>
                        <wps:cNvSpPr/>
                        <wps:spPr>
                          <a:xfrm>
                            <a:off x="2181549" y="928058"/>
                            <a:ext cx="42545" cy="1270"/>
                          </a:xfrm>
                          <a:custGeom>
                            <a:avLst/>
                            <a:gdLst/>
                            <a:ahLst/>
                            <a:cxnLst/>
                            <a:rect l="l" t="t" r="r" b="b"/>
                            <a:pathLst>
                              <a:path w="42545" h="0">
                                <a:moveTo>
                                  <a:pt x="0" y="0"/>
                                </a:moveTo>
                                <a:lnTo>
                                  <a:pt x="42544" y="0"/>
                                </a:lnTo>
                              </a:path>
                            </a:pathLst>
                          </a:custGeom>
                          <a:ln w="10807">
                            <a:solidFill>
                              <a:srgbClr val="D9D9D9"/>
                            </a:solidFill>
                            <a:prstDash val="solid"/>
                          </a:ln>
                        </wps:spPr>
                        <wps:bodyPr wrap="square" lIns="0" tIns="0" rIns="0" bIns="0" rtlCol="0">
                          <a:prstTxWarp prst="textNoShape">
                            <a:avLst/>
                          </a:prstTxWarp>
                          <a:noAutofit/>
                        </wps:bodyPr>
                      </wps:wsp>
                      <wps:wsp>
                        <wps:cNvPr id="27" name="Graphic 27"/>
                        <wps:cNvSpPr/>
                        <wps:spPr>
                          <a:xfrm>
                            <a:off x="1684343" y="733748"/>
                            <a:ext cx="339090" cy="1270"/>
                          </a:xfrm>
                          <a:custGeom>
                            <a:avLst/>
                            <a:gdLst/>
                            <a:ahLst/>
                            <a:cxnLst/>
                            <a:rect l="l" t="t" r="r" b="b"/>
                            <a:pathLst>
                              <a:path w="339090" h="0">
                                <a:moveTo>
                                  <a:pt x="0" y="0"/>
                                </a:moveTo>
                                <a:lnTo>
                                  <a:pt x="339090" y="0"/>
                                </a:lnTo>
                              </a:path>
                            </a:pathLst>
                          </a:custGeom>
                          <a:ln w="10807">
                            <a:solidFill>
                              <a:srgbClr val="D9D9D9"/>
                            </a:solidFill>
                            <a:prstDash val="solid"/>
                          </a:ln>
                        </wps:spPr>
                        <wps:bodyPr wrap="square" lIns="0" tIns="0" rIns="0" bIns="0" rtlCol="0">
                          <a:prstTxWarp prst="textNoShape">
                            <a:avLst/>
                          </a:prstTxWarp>
                          <a:noAutofit/>
                        </wps:bodyPr>
                      </wps:wsp>
                      <wps:wsp>
                        <wps:cNvPr id="28" name="Graphic 28"/>
                        <wps:cNvSpPr/>
                        <wps:spPr>
                          <a:xfrm>
                            <a:off x="2181549" y="733748"/>
                            <a:ext cx="42545" cy="1270"/>
                          </a:xfrm>
                          <a:custGeom>
                            <a:avLst/>
                            <a:gdLst/>
                            <a:ahLst/>
                            <a:cxnLst/>
                            <a:rect l="l" t="t" r="r" b="b"/>
                            <a:pathLst>
                              <a:path w="42545" h="0">
                                <a:moveTo>
                                  <a:pt x="0" y="0"/>
                                </a:moveTo>
                                <a:lnTo>
                                  <a:pt x="42544" y="0"/>
                                </a:lnTo>
                              </a:path>
                            </a:pathLst>
                          </a:custGeom>
                          <a:ln w="10807">
                            <a:solidFill>
                              <a:srgbClr val="D9D9D9"/>
                            </a:solidFill>
                            <a:prstDash val="solid"/>
                          </a:ln>
                        </wps:spPr>
                        <wps:bodyPr wrap="square" lIns="0" tIns="0" rIns="0" bIns="0" rtlCol="0">
                          <a:prstTxWarp prst="textNoShape">
                            <a:avLst/>
                          </a:prstTxWarp>
                          <a:noAutofit/>
                        </wps:bodyPr>
                      </wps:wsp>
                      <wps:wsp>
                        <wps:cNvPr id="29" name="Graphic 29"/>
                        <wps:cNvSpPr/>
                        <wps:spPr>
                          <a:xfrm>
                            <a:off x="1684343" y="546423"/>
                            <a:ext cx="339090" cy="1270"/>
                          </a:xfrm>
                          <a:custGeom>
                            <a:avLst/>
                            <a:gdLst/>
                            <a:ahLst/>
                            <a:cxnLst/>
                            <a:rect l="l" t="t" r="r" b="b"/>
                            <a:pathLst>
                              <a:path w="339090" h="0">
                                <a:moveTo>
                                  <a:pt x="0" y="0"/>
                                </a:moveTo>
                                <a:lnTo>
                                  <a:pt x="339090" y="0"/>
                                </a:lnTo>
                              </a:path>
                            </a:pathLst>
                          </a:custGeom>
                          <a:ln w="10807">
                            <a:solidFill>
                              <a:srgbClr val="D9D9D9"/>
                            </a:solidFill>
                            <a:prstDash val="solid"/>
                          </a:ln>
                        </wps:spPr>
                        <wps:bodyPr wrap="square" lIns="0" tIns="0" rIns="0" bIns="0" rtlCol="0">
                          <a:prstTxWarp prst="textNoShape">
                            <a:avLst/>
                          </a:prstTxWarp>
                          <a:noAutofit/>
                        </wps:bodyPr>
                      </wps:wsp>
                      <wps:wsp>
                        <wps:cNvPr id="30" name="Graphic 30"/>
                        <wps:cNvSpPr/>
                        <wps:spPr>
                          <a:xfrm>
                            <a:off x="2181549" y="546423"/>
                            <a:ext cx="42545" cy="1270"/>
                          </a:xfrm>
                          <a:custGeom>
                            <a:avLst/>
                            <a:gdLst/>
                            <a:ahLst/>
                            <a:cxnLst/>
                            <a:rect l="l" t="t" r="r" b="b"/>
                            <a:pathLst>
                              <a:path w="42545" h="0">
                                <a:moveTo>
                                  <a:pt x="0" y="0"/>
                                </a:moveTo>
                                <a:lnTo>
                                  <a:pt x="42544" y="0"/>
                                </a:lnTo>
                              </a:path>
                            </a:pathLst>
                          </a:custGeom>
                          <a:ln w="10807">
                            <a:solidFill>
                              <a:srgbClr val="D9D9D9"/>
                            </a:solidFill>
                            <a:prstDash val="solid"/>
                          </a:ln>
                        </wps:spPr>
                        <wps:bodyPr wrap="square" lIns="0" tIns="0" rIns="0" bIns="0" rtlCol="0">
                          <a:prstTxWarp prst="textNoShape">
                            <a:avLst/>
                          </a:prstTxWarp>
                          <a:noAutofit/>
                        </wps:bodyPr>
                      </wps:wsp>
                      <wps:wsp>
                        <wps:cNvPr id="31" name="Graphic 31"/>
                        <wps:cNvSpPr/>
                        <wps:spPr>
                          <a:xfrm>
                            <a:off x="2181549" y="351478"/>
                            <a:ext cx="533400" cy="1270"/>
                          </a:xfrm>
                          <a:custGeom>
                            <a:avLst/>
                            <a:gdLst/>
                            <a:ahLst/>
                            <a:cxnLst/>
                            <a:rect l="l" t="t" r="r" b="b"/>
                            <a:pathLst>
                              <a:path w="533400" h="0">
                                <a:moveTo>
                                  <a:pt x="0" y="0"/>
                                </a:moveTo>
                                <a:lnTo>
                                  <a:pt x="533400" y="0"/>
                                </a:lnTo>
                              </a:path>
                            </a:pathLst>
                          </a:custGeom>
                          <a:ln w="10807">
                            <a:solidFill>
                              <a:srgbClr val="D9D9D9"/>
                            </a:solidFill>
                            <a:prstDash val="solid"/>
                          </a:ln>
                        </wps:spPr>
                        <wps:bodyPr wrap="square" lIns="0" tIns="0" rIns="0" bIns="0" rtlCol="0">
                          <a:prstTxWarp prst="textNoShape">
                            <a:avLst/>
                          </a:prstTxWarp>
                          <a:noAutofit/>
                        </wps:bodyPr>
                      </wps:wsp>
                      <wps:wsp>
                        <wps:cNvPr id="32" name="Graphic 32"/>
                        <wps:cNvSpPr/>
                        <wps:spPr>
                          <a:xfrm>
                            <a:off x="2022799" y="336873"/>
                            <a:ext cx="158750" cy="684530"/>
                          </a:xfrm>
                          <a:custGeom>
                            <a:avLst/>
                            <a:gdLst/>
                            <a:ahLst/>
                            <a:cxnLst/>
                            <a:rect l="l" t="t" r="r" b="b"/>
                            <a:pathLst>
                              <a:path w="158750" h="684530">
                                <a:moveTo>
                                  <a:pt x="158750" y="0"/>
                                </a:moveTo>
                                <a:lnTo>
                                  <a:pt x="0" y="0"/>
                                </a:lnTo>
                                <a:lnTo>
                                  <a:pt x="0" y="684529"/>
                                </a:lnTo>
                                <a:lnTo>
                                  <a:pt x="158750" y="684529"/>
                                </a:lnTo>
                                <a:lnTo>
                                  <a:pt x="158750" y="0"/>
                                </a:lnTo>
                                <a:close/>
                              </a:path>
                            </a:pathLst>
                          </a:custGeom>
                          <a:solidFill>
                            <a:srgbClr val="5B9BD3"/>
                          </a:solidFill>
                        </wps:spPr>
                        <wps:bodyPr wrap="square" lIns="0" tIns="0" rIns="0" bIns="0" rtlCol="0">
                          <a:prstTxWarp prst="textNoShape">
                            <a:avLst/>
                          </a:prstTxWarp>
                          <a:noAutofit/>
                        </wps:bodyPr>
                      </wps:wsp>
                      <wps:wsp>
                        <wps:cNvPr id="33" name="Graphic 33"/>
                        <wps:cNvSpPr/>
                        <wps:spPr>
                          <a:xfrm>
                            <a:off x="2375859" y="928058"/>
                            <a:ext cx="339090" cy="1270"/>
                          </a:xfrm>
                          <a:custGeom>
                            <a:avLst/>
                            <a:gdLst/>
                            <a:ahLst/>
                            <a:cxnLst/>
                            <a:rect l="l" t="t" r="r" b="b"/>
                            <a:pathLst>
                              <a:path w="339090" h="0">
                                <a:moveTo>
                                  <a:pt x="0" y="0"/>
                                </a:moveTo>
                                <a:lnTo>
                                  <a:pt x="339090" y="0"/>
                                </a:lnTo>
                              </a:path>
                            </a:pathLst>
                          </a:custGeom>
                          <a:ln w="10807">
                            <a:solidFill>
                              <a:srgbClr val="D9D9D9"/>
                            </a:solidFill>
                            <a:prstDash val="solid"/>
                          </a:ln>
                        </wps:spPr>
                        <wps:bodyPr wrap="square" lIns="0" tIns="0" rIns="0" bIns="0" rtlCol="0">
                          <a:prstTxWarp prst="textNoShape">
                            <a:avLst/>
                          </a:prstTxWarp>
                          <a:noAutofit/>
                        </wps:bodyPr>
                      </wps:wsp>
                      <wps:wsp>
                        <wps:cNvPr id="34" name="Graphic 34"/>
                        <wps:cNvSpPr/>
                        <wps:spPr>
                          <a:xfrm>
                            <a:off x="2873063" y="928058"/>
                            <a:ext cx="42545" cy="1270"/>
                          </a:xfrm>
                          <a:custGeom>
                            <a:avLst/>
                            <a:gdLst/>
                            <a:ahLst/>
                            <a:cxnLst/>
                            <a:rect l="l" t="t" r="r" b="b"/>
                            <a:pathLst>
                              <a:path w="42545" h="0">
                                <a:moveTo>
                                  <a:pt x="0" y="0"/>
                                </a:moveTo>
                                <a:lnTo>
                                  <a:pt x="42544" y="0"/>
                                </a:lnTo>
                              </a:path>
                            </a:pathLst>
                          </a:custGeom>
                          <a:ln w="10807">
                            <a:solidFill>
                              <a:srgbClr val="D9D9D9"/>
                            </a:solidFill>
                            <a:prstDash val="solid"/>
                          </a:ln>
                        </wps:spPr>
                        <wps:bodyPr wrap="square" lIns="0" tIns="0" rIns="0" bIns="0" rtlCol="0">
                          <a:prstTxWarp prst="textNoShape">
                            <a:avLst/>
                          </a:prstTxWarp>
                          <a:noAutofit/>
                        </wps:bodyPr>
                      </wps:wsp>
                      <wps:wsp>
                        <wps:cNvPr id="35" name="Graphic 35"/>
                        <wps:cNvSpPr/>
                        <wps:spPr>
                          <a:xfrm>
                            <a:off x="2375859" y="733748"/>
                            <a:ext cx="339090" cy="1270"/>
                          </a:xfrm>
                          <a:custGeom>
                            <a:avLst/>
                            <a:gdLst/>
                            <a:ahLst/>
                            <a:cxnLst/>
                            <a:rect l="l" t="t" r="r" b="b"/>
                            <a:pathLst>
                              <a:path w="339090" h="0">
                                <a:moveTo>
                                  <a:pt x="0" y="0"/>
                                </a:moveTo>
                                <a:lnTo>
                                  <a:pt x="339090" y="0"/>
                                </a:lnTo>
                              </a:path>
                            </a:pathLst>
                          </a:custGeom>
                          <a:ln w="10807">
                            <a:solidFill>
                              <a:srgbClr val="D9D9D9"/>
                            </a:solidFill>
                            <a:prstDash val="solid"/>
                          </a:ln>
                        </wps:spPr>
                        <wps:bodyPr wrap="square" lIns="0" tIns="0" rIns="0" bIns="0" rtlCol="0">
                          <a:prstTxWarp prst="textNoShape">
                            <a:avLst/>
                          </a:prstTxWarp>
                          <a:noAutofit/>
                        </wps:bodyPr>
                      </wps:wsp>
                      <wps:wsp>
                        <wps:cNvPr id="36" name="Graphic 36"/>
                        <wps:cNvSpPr/>
                        <wps:spPr>
                          <a:xfrm>
                            <a:off x="2873063" y="733748"/>
                            <a:ext cx="42545" cy="1270"/>
                          </a:xfrm>
                          <a:custGeom>
                            <a:avLst/>
                            <a:gdLst/>
                            <a:ahLst/>
                            <a:cxnLst/>
                            <a:rect l="l" t="t" r="r" b="b"/>
                            <a:pathLst>
                              <a:path w="42545" h="0">
                                <a:moveTo>
                                  <a:pt x="0" y="0"/>
                                </a:moveTo>
                                <a:lnTo>
                                  <a:pt x="42544" y="0"/>
                                </a:lnTo>
                              </a:path>
                            </a:pathLst>
                          </a:custGeom>
                          <a:ln w="10807">
                            <a:solidFill>
                              <a:srgbClr val="D9D9D9"/>
                            </a:solidFill>
                            <a:prstDash val="solid"/>
                          </a:ln>
                        </wps:spPr>
                        <wps:bodyPr wrap="square" lIns="0" tIns="0" rIns="0" bIns="0" rtlCol="0">
                          <a:prstTxWarp prst="textNoShape">
                            <a:avLst/>
                          </a:prstTxWarp>
                          <a:noAutofit/>
                        </wps:bodyPr>
                      </wps:wsp>
                      <wps:wsp>
                        <wps:cNvPr id="37" name="Graphic 37"/>
                        <wps:cNvSpPr/>
                        <wps:spPr>
                          <a:xfrm>
                            <a:off x="2375859" y="546423"/>
                            <a:ext cx="339090" cy="1270"/>
                          </a:xfrm>
                          <a:custGeom>
                            <a:avLst/>
                            <a:gdLst/>
                            <a:ahLst/>
                            <a:cxnLst/>
                            <a:rect l="l" t="t" r="r" b="b"/>
                            <a:pathLst>
                              <a:path w="339090" h="0">
                                <a:moveTo>
                                  <a:pt x="0" y="0"/>
                                </a:moveTo>
                                <a:lnTo>
                                  <a:pt x="339090" y="0"/>
                                </a:lnTo>
                              </a:path>
                            </a:pathLst>
                          </a:custGeom>
                          <a:ln w="10807">
                            <a:solidFill>
                              <a:srgbClr val="D9D9D9"/>
                            </a:solidFill>
                            <a:prstDash val="solid"/>
                          </a:ln>
                        </wps:spPr>
                        <wps:bodyPr wrap="square" lIns="0" tIns="0" rIns="0" bIns="0" rtlCol="0">
                          <a:prstTxWarp prst="textNoShape">
                            <a:avLst/>
                          </a:prstTxWarp>
                          <a:noAutofit/>
                        </wps:bodyPr>
                      </wps:wsp>
                      <wps:wsp>
                        <wps:cNvPr id="38" name="Graphic 38"/>
                        <wps:cNvSpPr/>
                        <wps:spPr>
                          <a:xfrm>
                            <a:off x="2873063" y="546423"/>
                            <a:ext cx="42545" cy="1270"/>
                          </a:xfrm>
                          <a:custGeom>
                            <a:avLst/>
                            <a:gdLst/>
                            <a:ahLst/>
                            <a:cxnLst/>
                            <a:rect l="l" t="t" r="r" b="b"/>
                            <a:pathLst>
                              <a:path w="42545" h="0">
                                <a:moveTo>
                                  <a:pt x="0" y="0"/>
                                </a:moveTo>
                                <a:lnTo>
                                  <a:pt x="42544" y="0"/>
                                </a:lnTo>
                              </a:path>
                            </a:pathLst>
                          </a:custGeom>
                          <a:ln w="10807">
                            <a:solidFill>
                              <a:srgbClr val="D9D9D9"/>
                            </a:solidFill>
                            <a:prstDash val="solid"/>
                          </a:ln>
                        </wps:spPr>
                        <wps:bodyPr wrap="square" lIns="0" tIns="0" rIns="0" bIns="0" rtlCol="0">
                          <a:prstTxWarp prst="textNoShape">
                            <a:avLst/>
                          </a:prstTxWarp>
                          <a:noAutofit/>
                        </wps:bodyPr>
                      </wps:wsp>
                      <wps:wsp>
                        <wps:cNvPr id="39" name="Graphic 39"/>
                        <wps:cNvSpPr/>
                        <wps:spPr>
                          <a:xfrm>
                            <a:off x="2873063" y="351478"/>
                            <a:ext cx="533400" cy="1270"/>
                          </a:xfrm>
                          <a:custGeom>
                            <a:avLst/>
                            <a:gdLst/>
                            <a:ahLst/>
                            <a:cxnLst/>
                            <a:rect l="l" t="t" r="r" b="b"/>
                            <a:pathLst>
                              <a:path w="533400" h="0">
                                <a:moveTo>
                                  <a:pt x="0" y="0"/>
                                </a:moveTo>
                                <a:lnTo>
                                  <a:pt x="533400" y="0"/>
                                </a:lnTo>
                              </a:path>
                            </a:pathLst>
                          </a:custGeom>
                          <a:ln w="10807">
                            <a:solidFill>
                              <a:srgbClr val="D9D9D9"/>
                            </a:solidFill>
                            <a:prstDash val="solid"/>
                          </a:ln>
                        </wps:spPr>
                        <wps:bodyPr wrap="square" lIns="0" tIns="0" rIns="0" bIns="0" rtlCol="0">
                          <a:prstTxWarp prst="textNoShape">
                            <a:avLst/>
                          </a:prstTxWarp>
                          <a:noAutofit/>
                        </wps:bodyPr>
                      </wps:wsp>
                      <wps:wsp>
                        <wps:cNvPr id="40" name="Graphic 40"/>
                        <wps:cNvSpPr/>
                        <wps:spPr>
                          <a:xfrm>
                            <a:off x="2714313" y="293693"/>
                            <a:ext cx="158750" cy="727710"/>
                          </a:xfrm>
                          <a:custGeom>
                            <a:avLst/>
                            <a:gdLst/>
                            <a:ahLst/>
                            <a:cxnLst/>
                            <a:rect l="l" t="t" r="r" b="b"/>
                            <a:pathLst>
                              <a:path w="158750" h="727710">
                                <a:moveTo>
                                  <a:pt x="158750" y="0"/>
                                </a:moveTo>
                                <a:lnTo>
                                  <a:pt x="0" y="0"/>
                                </a:lnTo>
                                <a:lnTo>
                                  <a:pt x="0" y="727709"/>
                                </a:lnTo>
                                <a:lnTo>
                                  <a:pt x="158750" y="727709"/>
                                </a:lnTo>
                                <a:lnTo>
                                  <a:pt x="158750" y="0"/>
                                </a:lnTo>
                                <a:close/>
                              </a:path>
                            </a:pathLst>
                          </a:custGeom>
                          <a:solidFill>
                            <a:srgbClr val="5B9BD3"/>
                          </a:solidFill>
                        </wps:spPr>
                        <wps:bodyPr wrap="square" lIns="0" tIns="0" rIns="0" bIns="0" rtlCol="0">
                          <a:prstTxWarp prst="textNoShape">
                            <a:avLst/>
                          </a:prstTxWarp>
                          <a:noAutofit/>
                        </wps:bodyPr>
                      </wps:wsp>
                      <wps:wsp>
                        <wps:cNvPr id="41" name="Graphic 41"/>
                        <wps:cNvSpPr/>
                        <wps:spPr>
                          <a:xfrm>
                            <a:off x="3067374" y="928058"/>
                            <a:ext cx="338455" cy="1270"/>
                          </a:xfrm>
                          <a:custGeom>
                            <a:avLst/>
                            <a:gdLst/>
                            <a:ahLst/>
                            <a:cxnLst/>
                            <a:rect l="l" t="t" r="r" b="b"/>
                            <a:pathLst>
                              <a:path w="338455" h="0">
                                <a:moveTo>
                                  <a:pt x="0" y="0"/>
                                </a:moveTo>
                                <a:lnTo>
                                  <a:pt x="338454" y="0"/>
                                </a:lnTo>
                              </a:path>
                            </a:pathLst>
                          </a:custGeom>
                          <a:ln w="10807">
                            <a:solidFill>
                              <a:srgbClr val="D9D9D9"/>
                            </a:solidFill>
                            <a:prstDash val="solid"/>
                          </a:ln>
                        </wps:spPr>
                        <wps:bodyPr wrap="square" lIns="0" tIns="0" rIns="0" bIns="0" rtlCol="0">
                          <a:prstTxWarp prst="textNoShape">
                            <a:avLst/>
                          </a:prstTxWarp>
                          <a:noAutofit/>
                        </wps:bodyPr>
                      </wps:wsp>
                      <wps:wsp>
                        <wps:cNvPr id="42" name="Graphic 42"/>
                        <wps:cNvSpPr/>
                        <wps:spPr>
                          <a:xfrm>
                            <a:off x="3564578" y="928058"/>
                            <a:ext cx="42545" cy="1270"/>
                          </a:xfrm>
                          <a:custGeom>
                            <a:avLst/>
                            <a:gdLst/>
                            <a:ahLst/>
                            <a:cxnLst/>
                            <a:rect l="l" t="t" r="r" b="b"/>
                            <a:pathLst>
                              <a:path w="42545" h="0">
                                <a:moveTo>
                                  <a:pt x="0" y="0"/>
                                </a:moveTo>
                                <a:lnTo>
                                  <a:pt x="42545" y="0"/>
                                </a:lnTo>
                              </a:path>
                            </a:pathLst>
                          </a:custGeom>
                          <a:ln w="10807">
                            <a:solidFill>
                              <a:srgbClr val="D9D9D9"/>
                            </a:solidFill>
                            <a:prstDash val="solid"/>
                          </a:ln>
                        </wps:spPr>
                        <wps:bodyPr wrap="square" lIns="0" tIns="0" rIns="0" bIns="0" rtlCol="0">
                          <a:prstTxWarp prst="textNoShape">
                            <a:avLst/>
                          </a:prstTxWarp>
                          <a:noAutofit/>
                        </wps:bodyPr>
                      </wps:wsp>
                      <wps:wsp>
                        <wps:cNvPr id="43" name="Graphic 43"/>
                        <wps:cNvSpPr/>
                        <wps:spPr>
                          <a:xfrm>
                            <a:off x="3067374" y="733748"/>
                            <a:ext cx="338455" cy="1270"/>
                          </a:xfrm>
                          <a:custGeom>
                            <a:avLst/>
                            <a:gdLst/>
                            <a:ahLst/>
                            <a:cxnLst/>
                            <a:rect l="l" t="t" r="r" b="b"/>
                            <a:pathLst>
                              <a:path w="338455" h="0">
                                <a:moveTo>
                                  <a:pt x="0" y="0"/>
                                </a:moveTo>
                                <a:lnTo>
                                  <a:pt x="338454" y="0"/>
                                </a:lnTo>
                              </a:path>
                            </a:pathLst>
                          </a:custGeom>
                          <a:ln w="10807">
                            <a:solidFill>
                              <a:srgbClr val="D9D9D9"/>
                            </a:solidFill>
                            <a:prstDash val="solid"/>
                          </a:ln>
                        </wps:spPr>
                        <wps:bodyPr wrap="square" lIns="0" tIns="0" rIns="0" bIns="0" rtlCol="0">
                          <a:prstTxWarp prst="textNoShape">
                            <a:avLst/>
                          </a:prstTxWarp>
                          <a:noAutofit/>
                        </wps:bodyPr>
                      </wps:wsp>
                      <wps:wsp>
                        <wps:cNvPr id="44" name="Graphic 44"/>
                        <wps:cNvSpPr/>
                        <wps:spPr>
                          <a:xfrm>
                            <a:off x="3564578" y="733748"/>
                            <a:ext cx="42545" cy="1270"/>
                          </a:xfrm>
                          <a:custGeom>
                            <a:avLst/>
                            <a:gdLst/>
                            <a:ahLst/>
                            <a:cxnLst/>
                            <a:rect l="l" t="t" r="r" b="b"/>
                            <a:pathLst>
                              <a:path w="42545" h="0">
                                <a:moveTo>
                                  <a:pt x="0" y="0"/>
                                </a:moveTo>
                                <a:lnTo>
                                  <a:pt x="42545" y="0"/>
                                </a:lnTo>
                              </a:path>
                            </a:pathLst>
                          </a:custGeom>
                          <a:ln w="10807">
                            <a:solidFill>
                              <a:srgbClr val="D9D9D9"/>
                            </a:solidFill>
                            <a:prstDash val="solid"/>
                          </a:ln>
                        </wps:spPr>
                        <wps:bodyPr wrap="square" lIns="0" tIns="0" rIns="0" bIns="0" rtlCol="0">
                          <a:prstTxWarp prst="textNoShape">
                            <a:avLst/>
                          </a:prstTxWarp>
                          <a:noAutofit/>
                        </wps:bodyPr>
                      </wps:wsp>
                      <wps:wsp>
                        <wps:cNvPr id="45" name="Graphic 45"/>
                        <wps:cNvSpPr/>
                        <wps:spPr>
                          <a:xfrm>
                            <a:off x="3067374" y="546423"/>
                            <a:ext cx="338455" cy="1270"/>
                          </a:xfrm>
                          <a:custGeom>
                            <a:avLst/>
                            <a:gdLst/>
                            <a:ahLst/>
                            <a:cxnLst/>
                            <a:rect l="l" t="t" r="r" b="b"/>
                            <a:pathLst>
                              <a:path w="338455" h="0">
                                <a:moveTo>
                                  <a:pt x="0" y="0"/>
                                </a:moveTo>
                                <a:lnTo>
                                  <a:pt x="338454" y="0"/>
                                </a:lnTo>
                              </a:path>
                            </a:pathLst>
                          </a:custGeom>
                          <a:ln w="10807">
                            <a:solidFill>
                              <a:srgbClr val="D9D9D9"/>
                            </a:solidFill>
                            <a:prstDash val="solid"/>
                          </a:ln>
                        </wps:spPr>
                        <wps:bodyPr wrap="square" lIns="0" tIns="0" rIns="0" bIns="0" rtlCol="0">
                          <a:prstTxWarp prst="textNoShape">
                            <a:avLst/>
                          </a:prstTxWarp>
                          <a:noAutofit/>
                        </wps:bodyPr>
                      </wps:wsp>
                      <wps:wsp>
                        <wps:cNvPr id="46" name="Graphic 46"/>
                        <wps:cNvSpPr/>
                        <wps:spPr>
                          <a:xfrm>
                            <a:off x="3564578" y="546423"/>
                            <a:ext cx="42545" cy="1270"/>
                          </a:xfrm>
                          <a:custGeom>
                            <a:avLst/>
                            <a:gdLst/>
                            <a:ahLst/>
                            <a:cxnLst/>
                            <a:rect l="l" t="t" r="r" b="b"/>
                            <a:pathLst>
                              <a:path w="42545" h="0">
                                <a:moveTo>
                                  <a:pt x="0" y="0"/>
                                </a:moveTo>
                                <a:lnTo>
                                  <a:pt x="42545" y="0"/>
                                </a:lnTo>
                              </a:path>
                            </a:pathLst>
                          </a:custGeom>
                          <a:ln w="10807">
                            <a:solidFill>
                              <a:srgbClr val="D9D9D9"/>
                            </a:solidFill>
                            <a:prstDash val="solid"/>
                          </a:ln>
                        </wps:spPr>
                        <wps:bodyPr wrap="square" lIns="0" tIns="0" rIns="0" bIns="0" rtlCol="0">
                          <a:prstTxWarp prst="textNoShape">
                            <a:avLst/>
                          </a:prstTxWarp>
                          <a:noAutofit/>
                        </wps:bodyPr>
                      </wps:wsp>
                      <wps:wsp>
                        <wps:cNvPr id="47" name="Graphic 47"/>
                        <wps:cNvSpPr/>
                        <wps:spPr>
                          <a:xfrm>
                            <a:off x="3563944" y="351478"/>
                            <a:ext cx="533400" cy="1270"/>
                          </a:xfrm>
                          <a:custGeom>
                            <a:avLst/>
                            <a:gdLst/>
                            <a:ahLst/>
                            <a:cxnLst/>
                            <a:rect l="l" t="t" r="r" b="b"/>
                            <a:pathLst>
                              <a:path w="533400" h="0">
                                <a:moveTo>
                                  <a:pt x="0" y="0"/>
                                </a:moveTo>
                                <a:lnTo>
                                  <a:pt x="533400" y="0"/>
                                </a:lnTo>
                              </a:path>
                            </a:pathLst>
                          </a:custGeom>
                          <a:ln w="10807">
                            <a:solidFill>
                              <a:srgbClr val="D9D9D9"/>
                            </a:solidFill>
                            <a:prstDash val="solid"/>
                          </a:ln>
                        </wps:spPr>
                        <wps:bodyPr wrap="square" lIns="0" tIns="0" rIns="0" bIns="0" rtlCol="0">
                          <a:prstTxWarp prst="textNoShape">
                            <a:avLst/>
                          </a:prstTxWarp>
                          <a:noAutofit/>
                        </wps:bodyPr>
                      </wps:wsp>
                      <wps:wsp>
                        <wps:cNvPr id="48" name="Graphic 48"/>
                        <wps:cNvSpPr/>
                        <wps:spPr>
                          <a:xfrm>
                            <a:off x="3405828" y="257498"/>
                            <a:ext cx="158750" cy="763905"/>
                          </a:xfrm>
                          <a:custGeom>
                            <a:avLst/>
                            <a:gdLst/>
                            <a:ahLst/>
                            <a:cxnLst/>
                            <a:rect l="l" t="t" r="r" b="b"/>
                            <a:pathLst>
                              <a:path w="158750" h="763905">
                                <a:moveTo>
                                  <a:pt x="158750" y="0"/>
                                </a:moveTo>
                                <a:lnTo>
                                  <a:pt x="0" y="0"/>
                                </a:lnTo>
                                <a:lnTo>
                                  <a:pt x="0" y="763904"/>
                                </a:lnTo>
                                <a:lnTo>
                                  <a:pt x="158750" y="763904"/>
                                </a:lnTo>
                                <a:lnTo>
                                  <a:pt x="158750" y="0"/>
                                </a:lnTo>
                                <a:close/>
                              </a:path>
                            </a:pathLst>
                          </a:custGeom>
                          <a:solidFill>
                            <a:srgbClr val="5B9BD3"/>
                          </a:solidFill>
                        </wps:spPr>
                        <wps:bodyPr wrap="square" lIns="0" tIns="0" rIns="0" bIns="0" rtlCol="0">
                          <a:prstTxWarp prst="textNoShape">
                            <a:avLst/>
                          </a:prstTxWarp>
                          <a:noAutofit/>
                        </wps:bodyPr>
                      </wps:wsp>
                      <wps:wsp>
                        <wps:cNvPr id="49" name="Graphic 49"/>
                        <wps:cNvSpPr/>
                        <wps:spPr>
                          <a:xfrm>
                            <a:off x="3758889" y="351478"/>
                            <a:ext cx="1029969" cy="576580"/>
                          </a:xfrm>
                          <a:custGeom>
                            <a:avLst/>
                            <a:gdLst/>
                            <a:ahLst/>
                            <a:cxnLst/>
                            <a:rect l="l" t="t" r="r" b="b"/>
                            <a:pathLst>
                              <a:path w="1029969" h="576580">
                                <a:moveTo>
                                  <a:pt x="0" y="576580"/>
                                </a:moveTo>
                                <a:lnTo>
                                  <a:pt x="338454" y="576580"/>
                                </a:lnTo>
                              </a:path>
                              <a:path w="1029969" h="576580">
                                <a:moveTo>
                                  <a:pt x="497204" y="576580"/>
                                </a:moveTo>
                                <a:lnTo>
                                  <a:pt x="540385" y="576580"/>
                                </a:lnTo>
                              </a:path>
                              <a:path w="1029969" h="576580">
                                <a:moveTo>
                                  <a:pt x="0" y="382270"/>
                                </a:moveTo>
                                <a:lnTo>
                                  <a:pt x="338454" y="382270"/>
                                </a:lnTo>
                              </a:path>
                              <a:path w="1029969" h="576580">
                                <a:moveTo>
                                  <a:pt x="497204" y="382270"/>
                                </a:moveTo>
                                <a:lnTo>
                                  <a:pt x="540385" y="382270"/>
                                </a:lnTo>
                              </a:path>
                              <a:path w="1029969" h="576580">
                                <a:moveTo>
                                  <a:pt x="0" y="194945"/>
                                </a:moveTo>
                                <a:lnTo>
                                  <a:pt x="338454" y="194945"/>
                                </a:lnTo>
                              </a:path>
                              <a:path w="1029969" h="576580">
                                <a:moveTo>
                                  <a:pt x="497204" y="194945"/>
                                </a:moveTo>
                                <a:lnTo>
                                  <a:pt x="540385" y="194945"/>
                                </a:lnTo>
                              </a:path>
                              <a:path w="1029969" h="576580">
                                <a:moveTo>
                                  <a:pt x="497204" y="0"/>
                                </a:moveTo>
                                <a:lnTo>
                                  <a:pt x="1029969" y="0"/>
                                </a:lnTo>
                              </a:path>
                            </a:pathLst>
                          </a:custGeom>
                          <a:ln w="10807">
                            <a:solidFill>
                              <a:srgbClr val="D9D9D9"/>
                            </a:solidFill>
                            <a:prstDash val="solid"/>
                          </a:ln>
                        </wps:spPr>
                        <wps:bodyPr wrap="square" lIns="0" tIns="0" rIns="0" bIns="0" rtlCol="0">
                          <a:prstTxWarp prst="textNoShape">
                            <a:avLst/>
                          </a:prstTxWarp>
                          <a:noAutofit/>
                        </wps:bodyPr>
                      </wps:wsp>
                      <wps:wsp>
                        <wps:cNvPr id="50" name="Graphic 50"/>
                        <wps:cNvSpPr/>
                        <wps:spPr>
                          <a:xfrm>
                            <a:off x="4097344" y="272103"/>
                            <a:ext cx="158750" cy="749300"/>
                          </a:xfrm>
                          <a:custGeom>
                            <a:avLst/>
                            <a:gdLst/>
                            <a:ahLst/>
                            <a:cxnLst/>
                            <a:rect l="l" t="t" r="r" b="b"/>
                            <a:pathLst>
                              <a:path w="158750" h="749300">
                                <a:moveTo>
                                  <a:pt x="158750" y="0"/>
                                </a:moveTo>
                                <a:lnTo>
                                  <a:pt x="0" y="0"/>
                                </a:lnTo>
                                <a:lnTo>
                                  <a:pt x="0" y="749300"/>
                                </a:lnTo>
                                <a:lnTo>
                                  <a:pt x="158750" y="749300"/>
                                </a:lnTo>
                                <a:lnTo>
                                  <a:pt x="158750" y="0"/>
                                </a:lnTo>
                                <a:close/>
                              </a:path>
                            </a:pathLst>
                          </a:custGeom>
                          <a:solidFill>
                            <a:srgbClr val="5B9BD3"/>
                          </a:solidFill>
                        </wps:spPr>
                        <wps:bodyPr wrap="square" lIns="0" tIns="0" rIns="0" bIns="0" rtlCol="0">
                          <a:prstTxWarp prst="textNoShape">
                            <a:avLst/>
                          </a:prstTxWarp>
                          <a:noAutofit/>
                        </wps:bodyPr>
                      </wps:wsp>
                      <wps:wsp>
                        <wps:cNvPr id="51" name="Graphic 51"/>
                        <wps:cNvSpPr/>
                        <wps:spPr>
                          <a:xfrm>
                            <a:off x="4450403" y="928058"/>
                            <a:ext cx="338455" cy="1270"/>
                          </a:xfrm>
                          <a:custGeom>
                            <a:avLst/>
                            <a:gdLst/>
                            <a:ahLst/>
                            <a:cxnLst/>
                            <a:rect l="l" t="t" r="r" b="b"/>
                            <a:pathLst>
                              <a:path w="338455" h="0">
                                <a:moveTo>
                                  <a:pt x="0" y="0"/>
                                </a:moveTo>
                                <a:lnTo>
                                  <a:pt x="338454" y="0"/>
                                </a:lnTo>
                              </a:path>
                            </a:pathLst>
                          </a:custGeom>
                          <a:ln w="10807">
                            <a:solidFill>
                              <a:srgbClr val="D9D9D9"/>
                            </a:solidFill>
                            <a:prstDash val="solid"/>
                          </a:ln>
                        </wps:spPr>
                        <wps:bodyPr wrap="square" lIns="0" tIns="0" rIns="0" bIns="0" rtlCol="0">
                          <a:prstTxWarp prst="textNoShape">
                            <a:avLst/>
                          </a:prstTxWarp>
                          <a:noAutofit/>
                        </wps:bodyPr>
                      </wps:wsp>
                      <wps:wsp>
                        <wps:cNvPr id="52" name="Graphic 52"/>
                        <wps:cNvSpPr/>
                        <wps:spPr>
                          <a:xfrm>
                            <a:off x="4948244" y="928058"/>
                            <a:ext cx="34925" cy="1270"/>
                          </a:xfrm>
                          <a:custGeom>
                            <a:avLst/>
                            <a:gdLst/>
                            <a:ahLst/>
                            <a:cxnLst/>
                            <a:rect l="l" t="t" r="r" b="b"/>
                            <a:pathLst>
                              <a:path w="34925" h="0">
                                <a:moveTo>
                                  <a:pt x="0" y="0"/>
                                </a:moveTo>
                                <a:lnTo>
                                  <a:pt x="34925" y="0"/>
                                </a:lnTo>
                              </a:path>
                            </a:pathLst>
                          </a:custGeom>
                          <a:ln w="10807">
                            <a:solidFill>
                              <a:srgbClr val="D9D9D9"/>
                            </a:solidFill>
                            <a:prstDash val="solid"/>
                          </a:ln>
                        </wps:spPr>
                        <wps:bodyPr wrap="square" lIns="0" tIns="0" rIns="0" bIns="0" rtlCol="0">
                          <a:prstTxWarp prst="textNoShape">
                            <a:avLst/>
                          </a:prstTxWarp>
                          <a:noAutofit/>
                        </wps:bodyPr>
                      </wps:wsp>
                      <wps:wsp>
                        <wps:cNvPr id="53" name="Graphic 53"/>
                        <wps:cNvSpPr/>
                        <wps:spPr>
                          <a:xfrm>
                            <a:off x="4450403" y="733748"/>
                            <a:ext cx="338455" cy="1270"/>
                          </a:xfrm>
                          <a:custGeom>
                            <a:avLst/>
                            <a:gdLst/>
                            <a:ahLst/>
                            <a:cxnLst/>
                            <a:rect l="l" t="t" r="r" b="b"/>
                            <a:pathLst>
                              <a:path w="338455" h="0">
                                <a:moveTo>
                                  <a:pt x="0" y="0"/>
                                </a:moveTo>
                                <a:lnTo>
                                  <a:pt x="338454" y="0"/>
                                </a:lnTo>
                              </a:path>
                            </a:pathLst>
                          </a:custGeom>
                          <a:ln w="10807">
                            <a:solidFill>
                              <a:srgbClr val="D9D9D9"/>
                            </a:solidFill>
                            <a:prstDash val="solid"/>
                          </a:ln>
                        </wps:spPr>
                        <wps:bodyPr wrap="square" lIns="0" tIns="0" rIns="0" bIns="0" rtlCol="0">
                          <a:prstTxWarp prst="textNoShape">
                            <a:avLst/>
                          </a:prstTxWarp>
                          <a:noAutofit/>
                        </wps:bodyPr>
                      </wps:wsp>
                      <wps:wsp>
                        <wps:cNvPr id="54" name="Graphic 54"/>
                        <wps:cNvSpPr/>
                        <wps:spPr>
                          <a:xfrm>
                            <a:off x="4948244" y="733748"/>
                            <a:ext cx="34925" cy="1270"/>
                          </a:xfrm>
                          <a:custGeom>
                            <a:avLst/>
                            <a:gdLst/>
                            <a:ahLst/>
                            <a:cxnLst/>
                            <a:rect l="l" t="t" r="r" b="b"/>
                            <a:pathLst>
                              <a:path w="34925" h="0">
                                <a:moveTo>
                                  <a:pt x="0" y="0"/>
                                </a:moveTo>
                                <a:lnTo>
                                  <a:pt x="34925" y="0"/>
                                </a:lnTo>
                              </a:path>
                            </a:pathLst>
                          </a:custGeom>
                          <a:ln w="10807">
                            <a:solidFill>
                              <a:srgbClr val="D9D9D9"/>
                            </a:solidFill>
                            <a:prstDash val="solid"/>
                          </a:ln>
                        </wps:spPr>
                        <wps:bodyPr wrap="square" lIns="0" tIns="0" rIns="0" bIns="0" rtlCol="0">
                          <a:prstTxWarp prst="textNoShape">
                            <a:avLst/>
                          </a:prstTxWarp>
                          <a:noAutofit/>
                        </wps:bodyPr>
                      </wps:wsp>
                      <wps:wsp>
                        <wps:cNvPr id="55" name="Graphic 55"/>
                        <wps:cNvSpPr/>
                        <wps:spPr>
                          <a:xfrm>
                            <a:off x="4450403" y="546423"/>
                            <a:ext cx="338455" cy="1270"/>
                          </a:xfrm>
                          <a:custGeom>
                            <a:avLst/>
                            <a:gdLst/>
                            <a:ahLst/>
                            <a:cxnLst/>
                            <a:rect l="l" t="t" r="r" b="b"/>
                            <a:pathLst>
                              <a:path w="338455" h="0">
                                <a:moveTo>
                                  <a:pt x="0" y="0"/>
                                </a:moveTo>
                                <a:lnTo>
                                  <a:pt x="338454" y="0"/>
                                </a:lnTo>
                              </a:path>
                            </a:pathLst>
                          </a:custGeom>
                          <a:ln w="10807">
                            <a:solidFill>
                              <a:srgbClr val="D9D9D9"/>
                            </a:solidFill>
                            <a:prstDash val="solid"/>
                          </a:ln>
                        </wps:spPr>
                        <wps:bodyPr wrap="square" lIns="0" tIns="0" rIns="0" bIns="0" rtlCol="0">
                          <a:prstTxWarp prst="textNoShape">
                            <a:avLst/>
                          </a:prstTxWarp>
                          <a:noAutofit/>
                        </wps:bodyPr>
                      </wps:wsp>
                      <wps:wsp>
                        <wps:cNvPr id="56" name="Graphic 56"/>
                        <wps:cNvSpPr/>
                        <wps:spPr>
                          <a:xfrm>
                            <a:off x="4948244" y="546423"/>
                            <a:ext cx="34925" cy="1270"/>
                          </a:xfrm>
                          <a:custGeom>
                            <a:avLst/>
                            <a:gdLst/>
                            <a:ahLst/>
                            <a:cxnLst/>
                            <a:rect l="l" t="t" r="r" b="b"/>
                            <a:pathLst>
                              <a:path w="34925" h="0">
                                <a:moveTo>
                                  <a:pt x="0" y="0"/>
                                </a:moveTo>
                                <a:lnTo>
                                  <a:pt x="34925" y="0"/>
                                </a:lnTo>
                              </a:path>
                            </a:pathLst>
                          </a:custGeom>
                          <a:ln w="10807">
                            <a:solidFill>
                              <a:srgbClr val="D9D9D9"/>
                            </a:solidFill>
                            <a:prstDash val="solid"/>
                          </a:ln>
                        </wps:spPr>
                        <wps:bodyPr wrap="square" lIns="0" tIns="0" rIns="0" bIns="0" rtlCol="0">
                          <a:prstTxWarp prst="textNoShape">
                            <a:avLst/>
                          </a:prstTxWarp>
                          <a:noAutofit/>
                        </wps:bodyPr>
                      </wps:wsp>
                      <wps:wsp>
                        <wps:cNvPr id="57" name="Graphic 57"/>
                        <wps:cNvSpPr/>
                        <wps:spPr>
                          <a:xfrm>
                            <a:off x="4947608" y="351478"/>
                            <a:ext cx="532765" cy="1270"/>
                          </a:xfrm>
                          <a:custGeom>
                            <a:avLst/>
                            <a:gdLst/>
                            <a:ahLst/>
                            <a:cxnLst/>
                            <a:rect l="l" t="t" r="r" b="b"/>
                            <a:pathLst>
                              <a:path w="532765" h="0">
                                <a:moveTo>
                                  <a:pt x="0" y="0"/>
                                </a:moveTo>
                                <a:lnTo>
                                  <a:pt x="532765" y="0"/>
                                </a:lnTo>
                              </a:path>
                            </a:pathLst>
                          </a:custGeom>
                          <a:ln w="10807">
                            <a:solidFill>
                              <a:srgbClr val="D9D9D9"/>
                            </a:solidFill>
                            <a:prstDash val="solid"/>
                          </a:ln>
                        </wps:spPr>
                        <wps:bodyPr wrap="square" lIns="0" tIns="0" rIns="0" bIns="0" rtlCol="0">
                          <a:prstTxWarp prst="textNoShape">
                            <a:avLst/>
                          </a:prstTxWarp>
                          <a:noAutofit/>
                        </wps:bodyPr>
                      </wps:wsp>
                      <wps:wsp>
                        <wps:cNvPr id="58" name="Graphic 58"/>
                        <wps:cNvSpPr/>
                        <wps:spPr>
                          <a:xfrm>
                            <a:off x="4789494" y="265118"/>
                            <a:ext cx="158750" cy="756920"/>
                          </a:xfrm>
                          <a:custGeom>
                            <a:avLst/>
                            <a:gdLst/>
                            <a:ahLst/>
                            <a:cxnLst/>
                            <a:rect l="l" t="t" r="r" b="b"/>
                            <a:pathLst>
                              <a:path w="158750" h="756920">
                                <a:moveTo>
                                  <a:pt x="158750" y="0"/>
                                </a:moveTo>
                                <a:lnTo>
                                  <a:pt x="0" y="0"/>
                                </a:lnTo>
                                <a:lnTo>
                                  <a:pt x="0" y="756920"/>
                                </a:lnTo>
                                <a:lnTo>
                                  <a:pt x="158750" y="756920"/>
                                </a:lnTo>
                                <a:lnTo>
                                  <a:pt x="158750" y="0"/>
                                </a:lnTo>
                                <a:close/>
                              </a:path>
                            </a:pathLst>
                          </a:custGeom>
                          <a:solidFill>
                            <a:srgbClr val="5B9BD3"/>
                          </a:solidFill>
                        </wps:spPr>
                        <wps:bodyPr wrap="square" lIns="0" tIns="0" rIns="0" bIns="0" rtlCol="0">
                          <a:prstTxWarp prst="textNoShape">
                            <a:avLst/>
                          </a:prstTxWarp>
                          <a:noAutofit/>
                        </wps:bodyPr>
                      </wps:wsp>
                      <wps:wsp>
                        <wps:cNvPr id="59" name="Graphic 59"/>
                        <wps:cNvSpPr/>
                        <wps:spPr>
                          <a:xfrm>
                            <a:off x="5142553" y="928058"/>
                            <a:ext cx="338455" cy="1270"/>
                          </a:xfrm>
                          <a:custGeom>
                            <a:avLst/>
                            <a:gdLst/>
                            <a:ahLst/>
                            <a:cxnLst/>
                            <a:rect l="l" t="t" r="r" b="b"/>
                            <a:pathLst>
                              <a:path w="338455" h="0">
                                <a:moveTo>
                                  <a:pt x="0" y="0"/>
                                </a:moveTo>
                                <a:lnTo>
                                  <a:pt x="338454" y="0"/>
                                </a:lnTo>
                              </a:path>
                            </a:pathLst>
                          </a:custGeom>
                          <a:ln w="10807">
                            <a:solidFill>
                              <a:srgbClr val="D9D9D9"/>
                            </a:solidFill>
                            <a:prstDash val="solid"/>
                          </a:ln>
                        </wps:spPr>
                        <wps:bodyPr wrap="square" lIns="0" tIns="0" rIns="0" bIns="0" rtlCol="0">
                          <a:prstTxWarp prst="textNoShape">
                            <a:avLst/>
                          </a:prstTxWarp>
                          <a:noAutofit/>
                        </wps:bodyPr>
                      </wps:wsp>
                      <wps:wsp>
                        <wps:cNvPr id="60" name="Graphic 60"/>
                        <wps:cNvSpPr/>
                        <wps:spPr>
                          <a:xfrm>
                            <a:off x="5639758" y="928058"/>
                            <a:ext cx="35560" cy="1270"/>
                          </a:xfrm>
                          <a:custGeom>
                            <a:avLst/>
                            <a:gdLst/>
                            <a:ahLst/>
                            <a:cxnLst/>
                            <a:rect l="l" t="t" r="r" b="b"/>
                            <a:pathLst>
                              <a:path w="35560" h="0">
                                <a:moveTo>
                                  <a:pt x="0" y="0"/>
                                </a:moveTo>
                                <a:lnTo>
                                  <a:pt x="35560" y="0"/>
                                </a:lnTo>
                              </a:path>
                            </a:pathLst>
                          </a:custGeom>
                          <a:ln w="10807">
                            <a:solidFill>
                              <a:srgbClr val="D9D9D9"/>
                            </a:solidFill>
                            <a:prstDash val="solid"/>
                          </a:ln>
                        </wps:spPr>
                        <wps:bodyPr wrap="square" lIns="0" tIns="0" rIns="0" bIns="0" rtlCol="0">
                          <a:prstTxWarp prst="textNoShape">
                            <a:avLst/>
                          </a:prstTxWarp>
                          <a:noAutofit/>
                        </wps:bodyPr>
                      </wps:wsp>
                      <wps:wsp>
                        <wps:cNvPr id="61" name="Graphic 61"/>
                        <wps:cNvSpPr/>
                        <wps:spPr>
                          <a:xfrm>
                            <a:off x="5142553" y="733748"/>
                            <a:ext cx="338455" cy="1270"/>
                          </a:xfrm>
                          <a:custGeom>
                            <a:avLst/>
                            <a:gdLst/>
                            <a:ahLst/>
                            <a:cxnLst/>
                            <a:rect l="l" t="t" r="r" b="b"/>
                            <a:pathLst>
                              <a:path w="338455" h="0">
                                <a:moveTo>
                                  <a:pt x="0" y="0"/>
                                </a:moveTo>
                                <a:lnTo>
                                  <a:pt x="338454" y="0"/>
                                </a:lnTo>
                              </a:path>
                            </a:pathLst>
                          </a:custGeom>
                          <a:ln w="10807">
                            <a:solidFill>
                              <a:srgbClr val="D9D9D9"/>
                            </a:solidFill>
                            <a:prstDash val="solid"/>
                          </a:ln>
                        </wps:spPr>
                        <wps:bodyPr wrap="square" lIns="0" tIns="0" rIns="0" bIns="0" rtlCol="0">
                          <a:prstTxWarp prst="textNoShape">
                            <a:avLst/>
                          </a:prstTxWarp>
                          <a:noAutofit/>
                        </wps:bodyPr>
                      </wps:wsp>
                      <wps:wsp>
                        <wps:cNvPr id="62" name="Graphic 62"/>
                        <wps:cNvSpPr/>
                        <wps:spPr>
                          <a:xfrm>
                            <a:off x="5639758" y="733748"/>
                            <a:ext cx="35560" cy="1270"/>
                          </a:xfrm>
                          <a:custGeom>
                            <a:avLst/>
                            <a:gdLst/>
                            <a:ahLst/>
                            <a:cxnLst/>
                            <a:rect l="l" t="t" r="r" b="b"/>
                            <a:pathLst>
                              <a:path w="35560" h="0">
                                <a:moveTo>
                                  <a:pt x="0" y="0"/>
                                </a:moveTo>
                                <a:lnTo>
                                  <a:pt x="35560" y="0"/>
                                </a:lnTo>
                              </a:path>
                            </a:pathLst>
                          </a:custGeom>
                          <a:ln w="10807">
                            <a:solidFill>
                              <a:srgbClr val="D9D9D9"/>
                            </a:solidFill>
                            <a:prstDash val="solid"/>
                          </a:ln>
                        </wps:spPr>
                        <wps:bodyPr wrap="square" lIns="0" tIns="0" rIns="0" bIns="0" rtlCol="0">
                          <a:prstTxWarp prst="textNoShape">
                            <a:avLst/>
                          </a:prstTxWarp>
                          <a:noAutofit/>
                        </wps:bodyPr>
                      </wps:wsp>
                      <wps:wsp>
                        <wps:cNvPr id="63" name="Graphic 63"/>
                        <wps:cNvSpPr/>
                        <wps:spPr>
                          <a:xfrm>
                            <a:off x="5142553" y="546423"/>
                            <a:ext cx="338455" cy="1270"/>
                          </a:xfrm>
                          <a:custGeom>
                            <a:avLst/>
                            <a:gdLst/>
                            <a:ahLst/>
                            <a:cxnLst/>
                            <a:rect l="l" t="t" r="r" b="b"/>
                            <a:pathLst>
                              <a:path w="338455" h="0">
                                <a:moveTo>
                                  <a:pt x="0" y="0"/>
                                </a:moveTo>
                                <a:lnTo>
                                  <a:pt x="338454" y="0"/>
                                </a:lnTo>
                              </a:path>
                            </a:pathLst>
                          </a:custGeom>
                          <a:ln w="10807">
                            <a:solidFill>
                              <a:srgbClr val="D9D9D9"/>
                            </a:solidFill>
                            <a:prstDash val="solid"/>
                          </a:ln>
                        </wps:spPr>
                        <wps:bodyPr wrap="square" lIns="0" tIns="0" rIns="0" bIns="0" rtlCol="0">
                          <a:prstTxWarp prst="textNoShape">
                            <a:avLst/>
                          </a:prstTxWarp>
                          <a:noAutofit/>
                        </wps:bodyPr>
                      </wps:wsp>
                      <wps:wsp>
                        <wps:cNvPr id="64" name="Graphic 64"/>
                        <wps:cNvSpPr/>
                        <wps:spPr>
                          <a:xfrm>
                            <a:off x="5639758" y="546423"/>
                            <a:ext cx="35560" cy="1270"/>
                          </a:xfrm>
                          <a:custGeom>
                            <a:avLst/>
                            <a:gdLst/>
                            <a:ahLst/>
                            <a:cxnLst/>
                            <a:rect l="l" t="t" r="r" b="b"/>
                            <a:pathLst>
                              <a:path w="35560" h="0">
                                <a:moveTo>
                                  <a:pt x="0" y="0"/>
                                </a:moveTo>
                                <a:lnTo>
                                  <a:pt x="35560" y="0"/>
                                </a:lnTo>
                              </a:path>
                            </a:pathLst>
                          </a:custGeom>
                          <a:ln w="10807">
                            <a:solidFill>
                              <a:srgbClr val="D9D9D9"/>
                            </a:solidFill>
                            <a:prstDash val="solid"/>
                          </a:ln>
                        </wps:spPr>
                        <wps:bodyPr wrap="square" lIns="0" tIns="0" rIns="0" bIns="0" rtlCol="0">
                          <a:prstTxWarp prst="textNoShape">
                            <a:avLst/>
                          </a:prstTxWarp>
                          <a:noAutofit/>
                        </wps:bodyPr>
                      </wps:wsp>
                      <wps:wsp>
                        <wps:cNvPr id="65" name="Graphic 65"/>
                        <wps:cNvSpPr/>
                        <wps:spPr>
                          <a:xfrm>
                            <a:off x="5639758" y="351478"/>
                            <a:ext cx="360045" cy="1270"/>
                          </a:xfrm>
                          <a:custGeom>
                            <a:avLst/>
                            <a:gdLst/>
                            <a:ahLst/>
                            <a:cxnLst/>
                            <a:rect l="l" t="t" r="r" b="b"/>
                            <a:pathLst>
                              <a:path w="360045" h="0">
                                <a:moveTo>
                                  <a:pt x="0" y="0"/>
                                </a:moveTo>
                                <a:lnTo>
                                  <a:pt x="360045" y="0"/>
                                </a:lnTo>
                              </a:path>
                            </a:pathLst>
                          </a:custGeom>
                          <a:ln w="10807">
                            <a:solidFill>
                              <a:srgbClr val="D9D9D9"/>
                            </a:solidFill>
                            <a:prstDash val="solid"/>
                          </a:ln>
                        </wps:spPr>
                        <wps:bodyPr wrap="square" lIns="0" tIns="0" rIns="0" bIns="0" rtlCol="0">
                          <a:prstTxWarp prst="textNoShape">
                            <a:avLst/>
                          </a:prstTxWarp>
                          <a:noAutofit/>
                        </wps:bodyPr>
                      </wps:wsp>
                      <wps:wsp>
                        <wps:cNvPr id="66" name="Graphic 66"/>
                        <wps:cNvSpPr/>
                        <wps:spPr>
                          <a:xfrm>
                            <a:off x="5481008" y="265118"/>
                            <a:ext cx="158750" cy="756920"/>
                          </a:xfrm>
                          <a:custGeom>
                            <a:avLst/>
                            <a:gdLst/>
                            <a:ahLst/>
                            <a:cxnLst/>
                            <a:rect l="l" t="t" r="r" b="b"/>
                            <a:pathLst>
                              <a:path w="158750" h="756920">
                                <a:moveTo>
                                  <a:pt x="158750" y="0"/>
                                </a:moveTo>
                                <a:lnTo>
                                  <a:pt x="0" y="0"/>
                                </a:lnTo>
                                <a:lnTo>
                                  <a:pt x="0" y="756920"/>
                                </a:lnTo>
                                <a:lnTo>
                                  <a:pt x="158750" y="756920"/>
                                </a:lnTo>
                                <a:lnTo>
                                  <a:pt x="158750" y="0"/>
                                </a:lnTo>
                                <a:close/>
                              </a:path>
                            </a:pathLst>
                          </a:custGeom>
                          <a:solidFill>
                            <a:srgbClr val="5B9BD3"/>
                          </a:solidFill>
                        </wps:spPr>
                        <wps:bodyPr wrap="square" lIns="0" tIns="0" rIns="0" bIns="0" rtlCol="0">
                          <a:prstTxWarp prst="textNoShape">
                            <a:avLst/>
                          </a:prstTxWarp>
                          <a:noAutofit/>
                        </wps:bodyPr>
                      </wps:wsp>
                      <wps:wsp>
                        <wps:cNvPr id="67" name="Graphic 67"/>
                        <wps:cNvSpPr/>
                        <wps:spPr>
                          <a:xfrm>
                            <a:off x="841064" y="437838"/>
                            <a:ext cx="4300855" cy="583565"/>
                          </a:xfrm>
                          <a:custGeom>
                            <a:avLst/>
                            <a:gdLst/>
                            <a:ahLst/>
                            <a:cxnLst/>
                            <a:rect l="l" t="t" r="r" b="b"/>
                            <a:pathLst>
                              <a:path w="4300855" h="583565">
                                <a:moveTo>
                                  <a:pt x="151130" y="35560"/>
                                </a:moveTo>
                                <a:lnTo>
                                  <a:pt x="0" y="35560"/>
                                </a:lnTo>
                                <a:lnTo>
                                  <a:pt x="0" y="583565"/>
                                </a:lnTo>
                                <a:lnTo>
                                  <a:pt x="151130" y="583565"/>
                                </a:lnTo>
                                <a:lnTo>
                                  <a:pt x="151130" y="35560"/>
                                </a:lnTo>
                                <a:close/>
                              </a:path>
                              <a:path w="4300855" h="583565">
                                <a:moveTo>
                                  <a:pt x="842645" y="6985"/>
                                </a:moveTo>
                                <a:lnTo>
                                  <a:pt x="691515" y="6985"/>
                                </a:lnTo>
                                <a:lnTo>
                                  <a:pt x="691515" y="583565"/>
                                </a:lnTo>
                                <a:lnTo>
                                  <a:pt x="842645" y="583565"/>
                                </a:lnTo>
                                <a:lnTo>
                                  <a:pt x="842645" y="6985"/>
                                </a:lnTo>
                                <a:close/>
                              </a:path>
                              <a:path w="4300855" h="583565">
                                <a:moveTo>
                                  <a:pt x="1534160" y="0"/>
                                </a:moveTo>
                                <a:lnTo>
                                  <a:pt x="1383030" y="0"/>
                                </a:lnTo>
                                <a:lnTo>
                                  <a:pt x="1383030" y="583565"/>
                                </a:lnTo>
                                <a:lnTo>
                                  <a:pt x="1534160" y="583565"/>
                                </a:lnTo>
                                <a:lnTo>
                                  <a:pt x="1534160" y="0"/>
                                </a:lnTo>
                                <a:close/>
                              </a:path>
                              <a:path w="4300855" h="583565">
                                <a:moveTo>
                                  <a:pt x="2226310" y="35560"/>
                                </a:moveTo>
                                <a:lnTo>
                                  <a:pt x="2074545" y="35560"/>
                                </a:lnTo>
                                <a:lnTo>
                                  <a:pt x="2074545" y="583565"/>
                                </a:lnTo>
                                <a:lnTo>
                                  <a:pt x="2226310" y="583565"/>
                                </a:lnTo>
                                <a:lnTo>
                                  <a:pt x="2226310" y="35560"/>
                                </a:lnTo>
                                <a:close/>
                              </a:path>
                              <a:path w="4300855" h="583565">
                                <a:moveTo>
                                  <a:pt x="2917825" y="28575"/>
                                </a:moveTo>
                                <a:lnTo>
                                  <a:pt x="2766695" y="28575"/>
                                </a:lnTo>
                                <a:lnTo>
                                  <a:pt x="2766695" y="583565"/>
                                </a:lnTo>
                                <a:lnTo>
                                  <a:pt x="2917825" y="583565"/>
                                </a:lnTo>
                                <a:lnTo>
                                  <a:pt x="2917825" y="28575"/>
                                </a:lnTo>
                                <a:close/>
                              </a:path>
                              <a:path w="4300855" h="583565">
                                <a:moveTo>
                                  <a:pt x="3609340" y="28575"/>
                                </a:moveTo>
                                <a:lnTo>
                                  <a:pt x="3458210" y="28575"/>
                                </a:lnTo>
                                <a:lnTo>
                                  <a:pt x="3458210" y="583565"/>
                                </a:lnTo>
                                <a:lnTo>
                                  <a:pt x="3609340" y="583565"/>
                                </a:lnTo>
                                <a:lnTo>
                                  <a:pt x="3609340" y="28575"/>
                                </a:lnTo>
                                <a:close/>
                              </a:path>
                              <a:path w="4300855" h="583565">
                                <a:moveTo>
                                  <a:pt x="4300855" y="64770"/>
                                </a:moveTo>
                                <a:lnTo>
                                  <a:pt x="4142105" y="64770"/>
                                </a:lnTo>
                                <a:lnTo>
                                  <a:pt x="4142105" y="583565"/>
                                </a:lnTo>
                                <a:lnTo>
                                  <a:pt x="4300855" y="583565"/>
                                </a:lnTo>
                                <a:lnTo>
                                  <a:pt x="4300855" y="64770"/>
                                </a:lnTo>
                                <a:close/>
                              </a:path>
                            </a:pathLst>
                          </a:custGeom>
                          <a:solidFill>
                            <a:srgbClr val="EB7B2F"/>
                          </a:solidFill>
                        </wps:spPr>
                        <wps:bodyPr wrap="square" lIns="0" tIns="0" rIns="0" bIns="0" rtlCol="0">
                          <a:prstTxWarp prst="textNoShape">
                            <a:avLst/>
                          </a:prstTxWarp>
                          <a:noAutofit/>
                        </wps:bodyPr>
                      </wps:wsp>
                      <wps:wsp>
                        <wps:cNvPr id="68" name="Graphic 68"/>
                        <wps:cNvSpPr/>
                        <wps:spPr>
                          <a:xfrm>
                            <a:off x="5834069" y="545788"/>
                            <a:ext cx="165735" cy="381635"/>
                          </a:xfrm>
                          <a:custGeom>
                            <a:avLst/>
                            <a:gdLst/>
                            <a:ahLst/>
                            <a:cxnLst/>
                            <a:rect l="l" t="t" r="r" b="b"/>
                            <a:pathLst>
                              <a:path w="165735" h="381635">
                                <a:moveTo>
                                  <a:pt x="0" y="381634"/>
                                </a:moveTo>
                                <a:lnTo>
                                  <a:pt x="165734" y="381634"/>
                                </a:lnTo>
                              </a:path>
                              <a:path w="165735" h="381635">
                                <a:moveTo>
                                  <a:pt x="0" y="187325"/>
                                </a:moveTo>
                                <a:lnTo>
                                  <a:pt x="165734" y="187325"/>
                                </a:lnTo>
                              </a:path>
                              <a:path w="165735" h="381635">
                                <a:moveTo>
                                  <a:pt x="0" y="0"/>
                                </a:moveTo>
                                <a:lnTo>
                                  <a:pt x="165734" y="0"/>
                                </a:lnTo>
                              </a:path>
                            </a:pathLst>
                          </a:custGeom>
                          <a:ln w="10807">
                            <a:solidFill>
                              <a:srgbClr val="D9D9D9"/>
                            </a:solidFill>
                            <a:prstDash val="solid"/>
                          </a:ln>
                        </wps:spPr>
                        <wps:bodyPr wrap="square" lIns="0" tIns="0" rIns="0" bIns="0" rtlCol="0">
                          <a:prstTxWarp prst="textNoShape">
                            <a:avLst/>
                          </a:prstTxWarp>
                          <a:noAutofit/>
                        </wps:bodyPr>
                      </wps:wsp>
                      <wps:wsp>
                        <wps:cNvPr id="69" name="Graphic 69"/>
                        <wps:cNvSpPr/>
                        <wps:spPr>
                          <a:xfrm>
                            <a:off x="5675319" y="538803"/>
                            <a:ext cx="158750" cy="483234"/>
                          </a:xfrm>
                          <a:custGeom>
                            <a:avLst/>
                            <a:gdLst/>
                            <a:ahLst/>
                            <a:cxnLst/>
                            <a:rect l="l" t="t" r="r" b="b"/>
                            <a:pathLst>
                              <a:path w="158750" h="483234">
                                <a:moveTo>
                                  <a:pt x="158750" y="0"/>
                                </a:moveTo>
                                <a:lnTo>
                                  <a:pt x="0" y="0"/>
                                </a:lnTo>
                                <a:lnTo>
                                  <a:pt x="0" y="483234"/>
                                </a:lnTo>
                                <a:lnTo>
                                  <a:pt x="158750" y="483234"/>
                                </a:lnTo>
                                <a:lnTo>
                                  <a:pt x="158750" y="0"/>
                                </a:lnTo>
                                <a:close/>
                              </a:path>
                            </a:pathLst>
                          </a:custGeom>
                          <a:solidFill>
                            <a:srgbClr val="EB7B2F"/>
                          </a:solidFill>
                        </wps:spPr>
                        <wps:bodyPr wrap="square" lIns="0" tIns="0" rIns="0" bIns="0" rtlCol="0">
                          <a:prstTxWarp prst="textNoShape">
                            <a:avLst/>
                          </a:prstTxWarp>
                          <a:noAutofit/>
                        </wps:bodyPr>
                      </wps:wsp>
                      <wps:wsp>
                        <wps:cNvPr id="70" name="Graphic 70"/>
                        <wps:cNvSpPr/>
                        <wps:spPr>
                          <a:xfrm>
                            <a:off x="474033" y="164153"/>
                            <a:ext cx="5525770" cy="857250"/>
                          </a:xfrm>
                          <a:custGeom>
                            <a:avLst/>
                            <a:gdLst/>
                            <a:ahLst/>
                            <a:cxnLst/>
                            <a:rect l="l" t="t" r="r" b="b"/>
                            <a:pathLst>
                              <a:path w="5525770" h="857250">
                                <a:moveTo>
                                  <a:pt x="0" y="857250"/>
                                </a:moveTo>
                                <a:lnTo>
                                  <a:pt x="5525770" y="857250"/>
                                </a:lnTo>
                              </a:path>
                              <a:path w="5525770" h="857250">
                                <a:moveTo>
                                  <a:pt x="0" y="0"/>
                                </a:moveTo>
                                <a:lnTo>
                                  <a:pt x="5525770" y="0"/>
                                </a:lnTo>
                              </a:path>
                            </a:pathLst>
                          </a:custGeom>
                          <a:ln w="10807">
                            <a:solidFill>
                              <a:srgbClr val="D9D9D9"/>
                            </a:solidFill>
                            <a:prstDash val="solid"/>
                          </a:ln>
                        </wps:spPr>
                        <wps:bodyPr wrap="square" lIns="0" tIns="0" rIns="0" bIns="0" rtlCol="0">
                          <a:prstTxWarp prst="textNoShape">
                            <a:avLst/>
                          </a:prstTxWarp>
                          <a:noAutofit/>
                        </wps:bodyPr>
                      </wps:wsp>
                      <wps:wsp>
                        <wps:cNvPr id="71" name="Graphic 71"/>
                        <wps:cNvSpPr/>
                        <wps:spPr>
                          <a:xfrm>
                            <a:off x="740733" y="1424628"/>
                            <a:ext cx="57785" cy="50800"/>
                          </a:xfrm>
                          <a:custGeom>
                            <a:avLst/>
                            <a:gdLst/>
                            <a:ahLst/>
                            <a:cxnLst/>
                            <a:rect l="l" t="t" r="r" b="b"/>
                            <a:pathLst>
                              <a:path w="57785" h="50800">
                                <a:moveTo>
                                  <a:pt x="57785" y="0"/>
                                </a:moveTo>
                                <a:lnTo>
                                  <a:pt x="0" y="0"/>
                                </a:lnTo>
                                <a:lnTo>
                                  <a:pt x="0" y="50800"/>
                                </a:lnTo>
                                <a:lnTo>
                                  <a:pt x="57785" y="50800"/>
                                </a:lnTo>
                                <a:lnTo>
                                  <a:pt x="57785" y="0"/>
                                </a:lnTo>
                                <a:close/>
                              </a:path>
                            </a:pathLst>
                          </a:custGeom>
                          <a:solidFill>
                            <a:srgbClr val="5B9BD3"/>
                          </a:solidFill>
                        </wps:spPr>
                        <wps:bodyPr wrap="square" lIns="0" tIns="0" rIns="0" bIns="0" rtlCol="0">
                          <a:prstTxWarp prst="textNoShape">
                            <a:avLst/>
                          </a:prstTxWarp>
                          <a:noAutofit/>
                        </wps:bodyPr>
                      </wps:wsp>
                      <wps:wsp>
                        <wps:cNvPr id="72" name="Graphic 72"/>
                        <wps:cNvSpPr/>
                        <wps:spPr>
                          <a:xfrm>
                            <a:off x="3290894" y="1424628"/>
                            <a:ext cx="57785" cy="50800"/>
                          </a:xfrm>
                          <a:custGeom>
                            <a:avLst/>
                            <a:gdLst/>
                            <a:ahLst/>
                            <a:cxnLst/>
                            <a:rect l="l" t="t" r="r" b="b"/>
                            <a:pathLst>
                              <a:path w="57785" h="50800">
                                <a:moveTo>
                                  <a:pt x="57785" y="0"/>
                                </a:moveTo>
                                <a:lnTo>
                                  <a:pt x="0" y="0"/>
                                </a:lnTo>
                                <a:lnTo>
                                  <a:pt x="0" y="50800"/>
                                </a:lnTo>
                                <a:lnTo>
                                  <a:pt x="57785" y="50800"/>
                                </a:lnTo>
                                <a:lnTo>
                                  <a:pt x="57785" y="0"/>
                                </a:lnTo>
                                <a:close/>
                              </a:path>
                            </a:pathLst>
                          </a:custGeom>
                          <a:solidFill>
                            <a:srgbClr val="EB7B2F"/>
                          </a:solidFill>
                        </wps:spPr>
                        <wps:bodyPr wrap="square" lIns="0" tIns="0" rIns="0" bIns="0" rtlCol="0">
                          <a:prstTxWarp prst="textNoShape">
                            <a:avLst/>
                          </a:prstTxWarp>
                          <a:noAutofit/>
                        </wps:bodyPr>
                      </wps:wsp>
                      <wps:wsp>
                        <wps:cNvPr id="73" name="Graphic 73"/>
                        <wps:cNvSpPr/>
                        <wps:spPr>
                          <a:xfrm>
                            <a:off x="5403" y="5403"/>
                            <a:ext cx="6152515" cy="1635760"/>
                          </a:xfrm>
                          <a:custGeom>
                            <a:avLst/>
                            <a:gdLst/>
                            <a:ahLst/>
                            <a:cxnLst/>
                            <a:rect l="l" t="t" r="r" b="b"/>
                            <a:pathLst>
                              <a:path w="6152515" h="1635760">
                                <a:moveTo>
                                  <a:pt x="0" y="1635759"/>
                                </a:moveTo>
                                <a:lnTo>
                                  <a:pt x="6152515" y="1635759"/>
                                </a:lnTo>
                                <a:lnTo>
                                  <a:pt x="6152515" y="0"/>
                                </a:lnTo>
                                <a:lnTo>
                                  <a:pt x="0" y="0"/>
                                </a:lnTo>
                                <a:lnTo>
                                  <a:pt x="0" y="1635759"/>
                                </a:lnTo>
                                <a:close/>
                              </a:path>
                            </a:pathLst>
                          </a:custGeom>
                          <a:ln w="10807">
                            <a:solidFill>
                              <a:srgbClr val="D9D9D9"/>
                            </a:solidFill>
                            <a:prstDash val="solid"/>
                          </a:ln>
                        </wps:spPr>
                        <wps:bodyPr wrap="square" lIns="0" tIns="0" rIns="0" bIns="0" rtlCol="0">
                          <a:prstTxWarp prst="textNoShape">
                            <a:avLst/>
                          </a:prstTxWarp>
                          <a:noAutofit/>
                        </wps:bodyPr>
                      </wps:wsp>
                      <wps:wsp>
                        <wps:cNvPr id="74" name="Textbox 74"/>
                        <wps:cNvSpPr txBox="1"/>
                        <wps:spPr>
                          <a:xfrm>
                            <a:off x="3368618" y="1403038"/>
                            <a:ext cx="2087880" cy="102235"/>
                          </a:xfrm>
                          <a:prstGeom prst="rect">
                            <a:avLst/>
                          </a:prstGeom>
                        </wps:spPr>
                        <wps:txbx>
                          <w:txbxContent>
                            <w:p>
                              <w:pPr>
                                <w:spacing w:line="161" w:lineRule="exact" w:before="0"/>
                                <w:ind w:left="0" w:right="0" w:firstLine="0"/>
                                <w:jc w:val="left"/>
                                <w:rPr>
                                  <w:rFonts w:ascii="Calibri"/>
                                  <w:sz w:val="16"/>
                                </w:rPr>
                              </w:pPr>
                              <w:r>
                                <w:rPr>
                                  <w:rFonts w:ascii="Calibri"/>
                                  <w:color w:val="575757"/>
                                  <w:spacing w:val="-2"/>
                                  <w:sz w:val="16"/>
                                </w:rPr>
                                <w:t>Taux</w:t>
                              </w:r>
                              <w:r>
                                <w:rPr>
                                  <w:rFonts w:ascii="Calibri"/>
                                  <w:color w:val="575757"/>
                                  <w:spacing w:val="3"/>
                                  <w:sz w:val="16"/>
                                </w:rPr>
                                <w:t> </w:t>
                              </w:r>
                              <w:r>
                                <w:rPr>
                                  <w:rFonts w:ascii="Calibri"/>
                                  <w:color w:val="575757"/>
                                  <w:spacing w:val="-2"/>
                                  <w:sz w:val="16"/>
                                </w:rPr>
                                <w:t>net</w:t>
                              </w:r>
                              <w:r>
                                <w:rPr>
                                  <w:rFonts w:ascii="Calibri"/>
                                  <w:color w:val="575757"/>
                                  <w:sz w:val="16"/>
                                </w:rPr>
                                <w:t> </w:t>
                              </w:r>
                              <w:r>
                                <w:rPr>
                                  <w:rFonts w:ascii="Calibri"/>
                                  <w:color w:val="575757"/>
                                  <w:spacing w:val="-2"/>
                                  <w:sz w:val="16"/>
                                </w:rPr>
                                <w:t>de scolarisation</w:t>
                              </w:r>
                              <w:r>
                                <w:rPr>
                                  <w:rFonts w:ascii="Calibri"/>
                                  <w:color w:val="575757"/>
                                  <w:spacing w:val="-4"/>
                                  <w:sz w:val="16"/>
                                </w:rPr>
                                <w:t> </w:t>
                              </w:r>
                              <w:r>
                                <w:rPr>
                                  <w:rFonts w:ascii="Calibri"/>
                                  <w:color w:val="575757"/>
                                  <w:spacing w:val="-2"/>
                                  <w:sz w:val="16"/>
                                </w:rPr>
                                <w:t>dans</w:t>
                              </w:r>
                              <w:r>
                                <w:rPr>
                                  <w:rFonts w:ascii="Calibri"/>
                                  <w:color w:val="575757"/>
                                  <w:spacing w:val="-1"/>
                                  <w:sz w:val="16"/>
                                </w:rPr>
                                <w:t> </w:t>
                              </w:r>
                              <w:r>
                                <w:rPr>
                                  <w:rFonts w:ascii="Calibri"/>
                                  <w:color w:val="575757"/>
                                  <w:spacing w:val="-2"/>
                                  <w:sz w:val="16"/>
                                </w:rPr>
                                <w:t>le</w:t>
                              </w:r>
                              <w:r>
                                <w:rPr>
                                  <w:rFonts w:ascii="Calibri"/>
                                  <w:color w:val="575757"/>
                                  <w:sz w:val="16"/>
                                </w:rPr>
                                <w:t> </w:t>
                              </w:r>
                              <w:r>
                                <w:rPr>
                                  <w:rFonts w:ascii="Calibri"/>
                                  <w:color w:val="575757"/>
                                  <w:spacing w:val="-2"/>
                                  <w:sz w:val="16"/>
                                </w:rPr>
                                <w:t>primaire (FOND</w:t>
                              </w:r>
                              <w:r>
                                <w:rPr>
                                  <w:rFonts w:ascii="Calibri"/>
                                  <w:color w:val="575757"/>
                                  <w:spacing w:val="2"/>
                                  <w:sz w:val="16"/>
                                </w:rPr>
                                <w:t> </w:t>
                              </w:r>
                              <w:r>
                                <w:rPr>
                                  <w:rFonts w:ascii="Calibri"/>
                                  <w:color w:val="575757"/>
                                  <w:spacing w:val="-5"/>
                                  <w:sz w:val="16"/>
                                </w:rPr>
                                <w:t>1)</w:t>
                              </w:r>
                            </w:p>
                          </w:txbxContent>
                        </wps:txbx>
                        <wps:bodyPr wrap="square" lIns="0" tIns="0" rIns="0" bIns="0" rtlCol="0">
                          <a:noAutofit/>
                        </wps:bodyPr>
                      </wps:wsp>
                      <wps:wsp>
                        <wps:cNvPr id="75" name="Textbox 75"/>
                        <wps:cNvSpPr txBox="1"/>
                        <wps:spPr>
                          <a:xfrm>
                            <a:off x="819854" y="1403038"/>
                            <a:ext cx="2129155" cy="102235"/>
                          </a:xfrm>
                          <a:prstGeom prst="rect">
                            <a:avLst/>
                          </a:prstGeom>
                        </wps:spPr>
                        <wps:txbx>
                          <w:txbxContent>
                            <w:p>
                              <w:pPr>
                                <w:spacing w:line="161" w:lineRule="exact" w:before="0"/>
                                <w:ind w:left="0" w:right="0" w:firstLine="0"/>
                                <w:jc w:val="left"/>
                                <w:rPr>
                                  <w:rFonts w:ascii="Calibri"/>
                                  <w:sz w:val="16"/>
                                </w:rPr>
                              </w:pPr>
                              <w:r>
                                <w:rPr>
                                  <w:rFonts w:ascii="Calibri"/>
                                  <w:color w:val="575757"/>
                                  <w:spacing w:val="-2"/>
                                  <w:sz w:val="16"/>
                                </w:rPr>
                                <w:t>Taux</w:t>
                              </w:r>
                              <w:r>
                                <w:rPr>
                                  <w:rFonts w:ascii="Calibri"/>
                                  <w:color w:val="575757"/>
                                  <w:spacing w:val="2"/>
                                  <w:sz w:val="16"/>
                                </w:rPr>
                                <w:t> </w:t>
                              </w:r>
                              <w:r>
                                <w:rPr>
                                  <w:rFonts w:ascii="Calibri"/>
                                  <w:color w:val="575757"/>
                                  <w:spacing w:val="-2"/>
                                  <w:sz w:val="16"/>
                                </w:rPr>
                                <w:t>brut de</w:t>
                              </w:r>
                              <w:r>
                                <w:rPr>
                                  <w:rFonts w:ascii="Calibri"/>
                                  <w:color w:val="575757"/>
                                  <w:spacing w:val="17"/>
                                  <w:sz w:val="16"/>
                                </w:rPr>
                                <w:t> </w:t>
                              </w:r>
                              <w:r>
                                <w:rPr>
                                  <w:rFonts w:ascii="Calibri"/>
                                  <w:color w:val="575757"/>
                                  <w:spacing w:val="-2"/>
                                  <w:sz w:val="16"/>
                                </w:rPr>
                                <w:t>scolarisation</w:t>
                              </w:r>
                              <w:r>
                                <w:rPr>
                                  <w:rFonts w:ascii="Calibri"/>
                                  <w:color w:val="575757"/>
                                  <w:spacing w:val="-8"/>
                                  <w:sz w:val="16"/>
                                </w:rPr>
                                <w:t> </w:t>
                              </w:r>
                              <w:r>
                                <w:rPr>
                                  <w:rFonts w:ascii="Calibri"/>
                                  <w:color w:val="575757"/>
                                  <w:spacing w:val="-2"/>
                                  <w:sz w:val="16"/>
                                </w:rPr>
                                <w:t>dans</w:t>
                              </w:r>
                              <w:r>
                                <w:rPr>
                                  <w:rFonts w:ascii="Calibri"/>
                                  <w:color w:val="575757"/>
                                  <w:spacing w:val="-11"/>
                                  <w:sz w:val="16"/>
                                </w:rPr>
                                <w:t> </w:t>
                              </w:r>
                              <w:r>
                                <w:rPr>
                                  <w:rFonts w:ascii="Calibri"/>
                                  <w:color w:val="575757"/>
                                  <w:spacing w:val="-2"/>
                                  <w:sz w:val="16"/>
                                </w:rPr>
                                <w:t>le</w:t>
                              </w:r>
                              <w:r>
                                <w:rPr>
                                  <w:rFonts w:ascii="Calibri"/>
                                  <w:color w:val="575757"/>
                                  <w:spacing w:val="-5"/>
                                  <w:sz w:val="16"/>
                                </w:rPr>
                                <w:t> </w:t>
                              </w:r>
                              <w:r>
                                <w:rPr>
                                  <w:rFonts w:ascii="Calibri"/>
                                  <w:color w:val="575757"/>
                                  <w:spacing w:val="-2"/>
                                  <w:sz w:val="16"/>
                                </w:rPr>
                                <w:t>primaire</w:t>
                              </w:r>
                              <w:r>
                                <w:rPr>
                                  <w:rFonts w:ascii="Calibri"/>
                                  <w:color w:val="575757"/>
                                  <w:spacing w:val="-6"/>
                                  <w:sz w:val="16"/>
                                </w:rPr>
                                <w:t> </w:t>
                              </w:r>
                              <w:r>
                                <w:rPr>
                                  <w:rFonts w:ascii="Calibri"/>
                                  <w:color w:val="575757"/>
                                  <w:spacing w:val="-2"/>
                                  <w:sz w:val="16"/>
                                </w:rPr>
                                <w:t>(</w:t>
                              </w:r>
                              <w:r>
                                <w:rPr>
                                  <w:rFonts w:ascii="Calibri"/>
                                  <w:color w:val="575757"/>
                                  <w:spacing w:val="-21"/>
                                  <w:sz w:val="16"/>
                                </w:rPr>
                                <w:t> </w:t>
                              </w:r>
                              <w:r>
                                <w:rPr>
                                  <w:rFonts w:ascii="Calibri"/>
                                  <w:color w:val="575757"/>
                                  <w:spacing w:val="-2"/>
                                  <w:sz w:val="16"/>
                                </w:rPr>
                                <w:t>FOND</w:t>
                              </w:r>
                              <w:r>
                                <w:rPr>
                                  <w:rFonts w:ascii="Calibri"/>
                                  <w:color w:val="575757"/>
                                  <w:spacing w:val="-1"/>
                                  <w:sz w:val="16"/>
                                </w:rPr>
                                <w:t> </w:t>
                              </w:r>
                              <w:r>
                                <w:rPr>
                                  <w:rFonts w:ascii="Calibri"/>
                                  <w:color w:val="575757"/>
                                  <w:spacing w:val="-5"/>
                                  <w:sz w:val="16"/>
                                </w:rPr>
                                <w:t>1)</w:t>
                              </w:r>
                            </w:p>
                          </w:txbxContent>
                        </wps:txbx>
                        <wps:bodyPr wrap="square" lIns="0" tIns="0" rIns="0" bIns="0" rtlCol="0">
                          <a:noAutofit/>
                        </wps:bodyPr>
                      </wps:wsp>
                      <wps:wsp>
                        <wps:cNvPr id="76" name="Textbox 76"/>
                        <wps:cNvSpPr txBox="1"/>
                        <wps:spPr>
                          <a:xfrm>
                            <a:off x="129533" y="577030"/>
                            <a:ext cx="5903595" cy="688975"/>
                          </a:xfrm>
                          <a:prstGeom prst="rect">
                            <a:avLst/>
                          </a:prstGeom>
                        </wps:spPr>
                        <wps:txbx>
                          <w:txbxContent>
                            <w:p>
                              <w:pPr>
                                <w:spacing w:line="164" w:lineRule="exact" w:before="0"/>
                                <w:ind w:left="0" w:right="0" w:firstLine="0"/>
                                <w:jc w:val="left"/>
                                <w:rPr>
                                  <w:rFonts w:ascii="Calibri"/>
                                  <w:sz w:val="16"/>
                                </w:rPr>
                              </w:pPr>
                              <w:r>
                                <w:rPr>
                                  <w:rFonts w:ascii="Calibri"/>
                                  <w:color w:val="575757"/>
                                  <w:spacing w:val="-2"/>
                                  <w:sz w:val="16"/>
                                </w:rPr>
                                <w:t>50,0%</w:t>
                              </w:r>
                            </w:p>
                            <w:p>
                              <w:pPr>
                                <w:spacing w:before="174"/>
                                <w:ind w:left="0" w:right="0" w:firstLine="0"/>
                                <w:jc w:val="left"/>
                                <w:rPr>
                                  <w:rFonts w:ascii="Calibri"/>
                                  <w:sz w:val="16"/>
                                </w:rPr>
                              </w:pPr>
                              <w:r>
                                <w:rPr>
                                  <w:rFonts w:ascii="Calibri"/>
                                  <w:color w:val="575757"/>
                                  <w:spacing w:val="-2"/>
                                  <w:sz w:val="16"/>
                                </w:rPr>
                                <w:t>30,0%</w:t>
                              </w:r>
                            </w:p>
                            <w:p>
                              <w:pPr>
                                <w:tabs>
                                  <w:tab w:pos="9276" w:val="left" w:leader="none"/>
                                </w:tabs>
                                <w:spacing w:line="165" w:lineRule="exact" w:before="177"/>
                                <w:ind w:left="0" w:right="0" w:firstLine="0"/>
                                <w:jc w:val="left"/>
                                <w:rPr>
                                  <w:rFonts w:ascii="Calibri"/>
                                  <w:sz w:val="16"/>
                                </w:rPr>
                              </w:pPr>
                              <w:r>
                                <w:rPr>
                                  <w:rFonts w:ascii="Calibri"/>
                                  <w:color w:val="575757"/>
                                  <w:sz w:val="16"/>
                                </w:rPr>
                                <w:t>10,0%</w:t>
                              </w:r>
                              <w:r>
                                <w:rPr>
                                  <w:rFonts w:ascii="Calibri"/>
                                  <w:color w:val="575757"/>
                                  <w:spacing w:val="114"/>
                                  <w:sz w:val="16"/>
                                </w:rPr>
                                <w:t> </w:t>
                              </w:r>
                              <w:r>
                                <w:rPr>
                                  <w:rFonts w:ascii="Calibri"/>
                                  <w:color w:val="575757"/>
                                  <w:sz w:val="16"/>
                                  <w:u w:val="single" w:color="D9D9D9"/>
                                </w:rPr>
                                <w:tab/>
                              </w:r>
                            </w:p>
                            <w:p>
                              <w:pPr>
                                <w:tabs>
                                  <w:tab w:pos="1967" w:val="left" w:leader="none"/>
                                  <w:tab w:pos="3058" w:val="left" w:leader="none"/>
                                  <w:tab w:pos="4147" w:val="left" w:leader="none"/>
                                  <w:tab w:pos="5235" w:val="left" w:leader="none"/>
                                  <w:tab w:pos="6322" w:val="left" w:leader="none"/>
                                  <w:tab w:pos="7412" w:val="left" w:leader="none"/>
                                  <w:tab w:pos="8499" w:val="left" w:leader="none"/>
                                </w:tabs>
                                <w:spacing w:line="210" w:lineRule="exact" w:before="0"/>
                                <w:ind w:left="880" w:right="0" w:firstLine="0"/>
                                <w:jc w:val="left"/>
                                <w:rPr>
                                  <w:rFonts w:ascii="Calibri"/>
                                  <w:sz w:val="20"/>
                                </w:rPr>
                              </w:pPr>
                              <w:r>
                                <w:rPr>
                                  <w:rFonts w:ascii="Calibri"/>
                                  <w:color w:val="575757"/>
                                  <w:spacing w:val="-4"/>
                                  <w:sz w:val="20"/>
                                </w:rPr>
                                <w:t>2015</w:t>
                              </w:r>
                              <w:r>
                                <w:rPr>
                                  <w:rFonts w:ascii="Calibri"/>
                                  <w:color w:val="575757"/>
                                  <w:sz w:val="20"/>
                                </w:rPr>
                                <w:tab/>
                              </w:r>
                              <w:r>
                                <w:rPr>
                                  <w:rFonts w:ascii="Calibri"/>
                                  <w:color w:val="575757"/>
                                  <w:spacing w:val="-4"/>
                                  <w:sz w:val="20"/>
                                </w:rPr>
                                <w:t>2016</w:t>
                              </w:r>
                              <w:r>
                                <w:rPr>
                                  <w:rFonts w:ascii="Calibri"/>
                                  <w:color w:val="575757"/>
                                  <w:sz w:val="20"/>
                                </w:rPr>
                                <w:tab/>
                              </w:r>
                              <w:r>
                                <w:rPr>
                                  <w:rFonts w:ascii="Calibri"/>
                                  <w:color w:val="575757"/>
                                  <w:spacing w:val="-4"/>
                                  <w:sz w:val="20"/>
                                </w:rPr>
                                <w:t>2017</w:t>
                              </w:r>
                              <w:r>
                                <w:rPr>
                                  <w:rFonts w:ascii="Calibri"/>
                                  <w:color w:val="575757"/>
                                  <w:sz w:val="20"/>
                                </w:rPr>
                                <w:tab/>
                              </w:r>
                              <w:r>
                                <w:rPr>
                                  <w:rFonts w:ascii="Calibri"/>
                                  <w:color w:val="575757"/>
                                  <w:spacing w:val="-4"/>
                                  <w:sz w:val="20"/>
                                </w:rPr>
                                <w:t>2018</w:t>
                              </w:r>
                              <w:r>
                                <w:rPr>
                                  <w:rFonts w:ascii="Calibri"/>
                                  <w:color w:val="575757"/>
                                  <w:sz w:val="20"/>
                                </w:rPr>
                                <w:tab/>
                              </w:r>
                              <w:r>
                                <w:rPr>
                                  <w:rFonts w:ascii="Calibri"/>
                                  <w:color w:val="575757"/>
                                  <w:spacing w:val="-4"/>
                                  <w:sz w:val="20"/>
                                </w:rPr>
                                <w:t>2019</w:t>
                              </w:r>
                              <w:r>
                                <w:rPr>
                                  <w:rFonts w:ascii="Calibri"/>
                                  <w:color w:val="575757"/>
                                  <w:sz w:val="20"/>
                                </w:rPr>
                                <w:tab/>
                              </w:r>
                              <w:r>
                                <w:rPr>
                                  <w:rFonts w:ascii="Calibri"/>
                                  <w:color w:val="575757"/>
                                  <w:spacing w:val="-4"/>
                                  <w:sz w:val="20"/>
                                </w:rPr>
                                <w:t>2020</w:t>
                              </w:r>
                              <w:r>
                                <w:rPr>
                                  <w:rFonts w:ascii="Calibri"/>
                                  <w:color w:val="575757"/>
                                  <w:sz w:val="20"/>
                                </w:rPr>
                                <w:tab/>
                              </w:r>
                              <w:r>
                                <w:rPr>
                                  <w:rFonts w:ascii="Calibri"/>
                                  <w:color w:val="575757"/>
                                  <w:spacing w:val="-4"/>
                                  <w:sz w:val="20"/>
                                </w:rPr>
                                <w:t>2021</w:t>
                              </w:r>
                              <w:r>
                                <w:rPr>
                                  <w:rFonts w:ascii="Calibri"/>
                                  <w:color w:val="575757"/>
                                  <w:sz w:val="20"/>
                                </w:rPr>
                                <w:tab/>
                              </w:r>
                              <w:r>
                                <w:rPr>
                                  <w:rFonts w:ascii="Calibri"/>
                                  <w:color w:val="575757"/>
                                  <w:spacing w:val="-4"/>
                                  <w:sz w:val="20"/>
                                </w:rPr>
                                <w:t>2022</w:t>
                              </w:r>
                            </w:p>
                          </w:txbxContent>
                        </wps:txbx>
                        <wps:bodyPr wrap="square" lIns="0" tIns="0" rIns="0" bIns="0" rtlCol="0">
                          <a:noAutofit/>
                        </wps:bodyPr>
                      </wps:wsp>
                      <wps:wsp>
                        <wps:cNvPr id="77" name="Textbox 77"/>
                        <wps:cNvSpPr txBox="1"/>
                        <wps:spPr>
                          <a:xfrm>
                            <a:off x="5648902" y="392245"/>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50,8%</w:t>
                              </w:r>
                            </w:p>
                          </w:txbxContent>
                        </wps:txbx>
                        <wps:bodyPr wrap="square" lIns="0" tIns="0" rIns="0" bIns="0" rtlCol="0">
                          <a:noAutofit/>
                        </wps:bodyPr>
                      </wps:wsp>
                      <wps:wsp>
                        <wps:cNvPr id="78" name="Textbox 78"/>
                        <wps:cNvSpPr txBox="1"/>
                        <wps:spPr>
                          <a:xfrm>
                            <a:off x="4958531" y="357193"/>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54,7%</w:t>
                              </w:r>
                            </w:p>
                          </w:txbxContent>
                        </wps:txbx>
                        <wps:bodyPr wrap="square" lIns="0" tIns="0" rIns="0" bIns="0" rtlCol="0">
                          <a:noAutofit/>
                        </wps:bodyPr>
                      </wps:wsp>
                      <wps:wsp>
                        <wps:cNvPr id="79" name="Textbox 79"/>
                        <wps:cNvSpPr txBox="1"/>
                        <wps:spPr>
                          <a:xfrm>
                            <a:off x="4267777" y="320617"/>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58,3%</w:t>
                              </w:r>
                            </w:p>
                          </w:txbxContent>
                        </wps:txbx>
                        <wps:bodyPr wrap="square" lIns="0" tIns="0" rIns="0" bIns="0" rtlCol="0">
                          <a:noAutofit/>
                        </wps:bodyPr>
                      </wps:wsp>
                      <wps:wsp>
                        <wps:cNvPr id="80" name="Textbox 80"/>
                        <wps:cNvSpPr txBox="1"/>
                        <wps:spPr>
                          <a:xfrm>
                            <a:off x="3575882" y="320617"/>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58,6%</w:t>
                              </w:r>
                            </w:p>
                          </w:txbxContent>
                        </wps:txbx>
                        <wps:bodyPr wrap="square" lIns="0" tIns="0" rIns="0" bIns="0" rtlCol="0">
                          <a:noAutofit/>
                        </wps:bodyPr>
                      </wps:wsp>
                      <wps:wsp>
                        <wps:cNvPr id="81" name="Textbox 81"/>
                        <wps:cNvSpPr txBox="1"/>
                        <wps:spPr>
                          <a:xfrm>
                            <a:off x="2883731" y="349573"/>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57,7%</w:t>
                              </w:r>
                            </w:p>
                          </w:txbxContent>
                        </wps:txbx>
                        <wps:bodyPr wrap="square" lIns="0" tIns="0" rIns="0" bIns="0" rtlCol="0">
                          <a:noAutofit/>
                        </wps:bodyPr>
                      </wps:wsp>
                      <wps:wsp>
                        <wps:cNvPr id="82" name="Textbox 82"/>
                        <wps:cNvSpPr txBox="1"/>
                        <wps:spPr>
                          <a:xfrm>
                            <a:off x="129533" y="340810"/>
                            <a:ext cx="261620" cy="102235"/>
                          </a:xfrm>
                          <a:prstGeom prst="rect">
                            <a:avLst/>
                          </a:prstGeom>
                        </wps:spPr>
                        <wps:txbx>
                          <w:txbxContent>
                            <w:p>
                              <w:pPr>
                                <w:spacing w:line="161" w:lineRule="exact" w:before="0"/>
                                <w:ind w:left="0" w:right="0" w:firstLine="0"/>
                                <w:jc w:val="left"/>
                                <w:rPr>
                                  <w:rFonts w:ascii="Calibri"/>
                                  <w:sz w:val="16"/>
                                </w:rPr>
                              </w:pPr>
                              <w:r>
                                <w:rPr>
                                  <w:rFonts w:ascii="Calibri"/>
                                  <w:color w:val="575757"/>
                                  <w:spacing w:val="-2"/>
                                  <w:sz w:val="16"/>
                                </w:rPr>
                                <w:t>70,0%</w:t>
                              </w:r>
                            </w:p>
                          </w:txbxContent>
                        </wps:txbx>
                        <wps:bodyPr wrap="square" lIns="0" tIns="0" rIns="0" bIns="0" rtlCol="0">
                          <a:noAutofit/>
                        </wps:bodyPr>
                      </wps:wsp>
                      <wps:wsp>
                        <wps:cNvPr id="83" name="Textbox 83"/>
                        <wps:cNvSpPr txBox="1"/>
                        <wps:spPr>
                          <a:xfrm>
                            <a:off x="4761934" y="125545"/>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79,2%</w:t>
                              </w:r>
                            </w:p>
                          </w:txbxContent>
                        </wps:txbx>
                        <wps:bodyPr wrap="square" lIns="0" tIns="0" rIns="0" bIns="0" rtlCol="0">
                          <a:noAutofit/>
                        </wps:bodyPr>
                      </wps:wsp>
                      <wps:wsp>
                        <wps:cNvPr id="84" name="Textbox 84"/>
                        <wps:cNvSpPr txBox="1"/>
                        <wps:spPr>
                          <a:xfrm>
                            <a:off x="2687135" y="146881"/>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76,5%</w:t>
                              </w:r>
                            </w:p>
                          </w:txbxContent>
                        </wps:txbx>
                        <wps:bodyPr wrap="square" lIns="0" tIns="0" rIns="0" bIns="0" rtlCol="0">
                          <a:noAutofit/>
                        </wps:bodyPr>
                      </wps:wsp>
                      <wps:wsp>
                        <wps:cNvPr id="85" name="Textbox 85"/>
                        <wps:cNvSpPr txBox="1"/>
                        <wps:spPr>
                          <a:xfrm>
                            <a:off x="1996763" y="184981"/>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72,1%</w:t>
                              </w:r>
                            </w:p>
                          </w:txbxContent>
                        </wps:txbx>
                        <wps:bodyPr wrap="square" lIns="0" tIns="0" rIns="0" bIns="0" rtlCol="0">
                          <a:noAutofit/>
                        </wps:bodyPr>
                      </wps:wsp>
                      <wps:wsp>
                        <wps:cNvPr id="86" name="Textbox 86"/>
                        <wps:cNvSpPr txBox="1"/>
                        <wps:spPr>
                          <a:xfrm>
                            <a:off x="1306010" y="201745"/>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69,8%</w:t>
                              </w:r>
                            </w:p>
                          </w:txbxContent>
                        </wps:txbx>
                        <wps:bodyPr wrap="square" lIns="0" tIns="0" rIns="0" bIns="0" rtlCol="0">
                          <a:noAutofit/>
                        </wps:bodyPr>
                      </wps:wsp>
                      <wps:wsp>
                        <wps:cNvPr id="87" name="Textbox 87"/>
                        <wps:cNvSpPr txBox="1"/>
                        <wps:spPr>
                          <a:xfrm>
                            <a:off x="614114" y="221557"/>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68,7%</w:t>
                              </w:r>
                            </w:p>
                          </w:txbxContent>
                        </wps:txbx>
                        <wps:bodyPr wrap="square" lIns="0" tIns="0" rIns="0" bIns="0" rtlCol="0">
                          <a:noAutofit/>
                        </wps:bodyPr>
                      </wps:wsp>
                      <wps:wsp>
                        <wps:cNvPr id="88" name="Textbox 88"/>
                        <wps:cNvSpPr txBox="1"/>
                        <wps:spPr>
                          <a:xfrm>
                            <a:off x="5452307" y="117925"/>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79,6%</w:t>
                              </w:r>
                            </w:p>
                          </w:txbxContent>
                        </wps:txbx>
                        <wps:bodyPr wrap="square" lIns="0" tIns="0" rIns="0" bIns="0" rtlCol="0">
                          <a:noAutofit/>
                        </wps:bodyPr>
                      </wps:wsp>
                      <wps:wsp>
                        <wps:cNvPr id="89" name="Textbox 89"/>
                        <wps:cNvSpPr txBox="1"/>
                        <wps:spPr>
                          <a:xfrm>
                            <a:off x="4069657" y="125545"/>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79,0%</w:t>
                              </w:r>
                            </w:p>
                          </w:txbxContent>
                        </wps:txbx>
                        <wps:bodyPr wrap="square" lIns="0" tIns="0" rIns="0" bIns="0" rtlCol="0">
                          <a:noAutofit/>
                        </wps:bodyPr>
                      </wps:wsp>
                      <wps:wsp>
                        <wps:cNvPr id="90" name="Textbox 90"/>
                        <wps:cNvSpPr txBox="1"/>
                        <wps:spPr>
                          <a:xfrm>
                            <a:off x="3379285" y="117925"/>
                            <a:ext cx="221615" cy="82550"/>
                          </a:xfrm>
                          <a:prstGeom prst="rect">
                            <a:avLst/>
                          </a:prstGeom>
                        </wps:spPr>
                        <wps:txbx>
                          <w:txbxContent>
                            <w:p>
                              <w:pPr>
                                <w:spacing w:line="130" w:lineRule="exact" w:before="0"/>
                                <w:ind w:left="0" w:right="0" w:firstLine="0"/>
                                <w:jc w:val="left"/>
                                <w:rPr>
                                  <w:rFonts w:ascii="Calibri"/>
                                  <w:sz w:val="13"/>
                                </w:rPr>
                              </w:pPr>
                              <w:r>
                                <w:rPr>
                                  <w:rFonts w:ascii="Calibri"/>
                                  <w:color w:val="404040"/>
                                  <w:spacing w:val="-2"/>
                                  <w:w w:val="105"/>
                                  <w:sz w:val="13"/>
                                </w:rPr>
                                <w:t>80,0%</w:t>
                              </w:r>
                            </w:p>
                          </w:txbxContent>
                        </wps:txbx>
                        <wps:bodyPr wrap="square" lIns="0" tIns="0" rIns="0" bIns="0" rtlCol="0">
                          <a:noAutofit/>
                        </wps:bodyPr>
                      </wps:wsp>
                      <wps:wsp>
                        <wps:cNvPr id="91" name="Textbox 91"/>
                        <wps:cNvSpPr txBox="1"/>
                        <wps:spPr>
                          <a:xfrm>
                            <a:off x="129533" y="119830"/>
                            <a:ext cx="261620" cy="102235"/>
                          </a:xfrm>
                          <a:prstGeom prst="rect">
                            <a:avLst/>
                          </a:prstGeom>
                        </wps:spPr>
                        <wps:txbx>
                          <w:txbxContent>
                            <w:p>
                              <w:pPr>
                                <w:spacing w:line="161" w:lineRule="exact" w:before="0"/>
                                <w:ind w:left="0" w:right="0" w:firstLine="0"/>
                                <w:jc w:val="left"/>
                                <w:rPr>
                                  <w:rFonts w:ascii="Calibri"/>
                                  <w:sz w:val="16"/>
                                </w:rPr>
                              </w:pPr>
                              <w:r>
                                <w:rPr>
                                  <w:rFonts w:ascii="Calibri"/>
                                  <w:color w:val="575757"/>
                                  <w:spacing w:val="-2"/>
                                  <w:sz w:val="16"/>
                                </w:rPr>
                                <w:t>90,0%</w:t>
                              </w:r>
                            </w:p>
                          </w:txbxContent>
                        </wps:txbx>
                        <wps:bodyPr wrap="square" lIns="0" tIns="0" rIns="0" bIns="0" rtlCol="0">
                          <a:noAutofit/>
                        </wps:bodyPr>
                      </wps:wsp>
                    </wpg:wgp>
                  </a:graphicData>
                </a:graphic>
              </wp:anchor>
            </w:drawing>
          </mc:Choice>
          <mc:Fallback>
            <w:pict>
              <v:group style="position:absolute;margin-left:70.824493pt;margin-top:9.232420pt;width:485.35pt;height:129.7pt;mso-position-horizontal-relative:page;mso-position-vertical-relative:paragraph;z-index:-15727616;mso-wrap-distance-left:0;mso-wrap-distance-right:0" id="docshapegroup7" coordorigin="1416,185" coordsize="9707,2594">
                <v:line style="position:absolute" from="2163,1646" to="2436,1646" stroked="true" strokeweight=".85102pt" strokecolor="#d9d9d9">
                  <v:stroke dashstyle="solid"/>
                </v:line>
                <v:line style="position:absolute" from="2674,1646" to="2741,1646" stroked="true" strokeweight=".85102pt" strokecolor="#d9d9d9">
                  <v:stroke dashstyle="solid"/>
                </v:line>
                <v:line style="position:absolute" from="2163,1340" to="2436,1340" stroked="true" strokeweight=".85102pt" strokecolor="#d9d9d9">
                  <v:stroke dashstyle="solid"/>
                </v:line>
                <v:line style="position:absolute" from="2674,1340" to="2741,1340" stroked="true" strokeweight=".85102pt" strokecolor="#d9d9d9">
                  <v:stroke dashstyle="solid"/>
                </v:line>
                <v:line style="position:absolute" from="2163,1045" to="2436,1045" stroked="true" strokeweight=".85102pt" strokecolor="#d9d9d9">
                  <v:stroke dashstyle="solid"/>
                </v:line>
                <v:line style="position:absolute" from="2674,1045" to="2741,1045" stroked="true" strokeweight=".85102pt" strokecolor="#d9d9d9">
                  <v:stroke dashstyle="solid"/>
                </v:line>
                <v:line style="position:absolute" from="2163,738" to="4603,738" stroked="true" strokeweight=".85102pt" strokecolor="#d9d9d9">
                  <v:stroke dashstyle="solid"/>
                </v:line>
                <v:rect style="position:absolute;left:2435;top:761;width:239;height:1033" id="docshape8" filled="true" fillcolor="#5b9bd3" stroked="false">
                  <v:fill type="solid"/>
                </v:rect>
                <v:line style="position:absolute" from="2980,1645" to="3525,1645" stroked="true" strokeweight=".85102pt" strokecolor="#d9d9d9">
                  <v:stroke dashstyle="solid"/>
                </v:line>
                <v:line style="position:absolute" from="3763,1645" to="3830,1645" stroked="true" strokeweight=".85102pt" strokecolor="#d9d9d9">
                  <v:stroke dashstyle="solid"/>
                </v:line>
                <v:line style="position:absolute" from="2980,1339" to="3525,1339" stroked="true" strokeweight=".85102pt" strokecolor="#d9d9d9">
                  <v:stroke dashstyle="solid"/>
                </v:line>
                <v:line style="position:absolute" from="3763,1339" to="3830,1339" stroked="true" strokeweight=".85102pt" strokecolor="#d9d9d9">
                  <v:stroke dashstyle="solid"/>
                </v:line>
                <v:line style="position:absolute" from="2980,1044" to="3525,1044" stroked="true" strokeweight=".85102pt" strokecolor="#d9d9d9">
                  <v:stroke dashstyle="solid"/>
                </v:line>
                <v:line style="position:absolute" from="3763,1044" to="3830,1044" stroked="true" strokeweight=".85102pt" strokecolor="#d9d9d9">
                  <v:stroke dashstyle="solid"/>
                </v:line>
                <v:rect style="position:absolute;left:3524;top:749;width:239;height:1044" id="docshape9" filled="true" fillcolor="#5b9bd3" stroked="false">
                  <v:fill type="solid"/>
                </v:rect>
                <v:line style="position:absolute" from="4069,1646" to="4603,1646" stroked="true" strokeweight=".85102pt" strokecolor="#d9d9d9">
                  <v:stroke dashstyle="solid"/>
                </v:line>
                <v:line style="position:absolute" from="4852,1646" to="4919,1646" stroked="true" strokeweight=".85102pt" strokecolor="#d9d9d9">
                  <v:stroke dashstyle="solid"/>
                </v:line>
                <v:line style="position:absolute" from="4069,1340" to="4603,1340" stroked="true" strokeweight=".85102pt" strokecolor="#d9d9d9">
                  <v:stroke dashstyle="solid"/>
                </v:line>
                <v:line style="position:absolute" from="4852,1340" to="4919,1340" stroked="true" strokeweight=".85102pt" strokecolor="#d9d9d9">
                  <v:stroke dashstyle="solid"/>
                </v:line>
                <v:line style="position:absolute" from="4069,1045" to="4603,1045" stroked="true" strokeweight=".85102pt" strokecolor="#d9d9d9">
                  <v:stroke dashstyle="solid"/>
                </v:line>
                <v:line style="position:absolute" from="4852,1045" to="4919,1045" stroked="true" strokeweight=".85102pt" strokecolor="#d9d9d9">
                  <v:stroke dashstyle="solid"/>
                </v:line>
                <v:line style="position:absolute" from="4852,738" to="5692,738" stroked="true" strokeweight=".85102pt" strokecolor="#d9d9d9">
                  <v:stroke dashstyle="solid"/>
                </v:line>
                <v:rect style="position:absolute;left:4602;top:715;width:250;height:1078" id="docshape10" filled="true" fillcolor="#5b9bd3" stroked="false">
                  <v:fill type="solid"/>
                </v:rect>
                <v:line style="position:absolute" from="5158,1646" to="5692,1646" stroked="true" strokeweight=".85102pt" strokecolor="#d9d9d9">
                  <v:stroke dashstyle="solid"/>
                </v:line>
                <v:line style="position:absolute" from="5941,1646" to="6008,1646" stroked="true" strokeweight=".85102pt" strokecolor="#d9d9d9">
                  <v:stroke dashstyle="solid"/>
                </v:line>
                <v:line style="position:absolute" from="5158,1340" to="5692,1340" stroked="true" strokeweight=".85102pt" strokecolor="#d9d9d9">
                  <v:stroke dashstyle="solid"/>
                </v:line>
                <v:line style="position:absolute" from="5941,1340" to="6008,1340" stroked="true" strokeweight=".85102pt" strokecolor="#d9d9d9">
                  <v:stroke dashstyle="solid"/>
                </v:line>
                <v:line style="position:absolute" from="5158,1045" to="5692,1045" stroked="true" strokeweight=".85102pt" strokecolor="#d9d9d9">
                  <v:stroke dashstyle="solid"/>
                </v:line>
                <v:line style="position:absolute" from="5941,1045" to="6008,1045" stroked="true" strokeweight=".85102pt" strokecolor="#d9d9d9">
                  <v:stroke dashstyle="solid"/>
                </v:line>
                <v:line style="position:absolute" from="5941,738" to="6781,738" stroked="true" strokeweight=".85102pt" strokecolor="#d9d9d9">
                  <v:stroke dashstyle="solid"/>
                </v:line>
                <v:rect style="position:absolute;left:5691;top:647;width:250;height:1146" id="docshape11" filled="true" fillcolor="#5b9bd3" stroked="false">
                  <v:fill type="solid"/>
                </v:rect>
                <v:line style="position:absolute" from="6247,1646" to="6780,1646" stroked="true" strokeweight=".85102pt" strokecolor="#d9d9d9">
                  <v:stroke dashstyle="solid"/>
                </v:line>
                <v:line style="position:absolute" from="7030,1646" to="7097,1646" stroked="true" strokeweight=".85102pt" strokecolor="#d9d9d9">
                  <v:stroke dashstyle="solid"/>
                </v:line>
                <v:line style="position:absolute" from="6247,1340" to="6780,1340" stroked="true" strokeweight=".85102pt" strokecolor="#d9d9d9">
                  <v:stroke dashstyle="solid"/>
                </v:line>
                <v:line style="position:absolute" from="7030,1340" to="7097,1340" stroked="true" strokeweight=".85102pt" strokecolor="#d9d9d9">
                  <v:stroke dashstyle="solid"/>
                </v:line>
                <v:line style="position:absolute" from="6247,1045" to="6780,1045" stroked="true" strokeweight=".85102pt" strokecolor="#d9d9d9">
                  <v:stroke dashstyle="solid"/>
                </v:line>
                <v:line style="position:absolute" from="7030,1045" to="7097,1045" stroked="true" strokeweight=".85102pt" strokecolor="#d9d9d9">
                  <v:stroke dashstyle="solid"/>
                </v:line>
                <v:line style="position:absolute" from="7029,738" to="7869,738" stroked="true" strokeweight=".85102pt" strokecolor="#d9d9d9">
                  <v:stroke dashstyle="solid"/>
                </v:line>
                <v:rect style="position:absolute;left:6780;top:590;width:250;height:1203" id="docshape12" filled="true" fillcolor="#5b9bd3" stroked="false">
                  <v:fill type="solid"/>
                </v:rect>
                <v:shape style="position:absolute;left:7336;top:738;width:1622;height:908" id="docshape13" coordorigin="7336,738" coordsize="1622,908" path="m7336,1646l7869,1646m8119,1646l8187,1646m7336,1340l7869,1340m8119,1340l8187,1340m7336,1045l7869,1045m8119,1045l8187,1045m8119,738l8958,738e" filled="false" stroked="true" strokeweight=".85102pt" strokecolor="#d9d9d9">
                  <v:path arrowok="t"/>
                  <v:stroke dashstyle="solid"/>
                </v:shape>
                <v:rect style="position:absolute;left:7869;top:613;width:250;height:1180" id="docshape14" filled="true" fillcolor="#5b9bd3" stroked="false">
                  <v:fill type="solid"/>
                </v:rect>
                <v:line style="position:absolute" from="8425,1646" to="8958,1646" stroked="true" strokeweight=".85102pt" strokecolor="#d9d9d9">
                  <v:stroke dashstyle="solid"/>
                </v:line>
                <v:line style="position:absolute" from="9209,1646" to="9264,1646" stroked="true" strokeweight=".85102pt" strokecolor="#d9d9d9">
                  <v:stroke dashstyle="solid"/>
                </v:line>
                <v:line style="position:absolute" from="8425,1340" to="8958,1340" stroked="true" strokeweight=".85102pt" strokecolor="#d9d9d9">
                  <v:stroke dashstyle="solid"/>
                </v:line>
                <v:line style="position:absolute" from="9209,1340" to="9264,1340" stroked="true" strokeweight=".85102pt" strokecolor="#d9d9d9">
                  <v:stroke dashstyle="solid"/>
                </v:line>
                <v:line style="position:absolute" from="8425,1045" to="8958,1045" stroked="true" strokeweight=".85102pt" strokecolor="#d9d9d9">
                  <v:stroke dashstyle="solid"/>
                </v:line>
                <v:line style="position:absolute" from="9209,1045" to="9264,1045" stroked="true" strokeweight=".85102pt" strokecolor="#d9d9d9">
                  <v:stroke dashstyle="solid"/>
                </v:line>
                <v:line style="position:absolute" from="9208,738" to="10047,738" stroked="true" strokeweight=".85102pt" strokecolor="#d9d9d9">
                  <v:stroke dashstyle="solid"/>
                </v:line>
                <v:rect style="position:absolute;left:8959;top:602;width:250;height:1192" id="docshape15" filled="true" fillcolor="#5b9bd3" stroked="false">
                  <v:fill type="solid"/>
                </v:rect>
                <v:line style="position:absolute" from="9515,1646" to="10048,1646" stroked="true" strokeweight=".85102pt" strokecolor="#d9d9d9">
                  <v:stroke dashstyle="solid"/>
                </v:line>
                <v:line style="position:absolute" from="10298,1646" to="10354,1646" stroked="true" strokeweight=".85102pt" strokecolor="#d9d9d9">
                  <v:stroke dashstyle="solid"/>
                </v:line>
                <v:line style="position:absolute" from="9515,1340" to="10048,1340" stroked="true" strokeweight=".85102pt" strokecolor="#d9d9d9">
                  <v:stroke dashstyle="solid"/>
                </v:line>
                <v:line style="position:absolute" from="10298,1340" to="10354,1340" stroked="true" strokeweight=".85102pt" strokecolor="#d9d9d9">
                  <v:stroke dashstyle="solid"/>
                </v:line>
                <v:line style="position:absolute" from="9515,1045" to="10048,1045" stroked="true" strokeweight=".85102pt" strokecolor="#d9d9d9">
                  <v:stroke dashstyle="solid"/>
                </v:line>
                <v:line style="position:absolute" from="10298,1045" to="10354,1045" stroked="true" strokeweight=".85102pt" strokecolor="#d9d9d9">
                  <v:stroke dashstyle="solid"/>
                </v:line>
                <v:line style="position:absolute" from="10298,738" to="10865,738" stroked="true" strokeweight=".85102pt" strokecolor="#d9d9d9">
                  <v:stroke dashstyle="solid"/>
                </v:line>
                <v:rect style="position:absolute;left:10048;top:602;width:250;height:1192" id="docshape16" filled="true" fillcolor="#5b9bd3" stroked="false">
                  <v:fill type="solid"/>
                </v:rect>
                <v:shape style="position:absolute;left:2741;top:874;width:6773;height:919" id="docshape17" coordorigin="2741,874" coordsize="6773,919" path="m2979,930l2741,930,2741,1793,2979,1793,2979,930xm4068,885l3830,885,3830,1793,4068,1793,4068,885xm5157,874l4919,874,4919,1793,5157,1793,5157,874xm6247,930l6008,930,6008,1793,6247,1793,6247,930xm7336,919l7098,919,7098,1793,7336,1793,7336,919xm8425,919l8187,919,8187,1793,8425,1793,8425,919xm9514,976l9264,976,9264,1793,9514,1793,9514,976xe" filled="true" fillcolor="#eb7b2f" stroked="false">
                  <v:path arrowok="t"/>
                  <v:fill type="solid"/>
                </v:shape>
                <v:shape style="position:absolute;left:10604;top:1044;width:261;height:601" id="docshape18" coordorigin="10604,1044" coordsize="261,601" path="m10604,1645l10865,1645m10604,1339l10865,1339m10604,1044l10865,1044e" filled="false" stroked="true" strokeweight=".85102pt" strokecolor="#d9d9d9">
                  <v:path arrowok="t"/>
                  <v:stroke dashstyle="solid"/>
                </v:shape>
                <v:rect style="position:absolute;left:10354;top:1033;width:250;height:761" id="docshape19" filled="true" fillcolor="#eb7b2f" stroked="false">
                  <v:fill type="solid"/>
                </v:rect>
                <v:shape style="position:absolute;left:2163;top:443;width:8702;height:1350" id="docshape20" coordorigin="2163,443" coordsize="8702,1350" path="m2163,1793l10865,1793m2163,443l10865,443e" filled="false" stroked="true" strokeweight=".85102pt" strokecolor="#d9d9d9">
                  <v:path arrowok="t"/>
                  <v:stroke dashstyle="solid"/>
                </v:shape>
                <v:rect style="position:absolute;left:2583;top:2428;width:91;height:80" id="docshape21" filled="true" fillcolor="#5b9bd3" stroked="false">
                  <v:fill type="solid"/>
                </v:rect>
                <v:rect style="position:absolute;left:6599;top:2428;width:91;height:80" id="docshape22" filled="true" fillcolor="#eb7b2f" stroked="false">
                  <v:fill type="solid"/>
                </v:rect>
                <v:rect style="position:absolute;left:1425;top:193;width:9689;height:2576" id="docshape23" filled="false" stroked="true" strokeweight=".85102pt" strokecolor="#d9d9d9">
                  <v:stroke dashstyle="solid"/>
                </v:rect>
                <v:shape style="position:absolute;left:6721;top:2394;width:3288;height:161" type="#_x0000_t202" id="docshape24" filled="false" stroked="false">
                  <v:textbox inset="0,0,0,0">
                    <w:txbxContent>
                      <w:p>
                        <w:pPr>
                          <w:spacing w:line="161" w:lineRule="exact" w:before="0"/>
                          <w:ind w:left="0" w:right="0" w:firstLine="0"/>
                          <w:jc w:val="left"/>
                          <w:rPr>
                            <w:rFonts w:ascii="Calibri"/>
                            <w:sz w:val="16"/>
                          </w:rPr>
                        </w:pPr>
                        <w:r>
                          <w:rPr>
                            <w:rFonts w:ascii="Calibri"/>
                            <w:color w:val="575757"/>
                            <w:spacing w:val="-2"/>
                            <w:sz w:val="16"/>
                          </w:rPr>
                          <w:t>Taux</w:t>
                        </w:r>
                        <w:r>
                          <w:rPr>
                            <w:rFonts w:ascii="Calibri"/>
                            <w:color w:val="575757"/>
                            <w:spacing w:val="3"/>
                            <w:sz w:val="16"/>
                          </w:rPr>
                          <w:t> </w:t>
                        </w:r>
                        <w:r>
                          <w:rPr>
                            <w:rFonts w:ascii="Calibri"/>
                            <w:color w:val="575757"/>
                            <w:spacing w:val="-2"/>
                            <w:sz w:val="16"/>
                          </w:rPr>
                          <w:t>net</w:t>
                        </w:r>
                        <w:r>
                          <w:rPr>
                            <w:rFonts w:ascii="Calibri"/>
                            <w:color w:val="575757"/>
                            <w:sz w:val="16"/>
                          </w:rPr>
                          <w:t> </w:t>
                        </w:r>
                        <w:r>
                          <w:rPr>
                            <w:rFonts w:ascii="Calibri"/>
                            <w:color w:val="575757"/>
                            <w:spacing w:val="-2"/>
                            <w:sz w:val="16"/>
                          </w:rPr>
                          <w:t>de scolarisation</w:t>
                        </w:r>
                        <w:r>
                          <w:rPr>
                            <w:rFonts w:ascii="Calibri"/>
                            <w:color w:val="575757"/>
                            <w:spacing w:val="-4"/>
                            <w:sz w:val="16"/>
                          </w:rPr>
                          <w:t> </w:t>
                        </w:r>
                        <w:r>
                          <w:rPr>
                            <w:rFonts w:ascii="Calibri"/>
                            <w:color w:val="575757"/>
                            <w:spacing w:val="-2"/>
                            <w:sz w:val="16"/>
                          </w:rPr>
                          <w:t>dans</w:t>
                        </w:r>
                        <w:r>
                          <w:rPr>
                            <w:rFonts w:ascii="Calibri"/>
                            <w:color w:val="575757"/>
                            <w:spacing w:val="-1"/>
                            <w:sz w:val="16"/>
                          </w:rPr>
                          <w:t> </w:t>
                        </w:r>
                        <w:r>
                          <w:rPr>
                            <w:rFonts w:ascii="Calibri"/>
                            <w:color w:val="575757"/>
                            <w:spacing w:val="-2"/>
                            <w:sz w:val="16"/>
                          </w:rPr>
                          <w:t>le</w:t>
                        </w:r>
                        <w:r>
                          <w:rPr>
                            <w:rFonts w:ascii="Calibri"/>
                            <w:color w:val="575757"/>
                            <w:sz w:val="16"/>
                          </w:rPr>
                          <w:t> </w:t>
                        </w:r>
                        <w:r>
                          <w:rPr>
                            <w:rFonts w:ascii="Calibri"/>
                            <w:color w:val="575757"/>
                            <w:spacing w:val="-2"/>
                            <w:sz w:val="16"/>
                          </w:rPr>
                          <w:t>primaire (FOND</w:t>
                        </w:r>
                        <w:r>
                          <w:rPr>
                            <w:rFonts w:ascii="Calibri"/>
                            <w:color w:val="575757"/>
                            <w:spacing w:val="2"/>
                            <w:sz w:val="16"/>
                          </w:rPr>
                          <w:t> </w:t>
                        </w:r>
                        <w:r>
                          <w:rPr>
                            <w:rFonts w:ascii="Calibri"/>
                            <w:color w:val="575757"/>
                            <w:spacing w:val="-5"/>
                            <w:sz w:val="16"/>
                          </w:rPr>
                          <w:t>1)</w:t>
                        </w:r>
                      </w:p>
                    </w:txbxContent>
                  </v:textbox>
                  <w10:wrap type="none"/>
                </v:shape>
                <v:shape style="position:absolute;left:2707;top:2394;width:3353;height:161" type="#_x0000_t202" id="docshape25" filled="false" stroked="false">
                  <v:textbox inset="0,0,0,0">
                    <w:txbxContent>
                      <w:p>
                        <w:pPr>
                          <w:spacing w:line="161" w:lineRule="exact" w:before="0"/>
                          <w:ind w:left="0" w:right="0" w:firstLine="0"/>
                          <w:jc w:val="left"/>
                          <w:rPr>
                            <w:rFonts w:ascii="Calibri"/>
                            <w:sz w:val="16"/>
                          </w:rPr>
                        </w:pPr>
                        <w:r>
                          <w:rPr>
                            <w:rFonts w:ascii="Calibri"/>
                            <w:color w:val="575757"/>
                            <w:spacing w:val="-2"/>
                            <w:sz w:val="16"/>
                          </w:rPr>
                          <w:t>Taux</w:t>
                        </w:r>
                        <w:r>
                          <w:rPr>
                            <w:rFonts w:ascii="Calibri"/>
                            <w:color w:val="575757"/>
                            <w:spacing w:val="2"/>
                            <w:sz w:val="16"/>
                          </w:rPr>
                          <w:t> </w:t>
                        </w:r>
                        <w:r>
                          <w:rPr>
                            <w:rFonts w:ascii="Calibri"/>
                            <w:color w:val="575757"/>
                            <w:spacing w:val="-2"/>
                            <w:sz w:val="16"/>
                          </w:rPr>
                          <w:t>brut de</w:t>
                        </w:r>
                        <w:r>
                          <w:rPr>
                            <w:rFonts w:ascii="Calibri"/>
                            <w:color w:val="575757"/>
                            <w:spacing w:val="17"/>
                            <w:sz w:val="16"/>
                          </w:rPr>
                          <w:t> </w:t>
                        </w:r>
                        <w:r>
                          <w:rPr>
                            <w:rFonts w:ascii="Calibri"/>
                            <w:color w:val="575757"/>
                            <w:spacing w:val="-2"/>
                            <w:sz w:val="16"/>
                          </w:rPr>
                          <w:t>scolarisation</w:t>
                        </w:r>
                        <w:r>
                          <w:rPr>
                            <w:rFonts w:ascii="Calibri"/>
                            <w:color w:val="575757"/>
                            <w:spacing w:val="-8"/>
                            <w:sz w:val="16"/>
                          </w:rPr>
                          <w:t> </w:t>
                        </w:r>
                        <w:r>
                          <w:rPr>
                            <w:rFonts w:ascii="Calibri"/>
                            <w:color w:val="575757"/>
                            <w:spacing w:val="-2"/>
                            <w:sz w:val="16"/>
                          </w:rPr>
                          <w:t>dans</w:t>
                        </w:r>
                        <w:r>
                          <w:rPr>
                            <w:rFonts w:ascii="Calibri"/>
                            <w:color w:val="575757"/>
                            <w:spacing w:val="-11"/>
                            <w:sz w:val="16"/>
                          </w:rPr>
                          <w:t> </w:t>
                        </w:r>
                        <w:r>
                          <w:rPr>
                            <w:rFonts w:ascii="Calibri"/>
                            <w:color w:val="575757"/>
                            <w:spacing w:val="-2"/>
                            <w:sz w:val="16"/>
                          </w:rPr>
                          <w:t>le</w:t>
                        </w:r>
                        <w:r>
                          <w:rPr>
                            <w:rFonts w:ascii="Calibri"/>
                            <w:color w:val="575757"/>
                            <w:spacing w:val="-5"/>
                            <w:sz w:val="16"/>
                          </w:rPr>
                          <w:t> </w:t>
                        </w:r>
                        <w:r>
                          <w:rPr>
                            <w:rFonts w:ascii="Calibri"/>
                            <w:color w:val="575757"/>
                            <w:spacing w:val="-2"/>
                            <w:sz w:val="16"/>
                          </w:rPr>
                          <w:t>primaire</w:t>
                        </w:r>
                        <w:r>
                          <w:rPr>
                            <w:rFonts w:ascii="Calibri"/>
                            <w:color w:val="575757"/>
                            <w:spacing w:val="-6"/>
                            <w:sz w:val="16"/>
                          </w:rPr>
                          <w:t> </w:t>
                        </w:r>
                        <w:r>
                          <w:rPr>
                            <w:rFonts w:ascii="Calibri"/>
                            <w:color w:val="575757"/>
                            <w:spacing w:val="-2"/>
                            <w:sz w:val="16"/>
                          </w:rPr>
                          <w:t>(</w:t>
                        </w:r>
                        <w:r>
                          <w:rPr>
                            <w:rFonts w:ascii="Calibri"/>
                            <w:color w:val="575757"/>
                            <w:spacing w:val="-21"/>
                            <w:sz w:val="16"/>
                          </w:rPr>
                          <w:t> </w:t>
                        </w:r>
                        <w:r>
                          <w:rPr>
                            <w:rFonts w:ascii="Calibri"/>
                            <w:color w:val="575757"/>
                            <w:spacing w:val="-2"/>
                            <w:sz w:val="16"/>
                          </w:rPr>
                          <w:t>FOND</w:t>
                        </w:r>
                        <w:r>
                          <w:rPr>
                            <w:rFonts w:ascii="Calibri"/>
                            <w:color w:val="575757"/>
                            <w:spacing w:val="-1"/>
                            <w:sz w:val="16"/>
                          </w:rPr>
                          <w:t> </w:t>
                        </w:r>
                        <w:r>
                          <w:rPr>
                            <w:rFonts w:ascii="Calibri"/>
                            <w:color w:val="575757"/>
                            <w:spacing w:val="-5"/>
                            <w:sz w:val="16"/>
                          </w:rPr>
                          <w:t>1)</w:t>
                        </w:r>
                      </w:p>
                    </w:txbxContent>
                  </v:textbox>
                  <w10:wrap type="none"/>
                </v:shape>
                <v:shape style="position:absolute;left:1620;top:1093;width:9297;height:1085" type="#_x0000_t202" id="docshape26" filled="false" stroked="false">
                  <v:textbox inset="0,0,0,0">
                    <w:txbxContent>
                      <w:p>
                        <w:pPr>
                          <w:spacing w:line="164" w:lineRule="exact" w:before="0"/>
                          <w:ind w:left="0" w:right="0" w:firstLine="0"/>
                          <w:jc w:val="left"/>
                          <w:rPr>
                            <w:rFonts w:ascii="Calibri"/>
                            <w:sz w:val="16"/>
                          </w:rPr>
                        </w:pPr>
                        <w:r>
                          <w:rPr>
                            <w:rFonts w:ascii="Calibri"/>
                            <w:color w:val="575757"/>
                            <w:spacing w:val="-2"/>
                            <w:sz w:val="16"/>
                          </w:rPr>
                          <w:t>50,0%</w:t>
                        </w:r>
                      </w:p>
                      <w:p>
                        <w:pPr>
                          <w:spacing w:before="174"/>
                          <w:ind w:left="0" w:right="0" w:firstLine="0"/>
                          <w:jc w:val="left"/>
                          <w:rPr>
                            <w:rFonts w:ascii="Calibri"/>
                            <w:sz w:val="16"/>
                          </w:rPr>
                        </w:pPr>
                        <w:r>
                          <w:rPr>
                            <w:rFonts w:ascii="Calibri"/>
                            <w:color w:val="575757"/>
                            <w:spacing w:val="-2"/>
                            <w:sz w:val="16"/>
                          </w:rPr>
                          <w:t>30,0%</w:t>
                        </w:r>
                      </w:p>
                      <w:p>
                        <w:pPr>
                          <w:tabs>
                            <w:tab w:pos="9276" w:val="left" w:leader="none"/>
                          </w:tabs>
                          <w:spacing w:line="165" w:lineRule="exact" w:before="177"/>
                          <w:ind w:left="0" w:right="0" w:firstLine="0"/>
                          <w:jc w:val="left"/>
                          <w:rPr>
                            <w:rFonts w:ascii="Calibri"/>
                            <w:sz w:val="16"/>
                          </w:rPr>
                        </w:pPr>
                        <w:r>
                          <w:rPr>
                            <w:rFonts w:ascii="Calibri"/>
                            <w:color w:val="575757"/>
                            <w:sz w:val="16"/>
                          </w:rPr>
                          <w:t>10,0%</w:t>
                        </w:r>
                        <w:r>
                          <w:rPr>
                            <w:rFonts w:ascii="Calibri"/>
                            <w:color w:val="575757"/>
                            <w:spacing w:val="114"/>
                            <w:sz w:val="16"/>
                          </w:rPr>
                          <w:t> </w:t>
                        </w:r>
                        <w:r>
                          <w:rPr>
                            <w:rFonts w:ascii="Calibri"/>
                            <w:color w:val="575757"/>
                            <w:sz w:val="16"/>
                            <w:u w:val="single" w:color="D9D9D9"/>
                          </w:rPr>
                          <w:tab/>
                        </w:r>
                      </w:p>
                      <w:p>
                        <w:pPr>
                          <w:tabs>
                            <w:tab w:pos="1967" w:val="left" w:leader="none"/>
                            <w:tab w:pos="3058" w:val="left" w:leader="none"/>
                            <w:tab w:pos="4147" w:val="left" w:leader="none"/>
                            <w:tab w:pos="5235" w:val="left" w:leader="none"/>
                            <w:tab w:pos="6322" w:val="left" w:leader="none"/>
                            <w:tab w:pos="7412" w:val="left" w:leader="none"/>
                            <w:tab w:pos="8499" w:val="left" w:leader="none"/>
                          </w:tabs>
                          <w:spacing w:line="210" w:lineRule="exact" w:before="0"/>
                          <w:ind w:left="880" w:right="0" w:firstLine="0"/>
                          <w:jc w:val="left"/>
                          <w:rPr>
                            <w:rFonts w:ascii="Calibri"/>
                            <w:sz w:val="20"/>
                          </w:rPr>
                        </w:pPr>
                        <w:r>
                          <w:rPr>
                            <w:rFonts w:ascii="Calibri"/>
                            <w:color w:val="575757"/>
                            <w:spacing w:val="-4"/>
                            <w:sz w:val="20"/>
                          </w:rPr>
                          <w:t>2015</w:t>
                        </w:r>
                        <w:r>
                          <w:rPr>
                            <w:rFonts w:ascii="Calibri"/>
                            <w:color w:val="575757"/>
                            <w:sz w:val="20"/>
                          </w:rPr>
                          <w:tab/>
                        </w:r>
                        <w:r>
                          <w:rPr>
                            <w:rFonts w:ascii="Calibri"/>
                            <w:color w:val="575757"/>
                            <w:spacing w:val="-4"/>
                            <w:sz w:val="20"/>
                          </w:rPr>
                          <w:t>2016</w:t>
                        </w:r>
                        <w:r>
                          <w:rPr>
                            <w:rFonts w:ascii="Calibri"/>
                            <w:color w:val="575757"/>
                            <w:sz w:val="20"/>
                          </w:rPr>
                          <w:tab/>
                        </w:r>
                        <w:r>
                          <w:rPr>
                            <w:rFonts w:ascii="Calibri"/>
                            <w:color w:val="575757"/>
                            <w:spacing w:val="-4"/>
                            <w:sz w:val="20"/>
                          </w:rPr>
                          <w:t>2017</w:t>
                        </w:r>
                        <w:r>
                          <w:rPr>
                            <w:rFonts w:ascii="Calibri"/>
                            <w:color w:val="575757"/>
                            <w:sz w:val="20"/>
                          </w:rPr>
                          <w:tab/>
                        </w:r>
                        <w:r>
                          <w:rPr>
                            <w:rFonts w:ascii="Calibri"/>
                            <w:color w:val="575757"/>
                            <w:spacing w:val="-4"/>
                            <w:sz w:val="20"/>
                          </w:rPr>
                          <w:t>2018</w:t>
                        </w:r>
                        <w:r>
                          <w:rPr>
                            <w:rFonts w:ascii="Calibri"/>
                            <w:color w:val="575757"/>
                            <w:sz w:val="20"/>
                          </w:rPr>
                          <w:tab/>
                        </w:r>
                        <w:r>
                          <w:rPr>
                            <w:rFonts w:ascii="Calibri"/>
                            <w:color w:val="575757"/>
                            <w:spacing w:val="-4"/>
                            <w:sz w:val="20"/>
                          </w:rPr>
                          <w:t>2019</w:t>
                        </w:r>
                        <w:r>
                          <w:rPr>
                            <w:rFonts w:ascii="Calibri"/>
                            <w:color w:val="575757"/>
                            <w:sz w:val="20"/>
                          </w:rPr>
                          <w:tab/>
                        </w:r>
                        <w:r>
                          <w:rPr>
                            <w:rFonts w:ascii="Calibri"/>
                            <w:color w:val="575757"/>
                            <w:spacing w:val="-4"/>
                            <w:sz w:val="20"/>
                          </w:rPr>
                          <w:t>2020</w:t>
                        </w:r>
                        <w:r>
                          <w:rPr>
                            <w:rFonts w:ascii="Calibri"/>
                            <w:color w:val="575757"/>
                            <w:sz w:val="20"/>
                          </w:rPr>
                          <w:tab/>
                        </w:r>
                        <w:r>
                          <w:rPr>
                            <w:rFonts w:ascii="Calibri"/>
                            <w:color w:val="575757"/>
                            <w:spacing w:val="-4"/>
                            <w:sz w:val="20"/>
                          </w:rPr>
                          <w:t>2021</w:t>
                        </w:r>
                        <w:r>
                          <w:rPr>
                            <w:rFonts w:ascii="Calibri"/>
                            <w:color w:val="575757"/>
                            <w:sz w:val="20"/>
                          </w:rPr>
                          <w:tab/>
                        </w:r>
                        <w:r>
                          <w:rPr>
                            <w:rFonts w:ascii="Calibri"/>
                            <w:color w:val="575757"/>
                            <w:spacing w:val="-4"/>
                            <w:sz w:val="20"/>
                          </w:rPr>
                          <w:t>2022</w:t>
                        </w:r>
                      </w:p>
                    </w:txbxContent>
                  </v:textbox>
                  <w10:wrap type="none"/>
                </v:shape>
                <v:shape style="position:absolute;left:10312;top:802;width:349;height:130" type="#_x0000_t202" id="docshape27"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50,8%</w:t>
                        </w:r>
                      </w:p>
                    </w:txbxContent>
                  </v:textbox>
                  <w10:wrap type="none"/>
                </v:shape>
                <v:shape style="position:absolute;left:9225;top:747;width:349;height:130" type="#_x0000_t202" id="docshape28"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54,7%</w:t>
                        </w:r>
                      </w:p>
                    </w:txbxContent>
                  </v:textbox>
                  <w10:wrap type="none"/>
                </v:shape>
                <v:shape style="position:absolute;left:8137;top:689;width:349;height:130" type="#_x0000_t202" id="docshape29"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58,3%</w:t>
                        </w:r>
                      </w:p>
                    </w:txbxContent>
                  </v:textbox>
                  <w10:wrap type="none"/>
                </v:shape>
                <v:shape style="position:absolute;left:7047;top:689;width:349;height:130" type="#_x0000_t202" id="docshape30"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58,6%</w:t>
                        </w:r>
                      </w:p>
                    </w:txbxContent>
                  </v:textbox>
                  <w10:wrap type="none"/>
                </v:shape>
                <v:shape style="position:absolute;left:5957;top:735;width:349;height:130" type="#_x0000_t202" id="docshape31"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57,7%</w:t>
                        </w:r>
                      </w:p>
                    </w:txbxContent>
                  </v:textbox>
                  <w10:wrap type="none"/>
                </v:shape>
                <v:shape style="position:absolute;left:1620;top:721;width:412;height:161" type="#_x0000_t202" id="docshape32" filled="false" stroked="false">
                  <v:textbox inset="0,0,0,0">
                    <w:txbxContent>
                      <w:p>
                        <w:pPr>
                          <w:spacing w:line="161" w:lineRule="exact" w:before="0"/>
                          <w:ind w:left="0" w:right="0" w:firstLine="0"/>
                          <w:jc w:val="left"/>
                          <w:rPr>
                            <w:rFonts w:ascii="Calibri"/>
                            <w:sz w:val="16"/>
                          </w:rPr>
                        </w:pPr>
                        <w:r>
                          <w:rPr>
                            <w:rFonts w:ascii="Calibri"/>
                            <w:color w:val="575757"/>
                            <w:spacing w:val="-2"/>
                            <w:sz w:val="16"/>
                          </w:rPr>
                          <w:t>70,0%</w:t>
                        </w:r>
                      </w:p>
                    </w:txbxContent>
                  </v:textbox>
                  <w10:wrap type="none"/>
                </v:shape>
                <v:shape style="position:absolute;left:8915;top:382;width:349;height:130" type="#_x0000_t202" id="docshape33"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79,2%</w:t>
                        </w:r>
                      </w:p>
                    </w:txbxContent>
                  </v:textbox>
                  <w10:wrap type="none"/>
                </v:shape>
                <v:shape style="position:absolute;left:5648;top:415;width:349;height:130" type="#_x0000_t202" id="docshape34"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76,5%</w:t>
                        </w:r>
                      </w:p>
                    </w:txbxContent>
                  </v:textbox>
                  <w10:wrap type="none"/>
                </v:shape>
                <v:shape style="position:absolute;left:4561;top:475;width:349;height:130" type="#_x0000_t202" id="docshape35"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72,1%</w:t>
                        </w:r>
                      </w:p>
                    </w:txbxContent>
                  </v:textbox>
                  <w10:wrap type="none"/>
                </v:shape>
                <v:shape style="position:absolute;left:3473;top:502;width:349;height:130" type="#_x0000_t202" id="docshape36"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69,8%</w:t>
                        </w:r>
                      </w:p>
                    </w:txbxContent>
                  </v:textbox>
                  <w10:wrap type="none"/>
                </v:shape>
                <v:shape style="position:absolute;left:2383;top:533;width:349;height:130" type="#_x0000_t202" id="docshape37"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68,7%</w:t>
                        </w:r>
                      </w:p>
                    </w:txbxContent>
                  </v:textbox>
                  <w10:wrap type="none"/>
                </v:shape>
                <v:shape style="position:absolute;left:10002;top:370;width:349;height:130" type="#_x0000_t202" id="docshape38"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79,6%</w:t>
                        </w:r>
                      </w:p>
                    </w:txbxContent>
                  </v:textbox>
                  <w10:wrap type="none"/>
                </v:shape>
                <v:shape style="position:absolute;left:7825;top:382;width:349;height:130" type="#_x0000_t202" id="docshape39"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79,0%</w:t>
                        </w:r>
                      </w:p>
                    </w:txbxContent>
                  </v:textbox>
                  <w10:wrap type="none"/>
                </v:shape>
                <v:shape style="position:absolute;left:6738;top:370;width:349;height:130" type="#_x0000_t202" id="docshape40" filled="false" stroked="false">
                  <v:textbox inset="0,0,0,0">
                    <w:txbxContent>
                      <w:p>
                        <w:pPr>
                          <w:spacing w:line="130" w:lineRule="exact" w:before="0"/>
                          <w:ind w:left="0" w:right="0" w:firstLine="0"/>
                          <w:jc w:val="left"/>
                          <w:rPr>
                            <w:rFonts w:ascii="Calibri"/>
                            <w:sz w:val="13"/>
                          </w:rPr>
                        </w:pPr>
                        <w:r>
                          <w:rPr>
                            <w:rFonts w:ascii="Calibri"/>
                            <w:color w:val="404040"/>
                            <w:spacing w:val="-2"/>
                            <w:w w:val="105"/>
                            <w:sz w:val="13"/>
                          </w:rPr>
                          <w:t>80,0%</w:t>
                        </w:r>
                      </w:p>
                    </w:txbxContent>
                  </v:textbox>
                  <w10:wrap type="none"/>
                </v:shape>
                <v:shape style="position:absolute;left:1620;top:373;width:412;height:161" type="#_x0000_t202" id="docshape41" filled="false" stroked="false">
                  <v:textbox inset="0,0,0,0">
                    <w:txbxContent>
                      <w:p>
                        <w:pPr>
                          <w:spacing w:line="161" w:lineRule="exact" w:before="0"/>
                          <w:ind w:left="0" w:right="0" w:firstLine="0"/>
                          <w:jc w:val="left"/>
                          <w:rPr>
                            <w:rFonts w:ascii="Calibri"/>
                            <w:sz w:val="16"/>
                          </w:rPr>
                        </w:pPr>
                        <w:r>
                          <w:rPr>
                            <w:rFonts w:ascii="Calibri"/>
                            <w:color w:val="575757"/>
                            <w:spacing w:val="-2"/>
                            <w:sz w:val="16"/>
                          </w:rPr>
                          <w:t>90,0%</w:t>
                        </w:r>
                      </w:p>
                    </w:txbxContent>
                  </v:textbox>
                  <w10:wrap type="none"/>
                </v:shape>
                <w10:wrap type="topAndBottom"/>
              </v:group>
            </w:pict>
          </mc:Fallback>
        </mc:AlternateContent>
      </w:r>
    </w:p>
    <w:p>
      <w:pPr>
        <w:pStyle w:val="ListParagraph"/>
        <w:numPr>
          <w:ilvl w:val="1"/>
          <w:numId w:val="1"/>
        </w:numPr>
        <w:tabs>
          <w:tab w:pos="1491" w:val="left" w:leader="none"/>
          <w:tab w:pos="1493" w:val="left" w:leader="none"/>
        </w:tabs>
        <w:spacing w:line="259" w:lineRule="auto" w:before="197" w:after="0"/>
        <w:ind w:left="1493" w:right="1128" w:hanging="360"/>
        <w:jc w:val="both"/>
        <w:rPr>
          <w:sz w:val="24"/>
        </w:rPr>
      </w:pPr>
      <w:r>
        <w:rPr>
          <w:sz w:val="24"/>
        </w:rPr>
        <w:t>Le Taux Net de Scolarisation (TNS) a connu une baisse de 2019 (58,6%) à 2022 (50,8%). Cela s’expliquerait essentiellement par la situation d’insécurité dans les zones affectées par la crise où la fermeture de nombreuses écoles a été observée. Ainsi, de 2019 à 2023, le nombre d’écoles fermées pour causes principales d’insécurité est passé de 1 113 à 1 659, entraînant des mouvements de population en âge scolaire et autres tranches d’âges. Parmi les effets induits à cause de la fermeture des écoles, on note 194 214 enfants affectés et 3 197 enseignants affectés. Quant au Taux Brut de Scolarisation au Fondamental 1, il a enregistré une augmentation de 2019 à 2023, passant respectivement de 79,93% à 81,29%.</w:t>
      </w:r>
    </w:p>
    <w:p>
      <w:pPr>
        <w:pStyle w:val="ListParagraph"/>
        <w:numPr>
          <w:ilvl w:val="1"/>
          <w:numId w:val="1"/>
        </w:numPr>
        <w:tabs>
          <w:tab w:pos="1491" w:val="left" w:leader="none"/>
          <w:tab w:pos="1493" w:val="left" w:leader="none"/>
        </w:tabs>
        <w:spacing w:line="240" w:lineRule="auto" w:before="251" w:after="0"/>
        <w:ind w:left="1493" w:right="1128" w:hanging="360"/>
        <w:jc w:val="both"/>
        <w:rPr>
          <w:sz w:val="24"/>
        </w:rPr>
      </w:pPr>
      <w:r>
        <w:rPr>
          <w:sz w:val="24"/>
        </w:rPr>
        <w:t>Entre 2019 et 2022, le taux d’accès à l’eau potable s’est amélioré à tous les niveaux. Il a augmenté</w:t>
      </w:r>
      <w:r>
        <w:rPr>
          <w:spacing w:val="40"/>
          <w:sz w:val="24"/>
        </w:rPr>
        <w:t> </w:t>
      </w:r>
      <w:r>
        <w:rPr>
          <w:sz w:val="24"/>
        </w:rPr>
        <w:t>de 68,8% en 2019 à 71,9% en 2022, soit une augmentation de 3,1 points de pourcentage pour une cible CREDD de 77,8% au niveau national contre respectivement 77,7% en 2019 et 83,2% en 2022 pour le milieu urbain et 65,8% en 2019 et 67,3% en 2022 pour le milieu rural.</w:t>
      </w:r>
    </w:p>
    <w:p>
      <w:pPr>
        <w:pStyle w:val="ListParagraph"/>
        <w:numPr>
          <w:ilvl w:val="1"/>
          <w:numId w:val="1"/>
        </w:numPr>
        <w:tabs>
          <w:tab w:pos="1491" w:val="left" w:leader="none"/>
          <w:tab w:pos="1493" w:val="left" w:leader="none"/>
        </w:tabs>
        <w:spacing w:line="240" w:lineRule="auto" w:before="182" w:after="0"/>
        <w:ind w:left="1493" w:right="1127" w:hanging="360"/>
        <w:jc w:val="both"/>
        <w:rPr>
          <w:sz w:val="24"/>
        </w:rPr>
      </w:pPr>
      <w:r>
        <w:rPr>
          <w:sz w:val="24"/>
        </w:rPr>
        <w:t>Au total, la mise en œuvre du CREDD s’est déroulée dans un contexte national et international marqué</w:t>
      </w:r>
      <w:r>
        <w:rPr>
          <w:spacing w:val="40"/>
          <w:sz w:val="24"/>
        </w:rPr>
        <w:t> </w:t>
      </w:r>
      <w:r>
        <w:rPr>
          <w:sz w:val="24"/>
        </w:rPr>
        <w:t>par</w:t>
      </w:r>
      <w:r>
        <w:rPr>
          <w:spacing w:val="40"/>
          <w:sz w:val="24"/>
        </w:rPr>
        <w:t> </w:t>
      </w:r>
      <w:r>
        <w:rPr>
          <w:sz w:val="24"/>
        </w:rPr>
        <w:t>les</w:t>
      </w:r>
      <w:r>
        <w:rPr>
          <w:spacing w:val="40"/>
          <w:sz w:val="24"/>
        </w:rPr>
        <w:t> </w:t>
      </w:r>
      <w:r>
        <w:rPr>
          <w:sz w:val="24"/>
        </w:rPr>
        <w:t>multiples</w:t>
      </w:r>
      <w:r>
        <w:rPr>
          <w:spacing w:val="40"/>
          <w:sz w:val="24"/>
        </w:rPr>
        <w:t> </w:t>
      </w:r>
      <w:r>
        <w:rPr>
          <w:sz w:val="24"/>
        </w:rPr>
        <w:t>crises</w:t>
      </w:r>
      <w:r>
        <w:rPr>
          <w:spacing w:val="40"/>
          <w:sz w:val="24"/>
        </w:rPr>
        <w:t> </w:t>
      </w:r>
      <w:r>
        <w:rPr>
          <w:sz w:val="24"/>
        </w:rPr>
        <w:t>qui</w:t>
      </w:r>
      <w:r>
        <w:rPr>
          <w:spacing w:val="40"/>
          <w:sz w:val="24"/>
        </w:rPr>
        <w:t> </w:t>
      </w:r>
      <w:r>
        <w:rPr>
          <w:sz w:val="24"/>
        </w:rPr>
        <w:t>ont</w:t>
      </w:r>
      <w:r>
        <w:rPr>
          <w:spacing w:val="40"/>
          <w:sz w:val="24"/>
        </w:rPr>
        <w:t> </w:t>
      </w:r>
      <w:r>
        <w:rPr>
          <w:sz w:val="24"/>
        </w:rPr>
        <w:t>impacté</w:t>
      </w:r>
      <w:r>
        <w:rPr>
          <w:spacing w:val="40"/>
          <w:sz w:val="24"/>
        </w:rPr>
        <w:t> </w:t>
      </w:r>
      <w:r>
        <w:rPr>
          <w:sz w:val="24"/>
        </w:rPr>
        <w:t>négativement</w:t>
      </w:r>
      <w:r>
        <w:rPr>
          <w:spacing w:val="40"/>
          <w:sz w:val="24"/>
        </w:rPr>
        <w:t> </w:t>
      </w:r>
      <w:r>
        <w:rPr>
          <w:sz w:val="24"/>
        </w:rPr>
        <w:t>les</w:t>
      </w:r>
      <w:r>
        <w:rPr>
          <w:spacing w:val="40"/>
          <w:sz w:val="24"/>
        </w:rPr>
        <w:t> </w:t>
      </w:r>
      <w:r>
        <w:rPr>
          <w:sz w:val="24"/>
        </w:rPr>
        <w:t>activités</w:t>
      </w:r>
      <w:r>
        <w:rPr>
          <w:spacing w:val="40"/>
          <w:sz w:val="24"/>
        </w:rPr>
        <w:t> </w:t>
      </w:r>
      <w:r>
        <w:rPr>
          <w:sz w:val="24"/>
        </w:rPr>
        <w:t>socioéconomiques.</w:t>
      </w:r>
      <w:r>
        <w:rPr>
          <w:spacing w:val="40"/>
          <w:sz w:val="24"/>
        </w:rPr>
        <w:t> </w:t>
      </w:r>
      <w:r>
        <w:rPr>
          <w:sz w:val="24"/>
        </w:rPr>
        <w:t>En</w:t>
      </w:r>
      <w:r>
        <w:rPr>
          <w:spacing w:val="-2"/>
          <w:sz w:val="24"/>
        </w:rPr>
        <w:t> </w:t>
      </w:r>
      <w:r>
        <w:rPr>
          <w:sz w:val="24"/>
        </w:rPr>
        <w:t>dépit</w:t>
      </w:r>
      <w:r>
        <w:rPr>
          <w:spacing w:val="-3"/>
          <w:sz w:val="24"/>
        </w:rPr>
        <w:t> </w:t>
      </w:r>
      <w:r>
        <w:rPr>
          <w:sz w:val="24"/>
        </w:rPr>
        <w:t>des</w:t>
      </w:r>
      <w:r>
        <w:rPr>
          <w:spacing w:val="-3"/>
          <w:sz w:val="24"/>
        </w:rPr>
        <w:t> </w:t>
      </w:r>
      <w:r>
        <w:rPr>
          <w:sz w:val="24"/>
        </w:rPr>
        <w:t>conditions</w:t>
      </w:r>
      <w:r>
        <w:rPr>
          <w:spacing w:val="-3"/>
          <w:sz w:val="24"/>
        </w:rPr>
        <w:t> </w:t>
      </w:r>
      <w:r>
        <w:rPr>
          <w:sz w:val="24"/>
        </w:rPr>
        <w:t>très</w:t>
      </w:r>
      <w:r>
        <w:rPr>
          <w:spacing w:val="-2"/>
          <w:sz w:val="24"/>
        </w:rPr>
        <w:t> </w:t>
      </w:r>
      <w:r>
        <w:rPr>
          <w:sz w:val="24"/>
        </w:rPr>
        <w:t>défavorables,</w:t>
      </w:r>
      <w:r>
        <w:rPr>
          <w:spacing w:val="-2"/>
          <w:sz w:val="24"/>
        </w:rPr>
        <w:t> </w:t>
      </w:r>
      <w:r>
        <w:rPr>
          <w:sz w:val="24"/>
        </w:rPr>
        <w:t>les</w:t>
      </w:r>
      <w:r>
        <w:rPr>
          <w:spacing w:val="-2"/>
          <w:sz w:val="24"/>
        </w:rPr>
        <w:t> </w:t>
      </w:r>
      <w:r>
        <w:rPr>
          <w:sz w:val="24"/>
        </w:rPr>
        <w:t>mesures</w:t>
      </w:r>
      <w:r>
        <w:rPr>
          <w:spacing w:val="-4"/>
          <w:sz w:val="24"/>
        </w:rPr>
        <w:t> </w:t>
      </w:r>
      <w:r>
        <w:rPr>
          <w:sz w:val="24"/>
        </w:rPr>
        <w:t>prises</w:t>
      </w:r>
      <w:r>
        <w:rPr>
          <w:spacing w:val="-3"/>
          <w:sz w:val="24"/>
        </w:rPr>
        <w:t> </w:t>
      </w:r>
      <w:r>
        <w:rPr>
          <w:sz w:val="24"/>
        </w:rPr>
        <w:t>par le</w:t>
      </w:r>
      <w:r>
        <w:rPr>
          <w:spacing w:val="-2"/>
          <w:sz w:val="24"/>
        </w:rPr>
        <w:t> </w:t>
      </w:r>
      <w:r>
        <w:rPr>
          <w:sz w:val="24"/>
        </w:rPr>
        <w:t>Gouvernement</w:t>
      </w:r>
      <w:r>
        <w:rPr>
          <w:spacing w:val="-2"/>
          <w:sz w:val="24"/>
        </w:rPr>
        <w:t> </w:t>
      </w:r>
      <w:r>
        <w:rPr>
          <w:sz w:val="24"/>
        </w:rPr>
        <w:t>et</w:t>
      </w:r>
      <w:r>
        <w:rPr>
          <w:spacing w:val="-2"/>
          <w:sz w:val="24"/>
        </w:rPr>
        <w:t> </w:t>
      </w:r>
      <w:r>
        <w:rPr>
          <w:sz w:val="24"/>
        </w:rPr>
        <w:t>les</w:t>
      </w:r>
      <w:r>
        <w:rPr>
          <w:spacing w:val="-2"/>
          <w:sz w:val="24"/>
        </w:rPr>
        <w:t> </w:t>
      </w:r>
      <w:r>
        <w:rPr>
          <w:sz w:val="24"/>
        </w:rPr>
        <w:t>orientations nouvelles dans la mise en œuvre de l’action publique ont contribué à renforcer la résilience économique et sociale du pays. En effet, hors COVID en 2020 où le taux de croissance économique est ressorti à -1,2%, l’activité économique a été marquée par un regain de croissance avec respectivement 3,1% en 2021, 3,5% en 2022 et 4,7% en 2023.</w:t>
      </w:r>
    </w:p>
    <w:p>
      <w:pPr>
        <w:pStyle w:val="ListParagraph"/>
        <w:numPr>
          <w:ilvl w:val="1"/>
          <w:numId w:val="1"/>
        </w:numPr>
        <w:tabs>
          <w:tab w:pos="1491" w:val="left" w:leader="none"/>
          <w:tab w:pos="1493" w:val="left" w:leader="none"/>
        </w:tabs>
        <w:spacing w:line="240" w:lineRule="auto" w:before="185" w:after="0"/>
        <w:ind w:left="1493" w:right="1128" w:hanging="360"/>
        <w:jc w:val="both"/>
        <w:rPr>
          <w:sz w:val="24"/>
        </w:rPr>
      </w:pPr>
      <w:r>
        <w:rPr>
          <w:sz w:val="24"/>
        </w:rPr>
        <w:t>La mise en œuvre du CREDD 2019-2023 a permis d’enregistrer quelques bonnes pratiques qu’il faudrait capitaliser et amplifier. Il s’agit notamment : de la mise en place d’un système de suivi et d’évaluation performant du CREDD et des ODD à travers l’alignement et la prise en compte des indicateurs ODD et de l’Agenda 2063 de l’Union Africaine dans la matrice de performance du</w:t>
      </w:r>
      <w:r>
        <w:rPr>
          <w:spacing w:val="80"/>
          <w:sz w:val="24"/>
        </w:rPr>
        <w:t> </w:t>
      </w:r>
      <w:r>
        <w:rPr>
          <w:sz w:val="24"/>
        </w:rPr>
        <w:t>CREDD</w:t>
      </w:r>
      <w:r>
        <w:rPr>
          <w:spacing w:val="-2"/>
          <w:sz w:val="24"/>
        </w:rPr>
        <w:t> </w:t>
      </w:r>
      <w:r>
        <w:rPr>
          <w:sz w:val="24"/>
        </w:rPr>
        <w:t>; la tenue régulière de la revue du CREDD et des ODD et le dialogue qu’elle alimente avec l’ensemble des acteurs, constituent un exercice et des moments importants de transparence et de redevabilité autour des résultats de la mise en œuvre des politiques publiques ; l’organisation des revues régionales permettant de mieux analyser le développement à un échelon infranational et l’articulation de l’action de l’administration centrale et celle des Collectivités Territoriales conformément à la politique de décentralisation et la restructuration des groupes thématiques des PTF pour les arrimer à ceux du CREDD.</w:t>
      </w:r>
    </w:p>
    <w:p>
      <w:pPr>
        <w:pStyle w:val="Heading3"/>
        <w:spacing w:before="185"/>
      </w:pPr>
      <w:r>
        <w:rPr/>
        <w:t>Evaluation</w:t>
      </w:r>
      <w:r>
        <w:rPr>
          <w:spacing w:val="-3"/>
        </w:rPr>
        <w:t> </w:t>
      </w:r>
      <w:r>
        <w:rPr/>
        <w:t>de</w:t>
      </w:r>
      <w:r>
        <w:rPr>
          <w:spacing w:val="-2"/>
        </w:rPr>
        <w:t> </w:t>
      </w:r>
      <w:r>
        <w:rPr/>
        <w:t>l’ENP</w:t>
      </w:r>
      <w:r>
        <w:rPr>
          <w:spacing w:val="-2"/>
        </w:rPr>
        <w:t> </w:t>
      </w:r>
      <w:r>
        <w:rPr/>
        <w:t>Mali</w:t>
      </w:r>
      <w:r>
        <w:rPr>
          <w:spacing w:val="-3"/>
        </w:rPr>
        <w:t> </w:t>
      </w:r>
      <w:r>
        <w:rPr>
          <w:spacing w:val="-4"/>
        </w:rPr>
        <w:t>2025</w:t>
      </w:r>
    </w:p>
    <w:p>
      <w:pPr>
        <w:pStyle w:val="ListParagraph"/>
        <w:numPr>
          <w:ilvl w:val="1"/>
          <w:numId w:val="1"/>
        </w:numPr>
        <w:tabs>
          <w:tab w:pos="1491" w:val="left" w:leader="none"/>
          <w:tab w:pos="1493" w:val="left" w:leader="none"/>
        </w:tabs>
        <w:spacing w:line="240" w:lineRule="auto" w:before="183" w:after="0"/>
        <w:ind w:left="1493" w:right="1127" w:hanging="360"/>
        <w:jc w:val="both"/>
        <w:rPr>
          <w:sz w:val="24"/>
        </w:rPr>
      </w:pPr>
      <w:r>
        <w:rPr>
          <w:sz w:val="24"/>
        </w:rPr>
        <w:t>A mi-parcours de la mise en œuvre de l'Etude Nationale Prospective Mali 2025, réalisée de 1997 à 1999, le Gouvernement a organisé les Journées Nationales de la Prospective, tenues en janvier 2014.</w:t>
      </w:r>
      <w:r>
        <w:rPr>
          <w:spacing w:val="27"/>
          <w:sz w:val="24"/>
        </w:rPr>
        <w:t> </w:t>
      </w:r>
      <w:r>
        <w:rPr>
          <w:sz w:val="24"/>
        </w:rPr>
        <w:t>Cette</w:t>
      </w:r>
      <w:r>
        <w:rPr>
          <w:spacing w:val="28"/>
          <w:sz w:val="24"/>
        </w:rPr>
        <w:t> </w:t>
      </w:r>
      <w:r>
        <w:rPr>
          <w:sz w:val="24"/>
        </w:rPr>
        <w:t>évaluation</w:t>
      </w:r>
      <w:r>
        <w:rPr>
          <w:spacing w:val="28"/>
          <w:sz w:val="24"/>
        </w:rPr>
        <w:t> </w:t>
      </w:r>
      <w:r>
        <w:rPr>
          <w:sz w:val="24"/>
        </w:rPr>
        <w:t>a</w:t>
      </w:r>
      <w:r>
        <w:rPr>
          <w:spacing w:val="28"/>
          <w:sz w:val="24"/>
        </w:rPr>
        <w:t> </w:t>
      </w:r>
      <w:r>
        <w:rPr>
          <w:sz w:val="24"/>
        </w:rPr>
        <w:t>démontré</w:t>
      </w:r>
      <w:r>
        <w:rPr>
          <w:spacing w:val="26"/>
          <w:sz w:val="24"/>
        </w:rPr>
        <w:t> </w:t>
      </w:r>
      <w:r>
        <w:rPr>
          <w:sz w:val="24"/>
        </w:rPr>
        <w:t>que</w:t>
      </w:r>
      <w:r>
        <w:rPr>
          <w:spacing w:val="25"/>
          <w:sz w:val="24"/>
        </w:rPr>
        <w:t> </w:t>
      </w:r>
      <w:r>
        <w:rPr>
          <w:sz w:val="24"/>
        </w:rPr>
        <w:t>le</w:t>
      </w:r>
      <w:r>
        <w:rPr>
          <w:spacing w:val="27"/>
          <w:sz w:val="24"/>
        </w:rPr>
        <w:t> </w:t>
      </w:r>
      <w:r>
        <w:rPr>
          <w:sz w:val="24"/>
        </w:rPr>
        <w:t>Mali</w:t>
      </w:r>
      <w:r>
        <w:rPr>
          <w:spacing w:val="26"/>
          <w:sz w:val="24"/>
        </w:rPr>
        <w:t> </w:t>
      </w:r>
      <w:r>
        <w:rPr>
          <w:sz w:val="24"/>
        </w:rPr>
        <w:t>s'est</w:t>
      </w:r>
      <w:r>
        <w:rPr>
          <w:spacing w:val="26"/>
          <w:sz w:val="24"/>
        </w:rPr>
        <w:t> </w:t>
      </w:r>
      <w:r>
        <w:rPr>
          <w:sz w:val="24"/>
        </w:rPr>
        <w:t>plutôt</w:t>
      </w:r>
      <w:r>
        <w:rPr>
          <w:spacing w:val="26"/>
          <w:sz w:val="24"/>
        </w:rPr>
        <w:t> </w:t>
      </w:r>
      <w:r>
        <w:rPr>
          <w:sz w:val="24"/>
        </w:rPr>
        <w:t>écarté</w:t>
      </w:r>
      <w:r>
        <w:rPr>
          <w:spacing w:val="28"/>
          <w:sz w:val="24"/>
        </w:rPr>
        <w:t> </w:t>
      </w:r>
      <w:r>
        <w:rPr>
          <w:sz w:val="24"/>
        </w:rPr>
        <w:t>de</w:t>
      </w:r>
      <w:r>
        <w:rPr>
          <w:spacing w:val="28"/>
          <w:sz w:val="24"/>
        </w:rPr>
        <w:t> </w:t>
      </w:r>
      <w:r>
        <w:rPr>
          <w:sz w:val="24"/>
        </w:rPr>
        <w:t>la</w:t>
      </w:r>
      <w:r>
        <w:rPr>
          <w:spacing w:val="27"/>
          <w:sz w:val="24"/>
        </w:rPr>
        <w:t> </w:t>
      </w:r>
      <w:r>
        <w:rPr>
          <w:sz w:val="24"/>
        </w:rPr>
        <w:t>vision</w:t>
      </w:r>
      <w:r>
        <w:rPr>
          <w:spacing w:val="25"/>
          <w:sz w:val="24"/>
        </w:rPr>
        <w:t> </w:t>
      </w:r>
      <w:r>
        <w:rPr>
          <w:sz w:val="24"/>
        </w:rPr>
        <w:t>de</w:t>
      </w:r>
      <w:r>
        <w:rPr>
          <w:spacing w:val="28"/>
          <w:sz w:val="24"/>
        </w:rPr>
        <w:t> </w:t>
      </w:r>
      <w:r>
        <w:rPr>
          <w:sz w:val="24"/>
        </w:rPr>
        <w:t>long</w:t>
      </w:r>
      <w:r>
        <w:rPr>
          <w:spacing w:val="28"/>
          <w:sz w:val="24"/>
        </w:rPr>
        <w:t> </w:t>
      </w:r>
      <w:r>
        <w:rPr>
          <w:sz w:val="24"/>
        </w:rPr>
        <w:t>terme</w:t>
      </w:r>
      <w:r>
        <w:rPr>
          <w:spacing w:val="26"/>
          <w:sz w:val="24"/>
        </w:rPr>
        <w:t> </w:t>
      </w:r>
      <w:r>
        <w:rPr>
          <w:sz w:val="24"/>
        </w:rPr>
        <w:t>pour</w:t>
      </w:r>
    </w:p>
    <w:p>
      <w:pPr>
        <w:pStyle w:val="ListParagraph"/>
        <w:spacing w:after="0" w:line="240" w:lineRule="auto"/>
        <w:jc w:val="both"/>
        <w:rPr>
          <w:sz w:val="24"/>
        </w:rPr>
        <w:sectPr>
          <w:pgSz w:w="11910" w:h="16840"/>
          <w:pgMar w:header="0" w:footer="680" w:top="1320" w:bottom="960" w:left="283" w:right="141"/>
        </w:sectPr>
      </w:pPr>
    </w:p>
    <w:p>
      <w:pPr>
        <w:pStyle w:val="BodyText"/>
        <w:spacing w:before="78"/>
        <w:ind w:right="1126" w:firstLine="0"/>
      </w:pPr>
      <w:r>
        <w:rPr/>
        <w:t>tomber</w:t>
      </w:r>
      <w:r>
        <w:rPr>
          <w:spacing w:val="-2"/>
        </w:rPr>
        <w:t> </w:t>
      </w:r>
      <w:r>
        <w:rPr/>
        <w:t>dans</w:t>
      </w:r>
      <w:r>
        <w:rPr>
          <w:spacing w:val="-2"/>
        </w:rPr>
        <w:t> </w:t>
      </w:r>
      <w:r>
        <w:rPr/>
        <w:t>le scenario</w:t>
      </w:r>
      <w:r>
        <w:rPr>
          <w:spacing w:val="-1"/>
        </w:rPr>
        <w:t> </w:t>
      </w:r>
      <w:r>
        <w:rPr/>
        <w:t>"catastrophe".</w:t>
      </w:r>
      <w:r>
        <w:rPr>
          <w:spacing w:val="-2"/>
        </w:rPr>
        <w:t> </w:t>
      </w:r>
      <w:r>
        <w:rPr/>
        <w:t>Peuvent être mis en cause, son</w:t>
      </w:r>
      <w:r>
        <w:rPr>
          <w:spacing w:val="-2"/>
        </w:rPr>
        <w:t> </w:t>
      </w:r>
      <w:r>
        <w:rPr/>
        <w:t>niveau d’appropriation par</w:t>
      </w:r>
      <w:r>
        <w:rPr>
          <w:spacing w:val="-1"/>
        </w:rPr>
        <w:t> </w:t>
      </w:r>
      <w:r>
        <w:rPr/>
        <w:t>les acteurs nationaux, le cadre institutionnel, méthodologique et informationnel de mise en œuvre, le faible leadership pour son portage politique. Il est difficile de dire que ces prérequis étaient réunis, au regard de plusieurs autres facteurs dont (i) l'absence de formation d'un certain nombre d'acteurs à la prospective et à la planification stratégique ; (ii) l'absence d'outils performants de prévision macroéconomique et (iii) le peu de disponibilité et la faible qualité des données statistiques nécessaires à son opérationnalisation. Au sortir de la Journée nationale de la prospective de 2014, il était possible de se ressaisir d'autant plus qu'il restait encore plus d'une décennie pour l'échéance de 2025 du processus, n'eut été l'aggravation de la situation sécuritaire du pays.</w:t>
      </w:r>
    </w:p>
    <w:p>
      <w:pPr>
        <w:pStyle w:val="BodyText"/>
        <w:spacing w:before="93"/>
        <w:ind w:left="0" w:firstLine="0"/>
        <w:jc w:val="left"/>
      </w:pPr>
    </w:p>
    <w:p>
      <w:pPr>
        <w:pStyle w:val="Heading3"/>
        <w:spacing w:before="0"/>
      </w:pPr>
      <w:r>
        <w:rPr/>
        <w:t>ANR</w:t>
      </w:r>
      <w:r>
        <w:rPr>
          <w:spacing w:val="-3"/>
        </w:rPr>
        <w:t> </w:t>
      </w:r>
      <w:r>
        <w:rPr/>
        <w:t>et</w:t>
      </w:r>
      <w:r>
        <w:rPr>
          <w:spacing w:val="-2"/>
        </w:rPr>
        <w:t> </w:t>
      </w:r>
      <w:r>
        <w:rPr/>
        <w:t>Perceptions</w:t>
      </w:r>
      <w:r>
        <w:rPr>
          <w:spacing w:val="-3"/>
        </w:rPr>
        <w:t> </w:t>
      </w:r>
      <w:r>
        <w:rPr/>
        <w:t>par</w:t>
      </w:r>
      <w:r>
        <w:rPr>
          <w:spacing w:val="-4"/>
        </w:rPr>
        <w:t> </w:t>
      </w:r>
      <w:r>
        <w:rPr/>
        <w:t>sondage</w:t>
      </w:r>
      <w:r>
        <w:rPr>
          <w:spacing w:val="-2"/>
        </w:rPr>
        <w:t> </w:t>
      </w:r>
      <w:r>
        <w:rPr/>
        <w:t>des</w:t>
      </w:r>
      <w:r>
        <w:rPr>
          <w:spacing w:val="-2"/>
        </w:rPr>
        <w:t> populations</w:t>
      </w:r>
    </w:p>
    <w:p>
      <w:pPr>
        <w:pStyle w:val="ListParagraph"/>
        <w:numPr>
          <w:ilvl w:val="1"/>
          <w:numId w:val="1"/>
        </w:numPr>
        <w:tabs>
          <w:tab w:pos="1491" w:val="left" w:leader="none"/>
          <w:tab w:pos="1493" w:val="left" w:leader="none"/>
        </w:tabs>
        <w:spacing w:line="240" w:lineRule="auto" w:before="184" w:after="0"/>
        <w:ind w:left="1493" w:right="1130" w:hanging="360"/>
        <w:jc w:val="both"/>
        <w:rPr>
          <w:sz w:val="24"/>
        </w:rPr>
      </w:pPr>
      <w:r>
        <w:rPr>
          <w:sz w:val="24"/>
        </w:rPr>
        <w:t>Pour ce qui est des perceptions populaires de l'avenir du pays, les recommandations des ANR et les sondages d'opinion auprès des populations permettent de faire un diagnostic des problèmes de développement et des enjeux pour le Mali.</w:t>
      </w:r>
      <w:r>
        <w:rPr>
          <w:spacing w:val="40"/>
          <w:sz w:val="24"/>
        </w:rPr>
        <w:t> </w:t>
      </w:r>
      <w:r>
        <w:rPr>
          <w:sz w:val="24"/>
        </w:rPr>
        <w:t>Ils sont relatifs (i) aux options politiques et</w:t>
      </w:r>
      <w:r>
        <w:rPr>
          <w:spacing w:val="40"/>
          <w:sz w:val="24"/>
        </w:rPr>
        <w:t> </w:t>
      </w:r>
      <w:r>
        <w:rPr>
          <w:sz w:val="24"/>
        </w:rPr>
        <w:t>institutionnelles, (ii) aux options géostratégiques et géopolitiques, (iii) à la gouvernance, (iv) à l'intégration régionale et continentale, (v) à l'emploi et au dialogue social, (vi) à la planification du développement,</w:t>
      </w:r>
      <w:r>
        <w:rPr>
          <w:spacing w:val="-2"/>
          <w:sz w:val="24"/>
        </w:rPr>
        <w:t> </w:t>
      </w:r>
      <w:r>
        <w:rPr>
          <w:sz w:val="24"/>
        </w:rPr>
        <w:t>(vii)</w:t>
      </w:r>
      <w:r>
        <w:rPr>
          <w:spacing w:val="-2"/>
          <w:sz w:val="24"/>
        </w:rPr>
        <w:t> </w:t>
      </w:r>
      <w:r>
        <w:rPr>
          <w:sz w:val="24"/>
        </w:rPr>
        <w:t>au capital</w:t>
      </w:r>
      <w:r>
        <w:rPr>
          <w:spacing w:val="-1"/>
          <w:sz w:val="24"/>
        </w:rPr>
        <w:t> </w:t>
      </w:r>
      <w:r>
        <w:rPr>
          <w:sz w:val="24"/>
        </w:rPr>
        <w:t>humain, (viii)</w:t>
      </w:r>
      <w:r>
        <w:rPr>
          <w:spacing w:val="-2"/>
          <w:sz w:val="24"/>
        </w:rPr>
        <w:t> </w:t>
      </w:r>
      <w:r>
        <w:rPr>
          <w:sz w:val="24"/>
        </w:rPr>
        <w:t>à la décentralisation et à l'administration du</w:t>
      </w:r>
      <w:r>
        <w:rPr>
          <w:spacing w:val="-2"/>
          <w:sz w:val="24"/>
        </w:rPr>
        <w:t> </w:t>
      </w:r>
      <w:r>
        <w:rPr>
          <w:sz w:val="24"/>
        </w:rPr>
        <w:t>territoire, (ix) à la paix et à la sécurité, (x) à la culture, (xi)</w:t>
      </w:r>
      <w:r>
        <w:rPr>
          <w:spacing w:val="66"/>
          <w:sz w:val="24"/>
        </w:rPr>
        <w:t> </w:t>
      </w:r>
      <w:r>
        <w:rPr>
          <w:sz w:val="24"/>
        </w:rPr>
        <w:t>à la jeunesse et (xii) aux conditions environnementales et climatiques d'un développement durable.</w:t>
      </w:r>
    </w:p>
    <w:p>
      <w:pPr>
        <w:pStyle w:val="Heading3"/>
      </w:pPr>
      <w:r>
        <w:rPr/>
        <w:t>Analyse</w:t>
      </w:r>
      <w:r>
        <w:rPr>
          <w:spacing w:val="-6"/>
        </w:rPr>
        <w:t> </w:t>
      </w:r>
      <w:r>
        <w:rPr/>
        <w:t>structurelle</w:t>
      </w:r>
      <w:r>
        <w:rPr>
          <w:spacing w:val="-1"/>
        </w:rPr>
        <w:t> </w:t>
      </w:r>
      <w:r>
        <w:rPr/>
        <w:t>du</w:t>
      </w:r>
      <w:r>
        <w:rPr>
          <w:spacing w:val="-2"/>
        </w:rPr>
        <w:t> </w:t>
      </w:r>
      <w:r>
        <w:rPr/>
        <w:t>Système</w:t>
      </w:r>
      <w:r>
        <w:rPr>
          <w:spacing w:val="-2"/>
        </w:rPr>
        <w:t> Mali.</w:t>
      </w:r>
    </w:p>
    <w:p>
      <w:pPr>
        <w:pStyle w:val="ListParagraph"/>
        <w:numPr>
          <w:ilvl w:val="1"/>
          <w:numId w:val="1"/>
        </w:numPr>
        <w:tabs>
          <w:tab w:pos="1491" w:val="left" w:leader="none"/>
          <w:tab w:pos="1493" w:val="left" w:leader="none"/>
        </w:tabs>
        <w:spacing w:line="240" w:lineRule="auto" w:before="183" w:after="0"/>
        <w:ind w:left="1493" w:right="1130" w:hanging="360"/>
        <w:jc w:val="both"/>
        <w:rPr>
          <w:sz w:val="24"/>
        </w:rPr>
      </w:pPr>
      <w:r>
        <w:rPr>
          <w:sz w:val="24"/>
        </w:rPr>
        <w:t>L’analyse structurelle du "Système Mali" a retenu 63 variables réparties en 5 domaines, 16 variables de démographie et </w:t>
      </w:r>
      <w:r>
        <w:rPr>
          <w:sz w:val="22"/>
        </w:rPr>
        <w:t>développement </w:t>
      </w:r>
      <w:r>
        <w:rPr>
          <w:sz w:val="24"/>
        </w:rPr>
        <w:t>du capital humain, 22 variables relatives à l'économie et au financement du développement, 14 sur la gouvernance, 5 sur l'environnement et les changements climatiques, et 6 autres variables caractérisant le partenariat et la géopolitique. Pour les 10 prochaines années, l’analyse structurelle a ainsi permis de mettre en exergue que les variables de gouvernance, telles que le rôle de l'État et la planification du développement, sont essentielles. L'investissement, le foncier et l'énergie sont aussi des variables importantes pour stabiliser le</w:t>
      </w:r>
      <w:r>
        <w:rPr>
          <w:spacing w:val="40"/>
          <w:sz w:val="24"/>
        </w:rPr>
        <w:t> </w:t>
      </w:r>
      <w:r>
        <w:rPr>
          <w:sz w:val="24"/>
        </w:rPr>
        <w:t>système et nécessitent une politique énergétique et d'investissement bien pensée.</w:t>
      </w:r>
    </w:p>
    <w:p>
      <w:pPr>
        <w:pStyle w:val="Heading3"/>
        <w:numPr>
          <w:ilvl w:val="1"/>
          <w:numId w:val="7"/>
        </w:numPr>
        <w:tabs>
          <w:tab w:pos="1517" w:val="left" w:leader="none"/>
        </w:tabs>
        <w:spacing w:line="240" w:lineRule="auto" w:before="253" w:after="0"/>
        <w:ind w:left="1517" w:right="0" w:hanging="384"/>
        <w:jc w:val="left"/>
      </w:pPr>
      <w:bookmarkStart w:name="_bookmark6" w:id="7"/>
      <w:bookmarkEnd w:id="7"/>
      <w:r>
        <w:rPr>
          <w:b w:val="0"/>
        </w:rPr>
      </w:r>
      <w:r>
        <w:rPr>
          <w:color w:val="2E5395"/>
        </w:rPr>
        <w:t>Les</w:t>
      </w:r>
      <w:r>
        <w:rPr>
          <w:color w:val="2E5395"/>
          <w:spacing w:val="-4"/>
        </w:rPr>
        <w:t> </w:t>
      </w:r>
      <w:r>
        <w:rPr>
          <w:color w:val="2E5395"/>
        </w:rPr>
        <w:t>problématiques</w:t>
      </w:r>
      <w:r>
        <w:rPr>
          <w:color w:val="2E5395"/>
          <w:spacing w:val="-4"/>
        </w:rPr>
        <w:t> </w:t>
      </w:r>
      <w:r>
        <w:rPr>
          <w:color w:val="2E5395"/>
        </w:rPr>
        <w:t>de</w:t>
      </w:r>
      <w:r>
        <w:rPr>
          <w:color w:val="2E5395"/>
          <w:spacing w:val="-4"/>
        </w:rPr>
        <w:t> </w:t>
      </w:r>
      <w:r>
        <w:rPr>
          <w:color w:val="2E5395"/>
          <w:spacing w:val="-2"/>
        </w:rPr>
        <w:t>développement</w:t>
      </w:r>
    </w:p>
    <w:p>
      <w:pPr>
        <w:pStyle w:val="ListParagraph"/>
        <w:numPr>
          <w:ilvl w:val="1"/>
          <w:numId w:val="1"/>
        </w:numPr>
        <w:tabs>
          <w:tab w:pos="1491" w:val="left" w:leader="none"/>
          <w:tab w:pos="1493" w:val="left" w:leader="none"/>
        </w:tabs>
        <w:spacing w:line="240" w:lineRule="auto" w:before="185" w:after="0"/>
        <w:ind w:left="1493" w:right="1128" w:hanging="360"/>
        <w:jc w:val="both"/>
        <w:rPr>
          <w:sz w:val="24"/>
        </w:rPr>
      </w:pPr>
      <w:r>
        <w:rPr>
          <w:sz w:val="24"/>
        </w:rPr>
        <w:t>Le Diagnostic stratégique a permis de mettre en évidence quelques problématiques de développement à relever pour l’atteinte des objectifs dans divers domaines du développement. Ces problématiques de développement prennent en compte les trois dimensions du développement durable (économique, sociale et environnementale).</w:t>
      </w:r>
    </w:p>
    <w:p>
      <w:pPr>
        <w:pStyle w:val="Heading3"/>
        <w:spacing w:before="186"/>
      </w:pPr>
      <w:r>
        <w:rPr/>
        <w:t>Pauvreté,</w:t>
      </w:r>
      <w:r>
        <w:rPr>
          <w:spacing w:val="-6"/>
        </w:rPr>
        <w:t> </w:t>
      </w:r>
      <w:r>
        <w:rPr/>
        <w:t>inégalités</w:t>
      </w:r>
      <w:r>
        <w:rPr>
          <w:spacing w:val="-5"/>
        </w:rPr>
        <w:t> </w:t>
      </w:r>
      <w:r>
        <w:rPr/>
        <w:t>et</w:t>
      </w:r>
      <w:r>
        <w:rPr>
          <w:spacing w:val="-7"/>
        </w:rPr>
        <w:t> </w:t>
      </w:r>
      <w:r>
        <w:rPr/>
        <w:t>sécurité</w:t>
      </w:r>
      <w:r>
        <w:rPr>
          <w:spacing w:val="-5"/>
        </w:rPr>
        <w:t> </w:t>
      </w:r>
      <w:r>
        <w:rPr>
          <w:spacing w:val="-2"/>
        </w:rPr>
        <w:t>alimentaire</w:t>
      </w:r>
    </w:p>
    <w:p>
      <w:pPr>
        <w:pStyle w:val="ListParagraph"/>
        <w:numPr>
          <w:ilvl w:val="1"/>
          <w:numId w:val="1"/>
        </w:numPr>
        <w:tabs>
          <w:tab w:pos="1491" w:val="left" w:leader="none"/>
          <w:tab w:pos="1493" w:val="left" w:leader="none"/>
        </w:tabs>
        <w:spacing w:line="240" w:lineRule="auto" w:before="183" w:after="0"/>
        <w:ind w:left="1493" w:right="1130" w:hanging="360"/>
        <w:jc w:val="both"/>
        <w:rPr>
          <w:sz w:val="24"/>
        </w:rPr>
      </w:pPr>
      <w:r>
        <w:rPr>
          <w:sz w:val="24"/>
        </w:rPr>
        <w:t>En dépit des progrès notables, le Mali se caractérise par un recul insuffisant voire une stagnation de la pauvreté monétaire. Après une baisse assez importante entre 2001 et 2011, passant de 55,6% à 45,6%, l’incidence de la pauvreté monétaire n’a reculé que de trois (03) points de pourcentage entre 2011 et 2020, passant de 45,6% à 41,9%. A partir de 2021, la pauvreté connait une hausse, s’établissant ainsi à 44,6% et 45,5% en 2022, avant de connaitre une baisse en 2023 (43,9 %).</w:t>
      </w:r>
      <w:r>
        <w:rPr>
          <w:spacing w:val="40"/>
          <w:sz w:val="24"/>
        </w:rPr>
        <w:t> </w:t>
      </w:r>
      <w:r>
        <w:rPr>
          <w:sz w:val="24"/>
        </w:rPr>
        <w:t>Quant à l’inégalité mesurée par l’indice de Gini, dans l’ensemble, elle connait une évolution en dents de scie. Elle est passée de 0,38 en 2018 à 0,4 en 2019 et de 0,38 en 2020 à 0,42 en 2021. Elle a ensuite enregistré une tendance baissière passant de 0,33 en 2022 à 0,32 en 2023.</w:t>
      </w:r>
    </w:p>
    <w:p>
      <w:pPr>
        <w:pStyle w:val="ListParagraph"/>
        <w:spacing w:after="0" w:line="240" w:lineRule="auto"/>
        <w:jc w:val="both"/>
        <w:rPr>
          <w:sz w:val="24"/>
        </w:rPr>
        <w:sectPr>
          <w:pgSz w:w="11910" w:h="16840"/>
          <w:pgMar w:header="0" w:footer="680" w:top="1320" w:bottom="960" w:left="283" w:right="141"/>
        </w:sectPr>
      </w:pPr>
    </w:p>
    <w:p>
      <w:pPr>
        <w:pStyle w:val="ListParagraph"/>
        <w:numPr>
          <w:ilvl w:val="1"/>
          <w:numId w:val="1"/>
        </w:numPr>
        <w:tabs>
          <w:tab w:pos="1491" w:val="left" w:leader="none"/>
          <w:tab w:pos="1493" w:val="left" w:leader="none"/>
        </w:tabs>
        <w:spacing w:line="240" w:lineRule="auto" w:before="78" w:after="0"/>
        <w:ind w:left="1493" w:right="1139" w:hanging="360"/>
        <w:jc w:val="both"/>
        <w:rPr>
          <w:sz w:val="24"/>
        </w:rPr>
      </w:pPr>
      <w:r>
        <w:rPr>
          <w:sz w:val="24"/>
        </w:rPr>
        <w:t>Pour ce qui concerne la sécurité alimentaire, elle reste encore fragile et fortement impactée par la crise sécuritaire.</w:t>
      </w:r>
      <w:r>
        <w:rPr>
          <w:spacing w:val="40"/>
          <w:sz w:val="24"/>
        </w:rPr>
        <w:t> </w:t>
      </w:r>
      <w:r>
        <w:rPr>
          <w:sz w:val="24"/>
        </w:rPr>
        <w:t>Les crises alimentaires affectent de manière récurrente les populations maliennes</w:t>
      </w:r>
      <w:r>
        <w:rPr>
          <w:spacing w:val="40"/>
          <w:sz w:val="24"/>
        </w:rPr>
        <w:t> </w:t>
      </w:r>
      <w:r>
        <w:rPr>
          <w:sz w:val="24"/>
        </w:rPr>
        <w:t>et exercent une influence négative sur le développement humain durable.</w:t>
      </w:r>
    </w:p>
    <w:p>
      <w:pPr>
        <w:pStyle w:val="Heading3"/>
        <w:spacing w:before="185"/>
      </w:pPr>
      <w:r>
        <w:rPr/>
        <w:t>Sécurisation</w:t>
      </w:r>
      <w:r>
        <w:rPr>
          <w:spacing w:val="-6"/>
        </w:rPr>
        <w:t> </w:t>
      </w:r>
      <w:r>
        <w:rPr/>
        <w:t>du</w:t>
      </w:r>
      <w:r>
        <w:rPr>
          <w:spacing w:val="-3"/>
        </w:rPr>
        <w:t> </w:t>
      </w:r>
      <w:r>
        <w:rPr/>
        <w:t>pays,</w:t>
      </w:r>
      <w:r>
        <w:rPr>
          <w:spacing w:val="-4"/>
        </w:rPr>
        <w:t> </w:t>
      </w:r>
      <w:r>
        <w:rPr/>
        <w:t>cohésion</w:t>
      </w:r>
      <w:r>
        <w:rPr>
          <w:spacing w:val="-3"/>
        </w:rPr>
        <w:t> </w:t>
      </w:r>
      <w:r>
        <w:rPr/>
        <w:t>sociale</w:t>
      </w:r>
      <w:r>
        <w:rPr>
          <w:spacing w:val="-3"/>
        </w:rPr>
        <w:t> </w:t>
      </w:r>
      <w:r>
        <w:rPr/>
        <w:t>et</w:t>
      </w:r>
      <w:r>
        <w:rPr>
          <w:spacing w:val="-5"/>
        </w:rPr>
        <w:t> </w:t>
      </w:r>
      <w:r>
        <w:rPr/>
        <w:t>vivre</w:t>
      </w:r>
      <w:r>
        <w:rPr>
          <w:spacing w:val="-3"/>
        </w:rPr>
        <w:t> </w:t>
      </w:r>
      <w:r>
        <w:rPr/>
        <w:t>ensemble</w:t>
      </w:r>
      <w:r>
        <w:rPr>
          <w:spacing w:val="-1"/>
        </w:rPr>
        <w:t> </w:t>
      </w:r>
      <w:r>
        <w:rPr/>
        <w:t>des</w:t>
      </w:r>
      <w:r>
        <w:rPr>
          <w:spacing w:val="4"/>
        </w:rPr>
        <w:t> </w:t>
      </w:r>
      <w:r>
        <w:rPr>
          <w:spacing w:val="-2"/>
        </w:rPr>
        <w:t>Maliens</w:t>
      </w:r>
    </w:p>
    <w:p>
      <w:pPr>
        <w:pStyle w:val="ListParagraph"/>
        <w:numPr>
          <w:ilvl w:val="1"/>
          <w:numId w:val="1"/>
        </w:numPr>
        <w:tabs>
          <w:tab w:pos="1491" w:val="left" w:leader="none"/>
          <w:tab w:pos="1493" w:val="left" w:leader="none"/>
        </w:tabs>
        <w:spacing w:line="240" w:lineRule="auto" w:before="183" w:after="0"/>
        <w:ind w:left="1493" w:right="1130" w:hanging="360"/>
        <w:jc w:val="both"/>
        <w:rPr>
          <w:sz w:val="24"/>
        </w:rPr>
      </w:pPr>
      <w:r>
        <w:rPr>
          <w:sz w:val="24"/>
        </w:rPr>
        <w:t>Pour parvenir à un développement harmonieux, le Mali se doit de relever les défis liés à la sécurisation du pays,</w:t>
      </w:r>
      <w:r>
        <w:rPr>
          <w:spacing w:val="-2"/>
          <w:sz w:val="24"/>
        </w:rPr>
        <w:t> </w:t>
      </w:r>
      <w:r>
        <w:rPr>
          <w:sz w:val="24"/>
        </w:rPr>
        <w:t>à la cohésion sociale et au vivre ensemble des Maliens qui constituent la pierre angulaire</w:t>
      </w:r>
      <w:r>
        <w:rPr>
          <w:spacing w:val="80"/>
          <w:sz w:val="24"/>
        </w:rPr>
        <w:t> </w:t>
      </w:r>
      <w:r>
        <w:rPr>
          <w:sz w:val="24"/>
        </w:rPr>
        <w:t>sur</w:t>
      </w:r>
      <w:r>
        <w:rPr>
          <w:spacing w:val="80"/>
          <w:sz w:val="24"/>
        </w:rPr>
        <w:t> </w:t>
      </w:r>
      <w:r>
        <w:rPr>
          <w:sz w:val="24"/>
        </w:rPr>
        <w:t>laquelle</w:t>
      </w:r>
      <w:r>
        <w:rPr>
          <w:spacing w:val="80"/>
          <w:sz w:val="24"/>
        </w:rPr>
        <w:t> </w:t>
      </w:r>
      <w:r>
        <w:rPr>
          <w:sz w:val="24"/>
        </w:rPr>
        <w:t>reposent</w:t>
      </w:r>
      <w:r>
        <w:rPr>
          <w:spacing w:val="80"/>
          <w:sz w:val="24"/>
        </w:rPr>
        <w:t> </w:t>
      </w:r>
      <w:r>
        <w:rPr>
          <w:sz w:val="24"/>
        </w:rPr>
        <w:t>toutes</w:t>
      </w:r>
      <w:r>
        <w:rPr>
          <w:spacing w:val="80"/>
          <w:sz w:val="24"/>
        </w:rPr>
        <w:t> </w:t>
      </w:r>
      <w:r>
        <w:rPr>
          <w:sz w:val="24"/>
        </w:rPr>
        <w:t>les</w:t>
      </w:r>
      <w:r>
        <w:rPr>
          <w:spacing w:val="80"/>
          <w:sz w:val="24"/>
        </w:rPr>
        <w:t> </w:t>
      </w:r>
      <w:r>
        <w:rPr>
          <w:sz w:val="24"/>
        </w:rPr>
        <w:t>initiatives</w:t>
      </w:r>
      <w:r>
        <w:rPr>
          <w:spacing w:val="80"/>
          <w:sz w:val="24"/>
        </w:rPr>
        <w:t> </w:t>
      </w:r>
      <w:r>
        <w:rPr>
          <w:sz w:val="24"/>
        </w:rPr>
        <w:t>de</w:t>
      </w:r>
      <w:r>
        <w:rPr>
          <w:spacing w:val="80"/>
          <w:sz w:val="24"/>
        </w:rPr>
        <w:t> </w:t>
      </w:r>
      <w:r>
        <w:rPr>
          <w:sz w:val="24"/>
        </w:rPr>
        <w:t>développement</w:t>
      </w:r>
      <w:r>
        <w:rPr>
          <w:spacing w:val="80"/>
          <w:sz w:val="24"/>
        </w:rPr>
        <w:t> </w:t>
      </w:r>
      <w:r>
        <w:rPr>
          <w:sz w:val="24"/>
        </w:rPr>
        <w:t>socio-économique.</w:t>
      </w:r>
      <w:r>
        <w:rPr>
          <w:spacing w:val="80"/>
          <w:sz w:val="24"/>
        </w:rPr>
        <w:t> </w:t>
      </w:r>
      <w:r>
        <w:rPr>
          <w:sz w:val="24"/>
        </w:rPr>
        <w:t>La sécurisation du pays apparait dès lors comme le préalable pour asseoir les bases d’une véritable transformation structurelle de l’économie malienne.</w:t>
      </w:r>
    </w:p>
    <w:p>
      <w:pPr>
        <w:pStyle w:val="ListParagraph"/>
        <w:numPr>
          <w:ilvl w:val="1"/>
          <w:numId w:val="1"/>
        </w:numPr>
        <w:tabs>
          <w:tab w:pos="1491" w:val="left" w:leader="none"/>
          <w:tab w:pos="1493" w:val="left" w:leader="none"/>
        </w:tabs>
        <w:spacing w:line="240" w:lineRule="auto" w:before="183" w:after="0"/>
        <w:ind w:left="1493" w:right="1139" w:hanging="360"/>
        <w:jc w:val="both"/>
        <w:rPr>
          <w:sz w:val="24"/>
        </w:rPr>
      </w:pPr>
      <w:r>
        <w:rPr>
          <w:sz w:val="24"/>
        </w:rPr>
        <w:t>Prenant la pleine mesure de ces défis, les Autorités de la Transition ont opéré une réorientation de la politique de sécurisation du pays basée sur une diversification des partenaires stratégiques, le renforcement de l’outil de défense et de sécurité et le renforcement des capacités d’intervention des Forces Armées Maliennes (FAMa).</w:t>
      </w:r>
    </w:p>
    <w:p>
      <w:pPr>
        <w:pStyle w:val="ListParagraph"/>
        <w:numPr>
          <w:ilvl w:val="1"/>
          <w:numId w:val="1"/>
        </w:numPr>
        <w:tabs>
          <w:tab w:pos="1491" w:val="left" w:leader="none"/>
          <w:tab w:pos="1493" w:val="left" w:leader="none"/>
        </w:tabs>
        <w:spacing w:line="240" w:lineRule="auto" w:before="185" w:after="0"/>
        <w:ind w:left="1493" w:right="1134" w:hanging="360"/>
        <w:jc w:val="both"/>
        <w:rPr>
          <w:sz w:val="24"/>
        </w:rPr>
      </w:pPr>
      <w:r>
        <w:rPr>
          <w:sz w:val="24"/>
        </w:rPr>
        <w:t>La création de l’Alliance des Etats du Sahel (AES) le 16 septembre 2023 avec le Burkina Faso et le Niger participe du renforcement de la souveraineté à travers la mise en place d’une architecture de défense collective et d’assistance mutuelle face aux menaces sécuritaires dans cet espace.</w:t>
      </w:r>
    </w:p>
    <w:p>
      <w:pPr>
        <w:pStyle w:val="ListParagraph"/>
        <w:numPr>
          <w:ilvl w:val="1"/>
          <w:numId w:val="1"/>
        </w:numPr>
        <w:tabs>
          <w:tab w:pos="1491" w:val="left" w:leader="none"/>
          <w:tab w:pos="1493" w:val="left" w:leader="none"/>
        </w:tabs>
        <w:spacing w:line="240" w:lineRule="auto" w:before="184" w:after="0"/>
        <w:ind w:left="1493" w:right="1126" w:hanging="360"/>
        <w:jc w:val="both"/>
        <w:rPr>
          <w:sz w:val="24"/>
        </w:rPr>
      </w:pPr>
      <w:r>
        <w:rPr>
          <w:sz w:val="24"/>
        </w:rPr>
        <w:t>De nombreuses activités ont été conduites tendant à promouvoir la cohésion sociale et le vivre- ensemble des Maliens notamment à travers la tenue de la Conférence d’Entente Nationale et l’adoption de la Charte pour la Paix, l’Unité et la Réconciliation ; la signature de l’Accord pour la Paix et la Réconciliation au Mali issu du processus d’Alger dont la mise en œuvre n’a pas permis d’atteindre les effets escomptés malgré la forte présence et l’assistance de la Communauté </w:t>
      </w:r>
      <w:r>
        <w:rPr>
          <w:spacing w:val="-2"/>
          <w:sz w:val="24"/>
        </w:rPr>
        <w:t>internationale.</w:t>
      </w:r>
    </w:p>
    <w:p>
      <w:pPr>
        <w:pStyle w:val="ListParagraph"/>
        <w:numPr>
          <w:ilvl w:val="1"/>
          <w:numId w:val="1"/>
        </w:numPr>
        <w:tabs>
          <w:tab w:pos="1491" w:val="left" w:leader="none"/>
          <w:tab w:pos="1493" w:val="left" w:leader="none"/>
        </w:tabs>
        <w:spacing w:line="240" w:lineRule="auto" w:before="184" w:after="0"/>
        <w:ind w:left="1493" w:right="1129" w:hanging="360"/>
        <w:jc w:val="both"/>
        <w:rPr>
          <w:sz w:val="24"/>
        </w:rPr>
      </w:pPr>
      <w:r>
        <w:rPr>
          <w:sz w:val="24"/>
        </w:rPr>
        <w:t>La</w:t>
      </w:r>
      <w:r>
        <w:rPr>
          <w:spacing w:val="-1"/>
          <w:sz w:val="24"/>
        </w:rPr>
        <w:t> </w:t>
      </w:r>
      <w:r>
        <w:rPr>
          <w:sz w:val="24"/>
        </w:rPr>
        <w:t>dénonciation</w:t>
      </w:r>
      <w:r>
        <w:rPr>
          <w:spacing w:val="-2"/>
          <w:sz w:val="24"/>
        </w:rPr>
        <w:t> </w:t>
      </w:r>
      <w:r>
        <w:rPr>
          <w:sz w:val="24"/>
        </w:rPr>
        <w:t>et</w:t>
      </w:r>
      <w:r>
        <w:rPr>
          <w:spacing w:val="-4"/>
          <w:sz w:val="24"/>
        </w:rPr>
        <w:t> </w:t>
      </w:r>
      <w:r>
        <w:rPr>
          <w:sz w:val="24"/>
        </w:rPr>
        <w:t>la résiliation</w:t>
      </w:r>
      <w:r>
        <w:rPr>
          <w:spacing w:val="-1"/>
          <w:sz w:val="24"/>
        </w:rPr>
        <w:t> </w:t>
      </w:r>
      <w:r>
        <w:rPr>
          <w:sz w:val="24"/>
        </w:rPr>
        <w:t>de</w:t>
      </w:r>
      <w:r>
        <w:rPr>
          <w:spacing w:val="-4"/>
          <w:sz w:val="24"/>
        </w:rPr>
        <w:t> </w:t>
      </w:r>
      <w:r>
        <w:rPr>
          <w:sz w:val="24"/>
        </w:rPr>
        <w:t>l’Accord</w:t>
      </w:r>
      <w:r>
        <w:rPr>
          <w:spacing w:val="-2"/>
          <w:sz w:val="24"/>
        </w:rPr>
        <w:t> </w:t>
      </w:r>
      <w:r>
        <w:rPr>
          <w:sz w:val="24"/>
        </w:rPr>
        <w:t>pour</w:t>
      </w:r>
      <w:r>
        <w:rPr>
          <w:spacing w:val="-2"/>
          <w:sz w:val="24"/>
        </w:rPr>
        <w:t> </w:t>
      </w:r>
      <w:r>
        <w:rPr>
          <w:sz w:val="24"/>
        </w:rPr>
        <w:t>la</w:t>
      </w:r>
      <w:r>
        <w:rPr>
          <w:spacing w:val="-2"/>
          <w:sz w:val="24"/>
        </w:rPr>
        <w:t> </w:t>
      </w:r>
      <w:r>
        <w:rPr>
          <w:sz w:val="24"/>
        </w:rPr>
        <w:t>Paix</w:t>
      </w:r>
      <w:r>
        <w:rPr>
          <w:spacing w:val="-5"/>
          <w:sz w:val="24"/>
        </w:rPr>
        <w:t> </w:t>
      </w:r>
      <w:r>
        <w:rPr>
          <w:sz w:val="24"/>
        </w:rPr>
        <w:t>et</w:t>
      </w:r>
      <w:r>
        <w:rPr>
          <w:spacing w:val="-2"/>
          <w:sz w:val="24"/>
        </w:rPr>
        <w:t> </w:t>
      </w:r>
      <w:r>
        <w:rPr>
          <w:sz w:val="24"/>
        </w:rPr>
        <w:t>la</w:t>
      </w:r>
      <w:r>
        <w:rPr>
          <w:spacing w:val="-1"/>
          <w:sz w:val="24"/>
        </w:rPr>
        <w:t> </w:t>
      </w:r>
      <w:r>
        <w:rPr>
          <w:sz w:val="24"/>
        </w:rPr>
        <w:t>Réconciliation</w:t>
      </w:r>
      <w:r>
        <w:rPr>
          <w:spacing w:val="-2"/>
          <w:sz w:val="24"/>
        </w:rPr>
        <w:t> </w:t>
      </w:r>
      <w:r>
        <w:rPr>
          <w:sz w:val="24"/>
        </w:rPr>
        <w:t>au</w:t>
      </w:r>
      <w:r>
        <w:rPr>
          <w:spacing w:val="-2"/>
          <w:sz w:val="24"/>
        </w:rPr>
        <w:t> </w:t>
      </w:r>
      <w:r>
        <w:rPr>
          <w:sz w:val="24"/>
        </w:rPr>
        <w:t>Mali</w:t>
      </w:r>
      <w:r>
        <w:rPr>
          <w:spacing w:val="-2"/>
          <w:sz w:val="24"/>
        </w:rPr>
        <w:t> </w:t>
      </w:r>
      <w:r>
        <w:rPr>
          <w:sz w:val="24"/>
        </w:rPr>
        <w:t>issu</w:t>
      </w:r>
      <w:r>
        <w:rPr>
          <w:spacing w:val="-2"/>
          <w:sz w:val="24"/>
        </w:rPr>
        <w:t> </w:t>
      </w:r>
      <w:r>
        <w:rPr>
          <w:sz w:val="24"/>
        </w:rPr>
        <w:t>du</w:t>
      </w:r>
      <w:r>
        <w:rPr>
          <w:spacing w:val="-4"/>
          <w:sz w:val="24"/>
        </w:rPr>
        <w:t> </w:t>
      </w:r>
      <w:r>
        <w:rPr>
          <w:sz w:val="24"/>
        </w:rPr>
        <w:t>processus d’Alger, le retrait des forces étrangères du territoire et la tenue du Dialogue Inter-Maliens marquent bien cette réorientation conforme aux trois principes qui guident l’action publique désormais au Mali.</w:t>
      </w:r>
    </w:p>
    <w:p>
      <w:pPr>
        <w:pStyle w:val="Heading3"/>
        <w:spacing w:before="182"/>
      </w:pPr>
      <w:r>
        <w:rPr/>
        <w:t>Crise</w:t>
      </w:r>
      <w:r>
        <w:rPr>
          <w:spacing w:val="-4"/>
        </w:rPr>
        <w:t> </w:t>
      </w:r>
      <w:r>
        <w:rPr/>
        <w:t>énergétique</w:t>
      </w:r>
      <w:r>
        <w:rPr>
          <w:spacing w:val="-4"/>
        </w:rPr>
        <w:t> </w:t>
      </w:r>
      <w:r>
        <w:rPr>
          <w:spacing w:val="-2"/>
        </w:rPr>
        <w:t>profonde</w:t>
      </w:r>
    </w:p>
    <w:p>
      <w:pPr>
        <w:pStyle w:val="ListParagraph"/>
        <w:numPr>
          <w:ilvl w:val="1"/>
          <w:numId w:val="1"/>
        </w:numPr>
        <w:tabs>
          <w:tab w:pos="1491" w:val="left" w:leader="none"/>
          <w:tab w:pos="1493" w:val="left" w:leader="none"/>
        </w:tabs>
        <w:spacing w:line="240" w:lineRule="auto" w:before="186" w:after="0"/>
        <w:ind w:left="1493" w:right="1127" w:hanging="360"/>
        <w:jc w:val="both"/>
        <w:rPr>
          <w:sz w:val="24"/>
        </w:rPr>
      </w:pPr>
      <w:r>
        <w:rPr>
          <w:sz w:val="24"/>
        </w:rPr>
        <w:t>L’accès à l’énergie est un impératif pour le développement socio-économique et le bien-être des populations. La situation énergétique du Mali est caractérisée par un bilan énergétique dont la biomasse représente 72% des énergies primaires, suivie de 26% pour les importations d’hydrocarbures et 2% pour l’électricité (SIE-Mali, 2020). La pointe sur le réseau interconnecté en 2020 a été de 408,69 MW. En dehors de la biomasse, le secteur reste caractérisé par une forte dépendance vis-à-vis des produits pétroliers, dont les importations pour la production d’électricité, pour le transport et les industries (dont les mines) sont en constante augmentation en raison de la croissance économique et de la demande d’une population croissante.</w:t>
      </w:r>
    </w:p>
    <w:p>
      <w:pPr>
        <w:pStyle w:val="ListParagraph"/>
        <w:numPr>
          <w:ilvl w:val="1"/>
          <w:numId w:val="1"/>
        </w:numPr>
        <w:tabs>
          <w:tab w:pos="1491" w:val="left" w:leader="none"/>
          <w:tab w:pos="1493" w:val="left" w:leader="none"/>
        </w:tabs>
        <w:spacing w:line="240" w:lineRule="auto" w:before="183" w:after="0"/>
        <w:ind w:left="1493" w:right="1140" w:hanging="360"/>
        <w:jc w:val="both"/>
        <w:rPr>
          <w:b/>
          <w:sz w:val="24"/>
        </w:rPr>
      </w:pPr>
      <w:r>
        <w:rPr>
          <w:sz w:val="24"/>
        </w:rPr>
        <w:t>Malgré l’immense potentiel du pays, le développement des énergies renouvelables se fait à un</w:t>
      </w:r>
      <w:r>
        <w:rPr>
          <w:spacing w:val="40"/>
          <w:sz w:val="24"/>
        </w:rPr>
        <w:t> </w:t>
      </w:r>
      <w:r>
        <w:rPr>
          <w:sz w:val="24"/>
        </w:rPr>
        <w:t>rythme relativement lent. L'énergie solaire et d’autres sources d’énergie renouvelables offrent ainsi d'importantes possibilités qui commencent à être exploitées.</w:t>
      </w:r>
    </w:p>
    <w:p>
      <w:pPr>
        <w:pStyle w:val="ListParagraph"/>
        <w:numPr>
          <w:ilvl w:val="1"/>
          <w:numId w:val="1"/>
        </w:numPr>
        <w:tabs>
          <w:tab w:pos="1491" w:val="left" w:leader="none"/>
          <w:tab w:pos="1493" w:val="left" w:leader="none"/>
        </w:tabs>
        <w:spacing w:line="240" w:lineRule="auto" w:before="138" w:after="0"/>
        <w:ind w:left="1493" w:right="1127" w:hanging="360"/>
        <w:jc w:val="both"/>
        <w:rPr>
          <w:sz w:val="24"/>
        </w:rPr>
      </w:pPr>
      <w:r>
        <w:rPr>
          <w:sz w:val="24"/>
        </w:rPr>
        <w:t>La mise en œuvre du Plan national d’accès à l’électricité permettra de résorber à terme le déficit d’électricité et de favoriser la relance et l’accélération de la croissance économique pour un développement inclusif et durable du pays.</w:t>
      </w:r>
    </w:p>
    <w:p>
      <w:pPr>
        <w:pStyle w:val="Heading3"/>
        <w:spacing w:before="183"/>
      </w:pPr>
      <w:r>
        <w:rPr/>
        <w:t>Gouvernance</w:t>
      </w:r>
      <w:r>
        <w:rPr>
          <w:spacing w:val="-8"/>
        </w:rPr>
        <w:t> </w:t>
      </w:r>
      <w:r>
        <w:rPr>
          <w:spacing w:val="-2"/>
        </w:rPr>
        <w:t>déficiente</w:t>
      </w:r>
    </w:p>
    <w:p>
      <w:pPr>
        <w:pStyle w:val="ListParagraph"/>
        <w:numPr>
          <w:ilvl w:val="1"/>
          <w:numId w:val="1"/>
        </w:numPr>
        <w:tabs>
          <w:tab w:pos="358" w:val="left" w:leader="none"/>
        </w:tabs>
        <w:spacing w:line="274" w:lineRule="exact" w:before="185" w:after="0"/>
        <w:ind w:left="358" w:right="1143" w:hanging="358"/>
        <w:jc w:val="right"/>
        <w:rPr>
          <w:sz w:val="24"/>
        </w:rPr>
      </w:pPr>
      <w:r>
        <w:rPr>
          <w:sz w:val="24"/>
        </w:rPr>
        <w:t>Les</w:t>
      </w:r>
      <w:r>
        <w:rPr>
          <w:spacing w:val="14"/>
          <w:sz w:val="24"/>
        </w:rPr>
        <w:t> </w:t>
      </w:r>
      <w:r>
        <w:rPr>
          <w:sz w:val="24"/>
        </w:rPr>
        <w:t>études</w:t>
      </w:r>
      <w:r>
        <w:rPr>
          <w:spacing w:val="16"/>
          <w:sz w:val="24"/>
        </w:rPr>
        <w:t> </w:t>
      </w:r>
      <w:r>
        <w:rPr>
          <w:sz w:val="24"/>
        </w:rPr>
        <w:t>réalisées</w:t>
      </w:r>
      <w:r>
        <w:rPr>
          <w:spacing w:val="16"/>
          <w:sz w:val="24"/>
        </w:rPr>
        <w:t> </w:t>
      </w:r>
      <w:r>
        <w:rPr>
          <w:sz w:val="24"/>
        </w:rPr>
        <w:t>sur</w:t>
      </w:r>
      <w:r>
        <w:rPr>
          <w:spacing w:val="15"/>
          <w:sz w:val="24"/>
        </w:rPr>
        <w:t> </w:t>
      </w:r>
      <w:r>
        <w:rPr>
          <w:sz w:val="24"/>
        </w:rPr>
        <w:t>la</w:t>
      </w:r>
      <w:r>
        <w:rPr>
          <w:spacing w:val="16"/>
          <w:sz w:val="24"/>
        </w:rPr>
        <w:t> </w:t>
      </w:r>
      <w:r>
        <w:rPr>
          <w:sz w:val="24"/>
        </w:rPr>
        <w:t>problématique</w:t>
      </w:r>
      <w:r>
        <w:rPr>
          <w:spacing w:val="14"/>
          <w:sz w:val="24"/>
        </w:rPr>
        <w:t> </w:t>
      </w:r>
      <w:r>
        <w:rPr>
          <w:sz w:val="24"/>
        </w:rPr>
        <w:t>de</w:t>
      </w:r>
      <w:r>
        <w:rPr>
          <w:spacing w:val="17"/>
          <w:sz w:val="24"/>
        </w:rPr>
        <w:t> </w:t>
      </w:r>
      <w:r>
        <w:rPr>
          <w:sz w:val="24"/>
        </w:rPr>
        <w:t>la</w:t>
      </w:r>
      <w:r>
        <w:rPr>
          <w:spacing w:val="16"/>
          <w:sz w:val="24"/>
        </w:rPr>
        <w:t> </w:t>
      </w:r>
      <w:r>
        <w:rPr>
          <w:sz w:val="24"/>
        </w:rPr>
        <w:t>gouvernance</w:t>
      </w:r>
      <w:r>
        <w:rPr>
          <w:spacing w:val="14"/>
          <w:sz w:val="24"/>
        </w:rPr>
        <w:t> </w:t>
      </w:r>
      <w:r>
        <w:rPr>
          <w:sz w:val="24"/>
        </w:rPr>
        <w:t>au</w:t>
      </w:r>
      <w:r>
        <w:rPr>
          <w:spacing w:val="17"/>
          <w:sz w:val="24"/>
        </w:rPr>
        <w:t> </w:t>
      </w:r>
      <w:r>
        <w:rPr>
          <w:sz w:val="24"/>
        </w:rPr>
        <w:t>Mali</w:t>
      </w:r>
      <w:r>
        <w:rPr>
          <w:spacing w:val="15"/>
          <w:sz w:val="24"/>
        </w:rPr>
        <w:t> </w:t>
      </w:r>
      <w:r>
        <w:rPr>
          <w:sz w:val="24"/>
        </w:rPr>
        <w:t>ont</w:t>
      </w:r>
      <w:r>
        <w:rPr>
          <w:spacing w:val="16"/>
          <w:sz w:val="24"/>
        </w:rPr>
        <w:t> </w:t>
      </w:r>
      <w:r>
        <w:rPr>
          <w:sz w:val="24"/>
        </w:rPr>
        <w:t>souligné</w:t>
      </w:r>
      <w:r>
        <w:rPr>
          <w:spacing w:val="17"/>
          <w:sz w:val="24"/>
        </w:rPr>
        <w:t> </w:t>
      </w:r>
      <w:r>
        <w:rPr>
          <w:sz w:val="24"/>
        </w:rPr>
        <w:t>sa</w:t>
      </w:r>
      <w:r>
        <w:rPr>
          <w:spacing w:val="18"/>
          <w:sz w:val="24"/>
        </w:rPr>
        <w:t> </w:t>
      </w:r>
      <w:r>
        <w:rPr>
          <w:spacing w:val="-2"/>
          <w:sz w:val="24"/>
        </w:rPr>
        <w:t>prééminence</w:t>
      </w:r>
    </w:p>
    <w:p>
      <w:pPr>
        <w:pStyle w:val="BodyText"/>
        <w:spacing w:line="274" w:lineRule="exact" w:before="0"/>
        <w:ind w:left="0" w:right="1138" w:firstLine="0"/>
        <w:jc w:val="right"/>
      </w:pPr>
      <w:r>
        <w:rPr/>
        <w:t>comme</w:t>
      </w:r>
      <w:r>
        <w:rPr>
          <w:spacing w:val="43"/>
        </w:rPr>
        <w:t> </w:t>
      </w:r>
      <w:r>
        <w:rPr/>
        <w:t>facteur</w:t>
      </w:r>
      <w:r>
        <w:rPr>
          <w:spacing w:val="42"/>
        </w:rPr>
        <w:t> </w:t>
      </w:r>
      <w:r>
        <w:rPr/>
        <w:t>déterminant</w:t>
      </w:r>
      <w:r>
        <w:rPr>
          <w:spacing w:val="42"/>
        </w:rPr>
        <w:t> </w:t>
      </w:r>
      <w:r>
        <w:rPr/>
        <w:t>de</w:t>
      </w:r>
      <w:r>
        <w:rPr>
          <w:spacing w:val="44"/>
        </w:rPr>
        <w:t> </w:t>
      </w:r>
      <w:r>
        <w:rPr/>
        <w:t>l’évolution</w:t>
      </w:r>
      <w:r>
        <w:rPr>
          <w:spacing w:val="43"/>
        </w:rPr>
        <w:t> </w:t>
      </w:r>
      <w:r>
        <w:rPr/>
        <w:t>de</w:t>
      </w:r>
      <w:r>
        <w:rPr>
          <w:spacing w:val="44"/>
        </w:rPr>
        <w:t> </w:t>
      </w:r>
      <w:r>
        <w:rPr/>
        <w:t>notre</w:t>
      </w:r>
      <w:r>
        <w:rPr>
          <w:spacing w:val="42"/>
        </w:rPr>
        <w:t> </w:t>
      </w:r>
      <w:r>
        <w:rPr/>
        <w:t>système</w:t>
      </w:r>
      <w:r>
        <w:rPr>
          <w:spacing w:val="44"/>
        </w:rPr>
        <w:t> </w:t>
      </w:r>
      <w:r>
        <w:rPr/>
        <w:t>de</w:t>
      </w:r>
      <w:r>
        <w:rPr>
          <w:spacing w:val="43"/>
        </w:rPr>
        <w:t> </w:t>
      </w:r>
      <w:r>
        <w:rPr/>
        <w:t>gestion</w:t>
      </w:r>
      <w:r>
        <w:rPr>
          <w:spacing w:val="41"/>
        </w:rPr>
        <w:t> </w:t>
      </w:r>
      <w:r>
        <w:rPr/>
        <w:t>politique,</w:t>
      </w:r>
      <w:r>
        <w:rPr>
          <w:spacing w:val="43"/>
        </w:rPr>
        <w:t> </w:t>
      </w:r>
      <w:r>
        <w:rPr>
          <w:spacing w:val="-2"/>
        </w:rPr>
        <w:t>institutionnelle,</w:t>
      </w:r>
    </w:p>
    <w:p>
      <w:pPr>
        <w:pStyle w:val="BodyText"/>
        <w:spacing w:after="0" w:line="274" w:lineRule="exact"/>
        <w:jc w:val="right"/>
        <w:sectPr>
          <w:pgSz w:w="11910" w:h="16840"/>
          <w:pgMar w:header="0" w:footer="680" w:top="1320" w:bottom="960" w:left="283" w:right="141"/>
        </w:sectPr>
      </w:pPr>
    </w:p>
    <w:p>
      <w:pPr>
        <w:pStyle w:val="BodyText"/>
        <w:spacing w:before="78"/>
        <w:ind w:right="1139" w:firstLine="0"/>
        <w:jc w:val="left"/>
      </w:pPr>
      <w:r>
        <w:rPr/>
        <w:t>économique, sociale et sécuritaire. Cette tendance confirme ainsi les conclusions</w:t>
      </w:r>
      <w:r>
        <w:rPr>
          <w:spacing w:val="-1"/>
        </w:rPr>
        <w:t> </w:t>
      </w:r>
      <w:r>
        <w:rPr/>
        <w:t>de l’ENP</w:t>
      </w:r>
      <w:r>
        <w:rPr>
          <w:spacing w:val="-1"/>
        </w:rPr>
        <w:t> </w:t>
      </w:r>
      <w:r>
        <w:rPr/>
        <w:t>Mali</w:t>
      </w:r>
      <w:r>
        <w:rPr>
          <w:spacing w:val="-2"/>
        </w:rPr>
        <w:t> </w:t>
      </w:r>
      <w:r>
        <w:rPr/>
        <w:t>2025 qui met en avant l’importance des variables politico-institutionnelles.</w:t>
      </w:r>
    </w:p>
    <w:p>
      <w:pPr>
        <w:pStyle w:val="ListParagraph"/>
        <w:numPr>
          <w:ilvl w:val="1"/>
          <w:numId w:val="1"/>
        </w:numPr>
        <w:tabs>
          <w:tab w:pos="1491" w:val="left" w:leader="none"/>
          <w:tab w:pos="1493" w:val="left" w:leader="none"/>
        </w:tabs>
        <w:spacing w:line="240" w:lineRule="auto" w:before="184" w:after="0"/>
        <w:ind w:left="1493" w:right="1131" w:hanging="360"/>
        <w:jc w:val="both"/>
        <w:rPr>
          <w:sz w:val="24"/>
        </w:rPr>
      </w:pPr>
      <w:r>
        <w:rPr>
          <w:sz w:val="24"/>
        </w:rPr>
        <w:t>L’analyse de la situation de la gouvernance fait apparaître des tendances lourdes comme l’instabilité des institutions, la déliquescence de la citoyenneté, la corruption, l’incapacité de l’économie à imprimer une croissance forte et soutenue, réductrice de la pauvreté, et la faiblesse de la</w:t>
      </w:r>
      <w:r>
        <w:rPr>
          <w:spacing w:val="40"/>
          <w:sz w:val="24"/>
        </w:rPr>
        <w:t> </w:t>
      </w:r>
      <w:r>
        <w:rPr>
          <w:sz w:val="24"/>
        </w:rPr>
        <w:t>planification. Cependant, des germes de changements</w:t>
      </w:r>
      <w:r>
        <w:rPr>
          <w:spacing w:val="-1"/>
          <w:sz w:val="24"/>
        </w:rPr>
        <w:t> </w:t>
      </w:r>
      <w:r>
        <w:rPr>
          <w:sz w:val="24"/>
        </w:rPr>
        <w:t>sont identifiés. Il s’agit</w:t>
      </w:r>
      <w:r>
        <w:rPr>
          <w:spacing w:val="-2"/>
          <w:sz w:val="24"/>
        </w:rPr>
        <w:t> </w:t>
      </w:r>
      <w:r>
        <w:rPr>
          <w:sz w:val="24"/>
        </w:rPr>
        <w:t>entre</w:t>
      </w:r>
      <w:r>
        <w:rPr>
          <w:spacing w:val="-1"/>
          <w:sz w:val="24"/>
        </w:rPr>
        <w:t> </w:t>
      </w:r>
      <w:r>
        <w:rPr>
          <w:sz w:val="24"/>
        </w:rPr>
        <w:t>autres de la</w:t>
      </w:r>
      <w:r>
        <w:rPr>
          <w:spacing w:val="-1"/>
          <w:sz w:val="24"/>
        </w:rPr>
        <w:t> </w:t>
      </w:r>
      <w:r>
        <w:rPr>
          <w:sz w:val="24"/>
        </w:rPr>
        <w:t>prise de conscience largement partagée de l’inefficacité de la pratique démocratique actuelle et du fait que le pays doit être le premier acteur de sa sécurité, de la nécessité d’un nouveau leadership de l’Etat qui restaure son autorité et prend en mains les leviers stratégiques du développement.</w:t>
      </w:r>
    </w:p>
    <w:p>
      <w:pPr>
        <w:pStyle w:val="ListParagraph"/>
        <w:numPr>
          <w:ilvl w:val="1"/>
          <w:numId w:val="1"/>
        </w:numPr>
        <w:tabs>
          <w:tab w:pos="1491" w:val="left" w:leader="none"/>
          <w:tab w:pos="1493" w:val="left" w:leader="none"/>
        </w:tabs>
        <w:spacing w:line="240" w:lineRule="auto" w:before="184" w:after="0"/>
        <w:ind w:left="1493" w:right="1138" w:hanging="360"/>
        <w:jc w:val="both"/>
        <w:rPr>
          <w:sz w:val="24"/>
        </w:rPr>
      </w:pPr>
      <w:r>
        <w:rPr>
          <w:sz w:val="24"/>
        </w:rPr>
        <w:t>Dans cette perspective, la Transition politique en cours apparait comme une période de ruptures et d’opportunités permettant de mettre le pays sur la voie du redressement et d’amorcer une nouvelle trajectoire de développement durable et inclusif.</w:t>
      </w:r>
    </w:p>
    <w:p>
      <w:pPr>
        <w:pStyle w:val="BodyText"/>
        <w:spacing w:before="1"/>
        <w:ind w:left="0" w:firstLine="0"/>
        <w:jc w:val="left"/>
      </w:pPr>
    </w:p>
    <w:p>
      <w:pPr>
        <w:pStyle w:val="Heading3"/>
        <w:spacing w:before="0"/>
      </w:pPr>
      <w:r>
        <w:rPr/>
        <w:t>Une</w:t>
      </w:r>
      <w:r>
        <w:rPr>
          <w:spacing w:val="-2"/>
        </w:rPr>
        <w:t> </w:t>
      </w:r>
      <w:r>
        <w:rPr/>
        <w:t>société</w:t>
      </w:r>
      <w:r>
        <w:rPr>
          <w:spacing w:val="-2"/>
        </w:rPr>
        <w:t> </w:t>
      </w:r>
      <w:r>
        <w:rPr/>
        <w:t>qui</w:t>
      </w:r>
      <w:r>
        <w:rPr>
          <w:spacing w:val="-3"/>
        </w:rPr>
        <w:t> </w:t>
      </w:r>
      <w:r>
        <w:rPr/>
        <w:t>perd</w:t>
      </w:r>
      <w:r>
        <w:rPr>
          <w:spacing w:val="-5"/>
        </w:rPr>
        <w:t> </w:t>
      </w:r>
      <w:r>
        <w:rPr/>
        <w:t>ses</w:t>
      </w:r>
      <w:r>
        <w:rPr>
          <w:spacing w:val="-2"/>
        </w:rPr>
        <w:t> </w:t>
      </w:r>
      <w:r>
        <w:rPr/>
        <w:t>repères</w:t>
      </w:r>
      <w:r>
        <w:rPr>
          <w:spacing w:val="-2"/>
        </w:rPr>
        <w:t> </w:t>
      </w:r>
      <w:r>
        <w:rPr/>
        <w:t>et</w:t>
      </w:r>
      <w:r>
        <w:rPr>
          <w:spacing w:val="-2"/>
        </w:rPr>
        <w:t> </w:t>
      </w:r>
      <w:r>
        <w:rPr/>
        <w:t>ses</w:t>
      </w:r>
      <w:r>
        <w:rPr>
          <w:spacing w:val="-3"/>
        </w:rPr>
        <w:t> </w:t>
      </w:r>
      <w:r>
        <w:rPr>
          <w:spacing w:val="-2"/>
        </w:rPr>
        <w:t>valeurs</w:t>
      </w:r>
    </w:p>
    <w:p>
      <w:pPr>
        <w:pStyle w:val="ListParagraph"/>
        <w:numPr>
          <w:ilvl w:val="1"/>
          <w:numId w:val="1"/>
        </w:numPr>
        <w:tabs>
          <w:tab w:pos="1491" w:val="left" w:leader="none"/>
          <w:tab w:pos="1493" w:val="left" w:leader="none"/>
        </w:tabs>
        <w:spacing w:line="240" w:lineRule="auto" w:before="183" w:after="0"/>
        <w:ind w:left="1493" w:right="1138" w:hanging="360"/>
        <w:jc w:val="both"/>
        <w:rPr>
          <w:sz w:val="24"/>
        </w:rPr>
      </w:pPr>
      <w:r>
        <w:rPr>
          <w:sz w:val="24"/>
        </w:rPr>
        <w:t>L'érosion des valeurs traditionnelles d'intégrité et de dignité constitue le premier défi dans la mobilisation de l’intelligence collective dans le pays. En effet, le développement des valeurs sociétales basées sur le fervent attachement de chaque individu à la patrie, mais aussi sur des normes éthiques élevées de probité, d’intégrité, d’équité et de justice sont à même d'asseoir la cohésion nationale et la paix sociale. Il s’agît aussi de cultiver au sein de l'administration et de la société les valeurs éthiques, un sens éthique aigu fait d'intégrité, de probité morale, et de respect du bien commun et ce en puisant dans les valeurs socioculturelles en voie de disparition.</w:t>
      </w:r>
    </w:p>
    <w:p>
      <w:pPr>
        <w:pStyle w:val="ListParagraph"/>
        <w:numPr>
          <w:ilvl w:val="1"/>
          <w:numId w:val="1"/>
        </w:numPr>
        <w:tabs>
          <w:tab w:pos="1491" w:val="left" w:leader="none"/>
          <w:tab w:pos="1493" w:val="left" w:leader="none"/>
        </w:tabs>
        <w:spacing w:line="240" w:lineRule="auto" w:before="185" w:after="0"/>
        <w:ind w:left="1493" w:right="1130" w:hanging="360"/>
        <w:jc w:val="both"/>
        <w:rPr>
          <w:sz w:val="24"/>
        </w:rPr>
      </w:pPr>
      <w:r>
        <w:rPr>
          <w:sz w:val="24"/>
        </w:rPr>
        <w:t>La mise en œuvre du Programme National d'Education aux Valeurs (PNEV) et son Plan d'actions 2024-2028</w:t>
      </w:r>
      <w:r>
        <w:rPr>
          <w:spacing w:val="-2"/>
          <w:sz w:val="24"/>
        </w:rPr>
        <w:t> </w:t>
      </w:r>
      <w:r>
        <w:rPr>
          <w:sz w:val="24"/>
        </w:rPr>
        <w:t>approuvés</w:t>
      </w:r>
      <w:r>
        <w:rPr>
          <w:spacing w:val="-2"/>
          <w:sz w:val="24"/>
        </w:rPr>
        <w:t> </w:t>
      </w:r>
      <w:r>
        <w:rPr>
          <w:sz w:val="24"/>
        </w:rPr>
        <w:t>par</w:t>
      </w:r>
      <w:r>
        <w:rPr>
          <w:spacing w:val="-1"/>
          <w:sz w:val="24"/>
        </w:rPr>
        <w:t> </w:t>
      </w:r>
      <w:r>
        <w:rPr>
          <w:sz w:val="24"/>
        </w:rPr>
        <w:t>Décret</w:t>
      </w:r>
      <w:r>
        <w:rPr>
          <w:spacing w:val="-2"/>
          <w:sz w:val="24"/>
        </w:rPr>
        <w:t> </w:t>
      </w:r>
      <w:r>
        <w:rPr>
          <w:sz w:val="24"/>
        </w:rPr>
        <w:t>n°2024-0060/PT-RM</w:t>
      </w:r>
      <w:r>
        <w:rPr>
          <w:spacing w:val="-4"/>
          <w:sz w:val="24"/>
        </w:rPr>
        <w:t> </w:t>
      </w:r>
      <w:r>
        <w:rPr>
          <w:sz w:val="24"/>
        </w:rPr>
        <w:t>du</w:t>
      </w:r>
      <w:r>
        <w:rPr>
          <w:spacing w:val="-2"/>
          <w:sz w:val="24"/>
        </w:rPr>
        <w:t> </w:t>
      </w:r>
      <w:r>
        <w:rPr>
          <w:sz w:val="24"/>
        </w:rPr>
        <w:t>31</w:t>
      </w:r>
      <w:r>
        <w:rPr>
          <w:spacing w:val="-1"/>
          <w:sz w:val="24"/>
        </w:rPr>
        <w:t> </w:t>
      </w:r>
      <w:r>
        <w:rPr>
          <w:sz w:val="24"/>
        </w:rPr>
        <w:t>janvier</w:t>
      </w:r>
      <w:r>
        <w:rPr>
          <w:spacing w:val="-2"/>
          <w:sz w:val="24"/>
        </w:rPr>
        <w:t> </w:t>
      </w:r>
      <w:r>
        <w:rPr>
          <w:sz w:val="24"/>
        </w:rPr>
        <w:t>2024</w:t>
      </w:r>
      <w:r>
        <w:rPr>
          <w:spacing w:val="-1"/>
          <w:sz w:val="24"/>
        </w:rPr>
        <w:t> </w:t>
      </w:r>
      <w:r>
        <w:rPr>
          <w:sz w:val="24"/>
        </w:rPr>
        <w:t>permettra la</w:t>
      </w:r>
      <w:r>
        <w:rPr>
          <w:spacing w:val="-2"/>
          <w:sz w:val="24"/>
        </w:rPr>
        <w:t> </w:t>
      </w:r>
      <w:r>
        <w:rPr>
          <w:sz w:val="24"/>
        </w:rPr>
        <w:t>reconstruction du citoyen malien, responsable, ressourcé, patriote et respectueux des institutions, travailleur consciencieux, ouvert d’esprit, qui aime la nature et œuvre pour le bien-être de tous, fervent acteur</w:t>
      </w:r>
      <w:r>
        <w:rPr>
          <w:spacing w:val="40"/>
          <w:sz w:val="24"/>
        </w:rPr>
        <w:t> </w:t>
      </w:r>
      <w:r>
        <w:rPr>
          <w:sz w:val="24"/>
        </w:rPr>
        <w:t>du progrès. Il vise à promouvoir une éducation civique morale et patriotique basée sur le respect des valeurs et la bonne gestion des affaires publiques.</w:t>
      </w:r>
    </w:p>
    <w:p>
      <w:pPr>
        <w:pStyle w:val="Heading3"/>
        <w:spacing w:before="183"/>
      </w:pPr>
      <w:r>
        <w:rPr/>
        <w:t>Economie</w:t>
      </w:r>
      <w:r>
        <w:rPr>
          <w:spacing w:val="-6"/>
        </w:rPr>
        <w:t> </w:t>
      </w:r>
      <w:r>
        <w:rPr/>
        <w:t>peu</w:t>
      </w:r>
      <w:r>
        <w:rPr>
          <w:spacing w:val="-3"/>
        </w:rPr>
        <w:t> </w:t>
      </w:r>
      <w:r>
        <w:rPr/>
        <w:t>industrialisée</w:t>
      </w:r>
      <w:r>
        <w:rPr>
          <w:spacing w:val="-3"/>
        </w:rPr>
        <w:t> </w:t>
      </w:r>
      <w:r>
        <w:rPr/>
        <w:t>et</w:t>
      </w:r>
      <w:r>
        <w:rPr>
          <w:spacing w:val="-3"/>
        </w:rPr>
        <w:t> </w:t>
      </w:r>
      <w:r>
        <w:rPr/>
        <w:t>un</w:t>
      </w:r>
      <w:r>
        <w:rPr>
          <w:spacing w:val="-4"/>
        </w:rPr>
        <w:t> </w:t>
      </w:r>
      <w:r>
        <w:rPr/>
        <w:t>potentiel</w:t>
      </w:r>
      <w:r>
        <w:rPr>
          <w:spacing w:val="-3"/>
        </w:rPr>
        <w:t> </w:t>
      </w:r>
      <w:r>
        <w:rPr/>
        <w:t>minier</w:t>
      </w:r>
      <w:r>
        <w:rPr>
          <w:spacing w:val="-3"/>
        </w:rPr>
        <w:t> </w:t>
      </w:r>
      <w:r>
        <w:rPr/>
        <w:t>insuffisamment</w:t>
      </w:r>
      <w:r>
        <w:rPr>
          <w:spacing w:val="-4"/>
        </w:rPr>
        <w:t> </w:t>
      </w:r>
      <w:r>
        <w:rPr>
          <w:spacing w:val="-2"/>
        </w:rPr>
        <w:t>exploité</w:t>
      </w:r>
    </w:p>
    <w:p>
      <w:pPr>
        <w:pStyle w:val="ListParagraph"/>
        <w:numPr>
          <w:ilvl w:val="1"/>
          <w:numId w:val="1"/>
        </w:numPr>
        <w:tabs>
          <w:tab w:pos="1491" w:val="left" w:leader="none"/>
          <w:tab w:pos="1493" w:val="left" w:leader="none"/>
        </w:tabs>
        <w:spacing w:line="240" w:lineRule="auto" w:before="183" w:after="0"/>
        <w:ind w:left="1493" w:right="1137" w:hanging="360"/>
        <w:jc w:val="both"/>
        <w:rPr>
          <w:sz w:val="24"/>
        </w:rPr>
      </w:pPr>
      <w:r>
        <w:rPr>
          <w:sz w:val="24"/>
        </w:rPr>
        <w:t>Le Mali est un pays à faible revenu avec une économie caractérisée par un faible niveau d’industrialisation, laissant des parts plus ou moins importantes pour les secteurs primaire et tertiaire dans son Produit Intérieur Brut (PIB). Cette économie est soumise à des facteurs de vulnérabilité qui retardent sa transformation structurelle et son développement. Les exportations sont peu diversifiées et concentrées sur un nombre très limité de produits tels que le coton, l’or et les produits agropastoraux non transformés. Les fluctuations dans la production locale de la plupart de ces produits d’exportation, au gré des aléas climatiques et naturels (pluviométrie, sécheresse, invasion acridienne, etc.), induisent une instabilité des recettes d’exportations.</w:t>
      </w:r>
    </w:p>
    <w:p>
      <w:pPr>
        <w:pStyle w:val="ListParagraph"/>
        <w:numPr>
          <w:ilvl w:val="1"/>
          <w:numId w:val="1"/>
        </w:numPr>
        <w:tabs>
          <w:tab w:pos="1491" w:val="left" w:leader="none"/>
          <w:tab w:pos="1493" w:val="left" w:leader="none"/>
        </w:tabs>
        <w:spacing w:line="240" w:lineRule="auto" w:before="186" w:after="0"/>
        <w:ind w:left="1493" w:right="1128" w:hanging="360"/>
        <w:jc w:val="both"/>
        <w:rPr>
          <w:sz w:val="24"/>
        </w:rPr>
      </w:pPr>
      <w:r>
        <w:rPr>
          <w:sz w:val="24"/>
        </w:rPr>
        <w:t>L’idée de faire du secteur minier, un des leviers de la croissance et du développement économique repose sur le potentiel minier du pays. En effet, le Mali dispose d’une richesse assez variée en substances</w:t>
      </w:r>
      <w:r>
        <w:rPr>
          <w:spacing w:val="80"/>
          <w:sz w:val="24"/>
        </w:rPr>
        <w:t> </w:t>
      </w:r>
      <w:r>
        <w:rPr>
          <w:sz w:val="24"/>
        </w:rPr>
        <w:t>minérales,</w:t>
      </w:r>
      <w:r>
        <w:rPr>
          <w:spacing w:val="80"/>
          <w:sz w:val="24"/>
        </w:rPr>
        <w:t> </w:t>
      </w:r>
      <w:r>
        <w:rPr>
          <w:sz w:val="24"/>
        </w:rPr>
        <w:t>avec</w:t>
      </w:r>
      <w:r>
        <w:rPr>
          <w:spacing w:val="80"/>
          <w:sz w:val="24"/>
        </w:rPr>
        <w:t> </w:t>
      </w:r>
      <w:r>
        <w:rPr>
          <w:sz w:val="24"/>
        </w:rPr>
        <w:t>des</w:t>
      </w:r>
      <w:r>
        <w:rPr>
          <w:spacing w:val="80"/>
          <w:sz w:val="24"/>
        </w:rPr>
        <w:t> </w:t>
      </w:r>
      <w:r>
        <w:rPr>
          <w:sz w:val="24"/>
        </w:rPr>
        <w:t>réserves</w:t>
      </w:r>
      <w:r>
        <w:rPr>
          <w:spacing w:val="80"/>
          <w:sz w:val="24"/>
        </w:rPr>
        <w:t> </w:t>
      </w:r>
      <w:r>
        <w:rPr>
          <w:sz w:val="24"/>
        </w:rPr>
        <w:t>importantes,</w:t>
      </w:r>
      <w:r>
        <w:rPr>
          <w:spacing w:val="80"/>
          <w:sz w:val="24"/>
        </w:rPr>
        <w:t> </w:t>
      </w:r>
      <w:r>
        <w:rPr>
          <w:sz w:val="24"/>
        </w:rPr>
        <w:t>mais</w:t>
      </w:r>
      <w:r>
        <w:rPr>
          <w:spacing w:val="80"/>
          <w:sz w:val="24"/>
        </w:rPr>
        <w:t> </w:t>
      </w:r>
      <w:r>
        <w:rPr>
          <w:sz w:val="24"/>
        </w:rPr>
        <w:t>peu</w:t>
      </w:r>
      <w:r>
        <w:rPr>
          <w:spacing w:val="80"/>
          <w:sz w:val="24"/>
        </w:rPr>
        <w:t> </w:t>
      </w:r>
      <w:r>
        <w:rPr>
          <w:sz w:val="24"/>
        </w:rPr>
        <w:t>exploitées</w:t>
      </w:r>
      <w:r>
        <w:rPr>
          <w:spacing w:val="80"/>
          <w:sz w:val="24"/>
        </w:rPr>
        <w:t> </w:t>
      </w:r>
      <w:r>
        <w:rPr>
          <w:sz w:val="24"/>
        </w:rPr>
        <w:t>et</w:t>
      </w:r>
      <w:r>
        <w:rPr>
          <w:spacing w:val="80"/>
          <w:sz w:val="24"/>
        </w:rPr>
        <w:t> </w:t>
      </w:r>
      <w:r>
        <w:rPr>
          <w:sz w:val="24"/>
        </w:rPr>
        <w:t>valorisées.</w:t>
      </w:r>
      <w:r>
        <w:rPr>
          <w:spacing w:val="80"/>
          <w:sz w:val="24"/>
        </w:rPr>
        <w:t> </w:t>
      </w:r>
      <w:r>
        <w:rPr>
          <w:sz w:val="24"/>
        </w:rPr>
        <w:t>La transformation structurelle de l’économie passera par le développement des chaines de valeurs agro-sylvo-pastorales et industrielles fondées sur la transformation et la valorisation des productions dans les filières porteuses.</w:t>
      </w:r>
    </w:p>
    <w:p>
      <w:pPr>
        <w:pStyle w:val="ListParagraph"/>
        <w:spacing w:after="0" w:line="240" w:lineRule="auto"/>
        <w:jc w:val="both"/>
        <w:rPr>
          <w:sz w:val="24"/>
        </w:rPr>
        <w:sectPr>
          <w:pgSz w:w="11910" w:h="16840"/>
          <w:pgMar w:header="0" w:footer="680" w:top="1320" w:bottom="960" w:left="283" w:right="141"/>
        </w:sectPr>
      </w:pPr>
    </w:p>
    <w:p>
      <w:pPr>
        <w:pStyle w:val="Heading3"/>
        <w:spacing w:before="78"/>
      </w:pPr>
      <w:r>
        <w:rPr/>
        <w:t>Capital</w:t>
      </w:r>
      <w:r>
        <w:rPr>
          <w:spacing w:val="-4"/>
        </w:rPr>
        <w:t> </w:t>
      </w:r>
      <w:r>
        <w:rPr/>
        <w:t>humain</w:t>
      </w:r>
      <w:r>
        <w:rPr>
          <w:spacing w:val="-2"/>
        </w:rPr>
        <w:t> </w:t>
      </w:r>
      <w:r>
        <w:rPr/>
        <w:t>peu</w:t>
      </w:r>
      <w:r>
        <w:rPr>
          <w:spacing w:val="-2"/>
        </w:rPr>
        <w:t> valorisé</w:t>
      </w:r>
    </w:p>
    <w:p>
      <w:pPr>
        <w:pStyle w:val="ListParagraph"/>
        <w:numPr>
          <w:ilvl w:val="1"/>
          <w:numId w:val="1"/>
        </w:numPr>
        <w:tabs>
          <w:tab w:pos="1491" w:val="left" w:leader="none"/>
          <w:tab w:pos="1493" w:val="left" w:leader="none"/>
        </w:tabs>
        <w:spacing w:line="240" w:lineRule="auto" w:before="183" w:after="0"/>
        <w:ind w:left="1493" w:right="1139" w:hanging="360"/>
        <w:jc w:val="both"/>
        <w:rPr>
          <w:sz w:val="24"/>
        </w:rPr>
      </w:pPr>
      <w:r>
        <w:rPr>
          <w:sz w:val="24"/>
        </w:rPr>
        <w:t>Le Mali compte encore très peu de structures sanitaires fonctionnelles, à peine 7 423 en 2021 pour plus de 20 millions d'habitants, soit environ 1 structure pour 2 700 habitants, avec une répartition géographique très inégale. Aussi, les ressources mobilisées par le système national de santé pour le financement des dépenses courantes de santé sont consacrées pour 17,28% aux produits pharmaceutiques.</w:t>
      </w:r>
      <w:r>
        <w:rPr>
          <w:spacing w:val="-1"/>
          <w:sz w:val="24"/>
        </w:rPr>
        <w:t> </w:t>
      </w:r>
      <w:r>
        <w:rPr>
          <w:sz w:val="24"/>
        </w:rPr>
        <w:t>Les soins curatifs représentent 61,31% des</w:t>
      </w:r>
      <w:r>
        <w:rPr>
          <w:spacing w:val="-2"/>
          <w:sz w:val="24"/>
        </w:rPr>
        <w:t> </w:t>
      </w:r>
      <w:r>
        <w:rPr>
          <w:sz w:val="24"/>
        </w:rPr>
        <w:t>dépenses courantes de santé en 2020 dont 39,03% pour les soins ambulatoires et 22,28% pour les soins hospitaliers. Les dépenses consacrées aux services de soins préventifs constituent 6,83% des dépenses courantes de santé en </w:t>
      </w:r>
      <w:r>
        <w:rPr>
          <w:spacing w:val="-2"/>
          <w:sz w:val="24"/>
        </w:rPr>
        <w:t>2020.</w:t>
      </w:r>
    </w:p>
    <w:p>
      <w:pPr>
        <w:pStyle w:val="ListParagraph"/>
        <w:numPr>
          <w:ilvl w:val="1"/>
          <w:numId w:val="1"/>
        </w:numPr>
        <w:tabs>
          <w:tab w:pos="1491" w:val="left" w:leader="none"/>
          <w:tab w:pos="1493" w:val="left" w:leader="none"/>
        </w:tabs>
        <w:spacing w:line="240" w:lineRule="auto" w:before="1" w:after="0"/>
        <w:ind w:left="1493" w:right="1131" w:hanging="360"/>
        <w:jc w:val="both"/>
        <w:rPr>
          <w:sz w:val="24"/>
        </w:rPr>
      </w:pPr>
      <w:r>
        <w:rPr>
          <w:sz w:val="24"/>
        </w:rPr>
        <w:t>Dans le domaine de la santé, les défis prioritaires identifiés concernent : la mortalité maternelle et infantile élevée, les maladies transmissibles et non transmissibles, les lacunes en matière de ressources humaines, ainsi que les insuffisances dans le financement et la gouvernance du système de</w:t>
      </w:r>
      <w:r>
        <w:rPr>
          <w:spacing w:val="-1"/>
          <w:sz w:val="24"/>
        </w:rPr>
        <w:t> </w:t>
      </w:r>
      <w:r>
        <w:rPr>
          <w:sz w:val="24"/>
        </w:rPr>
        <w:t>santé.</w:t>
      </w:r>
      <w:r>
        <w:rPr>
          <w:spacing w:val="-1"/>
          <w:sz w:val="24"/>
        </w:rPr>
        <w:t> </w:t>
      </w:r>
      <w:r>
        <w:rPr>
          <w:sz w:val="24"/>
        </w:rPr>
        <w:t>Une</w:t>
      </w:r>
      <w:r>
        <w:rPr>
          <w:spacing w:val="-1"/>
          <w:sz w:val="24"/>
        </w:rPr>
        <w:t> </w:t>
      </w:r>
      <w:r>
        <w:rPr>
          <w:sz w:val="24"/>
        </w:rPr>
        <w:t>approche</w:t>
      </w:r>
      <w:r>
        <w:rPr>
          <w:spacing w:val="-3"/>
          <w:sz w:val="24"/>
        </w:rPr>
        <w:t> </w:t>
      </w:r>
      <w:r>
        <w:rPr>
          <w:sz w:val="24"/>
        </w:rPr>
        <w:t>holistique</w:t>
      </w:r>
      <w:r>
        <w:rPr>
          <w:spacing w:val="-1"/>
          <w:sz w:val="24"/>
        </w:rPr>
        <w:t> </w:t>
      </w:r>
      <w:r>
        <w:rPr>
          <w:sz w:val="24"/>
        </w:rPr>
        <w:t>est</w:t>
      </w:r>
      <w:r>
        <w:rPr>
          <w:spacing w:val="-3"/>
          <w:sz w:val="24"/>
        </w:rPr>
        <w:t> </w:t>
      </w:r>
      <w:r>
        <w:rPr>
          <w:sz w:val="24"/>
        </w:rPr>
        <w:t>nécessaire</w:t>
      </w:r>
      <w:r>
        <w:rPr>
          <w:spacing w:val="-1"/>
          <w:sz w:val="24"/>
        </w:rPr>
        <w:t> </w:t>
      </w:r>
      <w:r>
        <w:rPr>
          <w:sz w:val="24"/>
        </w:rPr>
        <w:t>pour</w:t>
      </w:r>
      <w:r>
        <w:rPr>
          <w:spacing w:val="-1"/>
          <w:sz w:val="24"/>
        </w:rPr>
        <w:t> </w:t>
      </w:r>
      <w:r>
        <w:rPr>
          <w:sz w:val="24"/>
        </w:rPr>
        <w:t>renforcer</w:t>
      </w:r>
      <w:r>
        <w:rPr>
          <w:spacing w:val="-1"/>
          <w:sz w:val="24"/>
        </w:rPr>
        <w:t> </w:t>
      </w:r>
      <w:r>
        <w:rPr>
          <w:sz w:val="24"/>
        </w:rPr>
        <w:t>le</w:t>
      </w:r>
      <w:r>
        <w:rPr>
          <w:spacing w:val="-1"/>
          <w:sz w:val="24"/>
        </w:rPr>
        <w:t> </w:t>
      </w:r>
      <w:r>
        <w:rPr>
          <w:sz w:val="24"/>
        </w:rPr>
        <w:t>secteur</w:t>
      </w:r>
      <w:r>
        <w:rPr>
          <w:spacing w:val="-1"/>
          <w:sz w:val="24"/>
        </w:rPr>
        <w:t> </w:t>
      </w:r>
      <w:r>
        <w:rPr>
          <w:sz w:val="24"/>
        </w:rPr>
        <w:t>de</w:t>
      </w:r>
      <w:r>
        <w:rPr>
          <w:spacing w:val="-1"/>
          <w:sz w:val="24"/>
        </w:rPr>
        <w:t> </w:t>
      </w:r>
      <w:r>
        <w:rPr>
          <w:sz w:val="24"/>
        </w:rPr>
        <w:t>la</w:t>
      </w:r>
      <w:r>
        <w:rPr>
          <w:spacing w:val="-1"/>
          <w:sz w:val="24"/>
        </w:rPr>
        <w:t> </w:t>
      </w:r>
      <w:r>
        <w:rPr>
          <w:sz w:val="24"/>
        </w:rPr>
        <w:t>santé et</w:t>
      </w:r>
      <w:r>
        <w:rPr>
          <w:spacing w:val="-3"/>
          <w:sz w:val="24"/>
        </w:rPr>
        <w:t> </w:t>
      </w:r>
      <w:r>
        <w:rPr>
          <w:sz w:val="24"/>
        </w:rPr>
        <w:t>assurer</w:t>
      </w:r>
      <w:r>
        <w:rPr>
          <w:spacing w:val="-1"/>
          <w:sz w:val="24"/>
        </w:rPr>
        <w:t> </w:t>
      </w:r>
      <w:r>
        <w:rPr>
          <w:sz w:val="24"/>
        </w:rPr>
        <w:t>une réponse efficace aux besoins de la population.</w:t>
      </w:r>
    </w:p>
    <w:p>
      <w:pPr>
        <w:pStyle w:val="ListParagraph"/>
        <w:numPr>
          <w:ilvl w:val="1"/>
          <w:numId w:val="1"/>
        </w:numPr>
        <w:tabs>
          <w:tab w:pos="1491" w:val="left" w:leader="none"/>
          <w:tab w:pos="1493" w:val="left" w:leader="none"/>
        </w:tabs>
        <w:spacing w:line="240" w:lineRule="auto" w:before="186" w:after="0"/>
        <w:ind w:left="1493" w:right="1128" w:hanging="360"/>
        <w:jc w:val="both"/>
        <w:rPr>
          <w:sz w:val="24"/>
        </w:rPr>
      </w:pPr>
      <w:r>
        <w:rPr>
          <w:sz w:val="24"/>
        </w:rPr>
        <w:t>Dans le cadre de l’éducation, le pays s’est doté à partir de 2019, d’une deuxième génération du Programme Décennal de Développement de l’Education et la Formation Professionnelle (PRODEC) jusqu’à l’horizon 2028 dont les effets induits permettront à moyen et long terme de valoriser davantage les ressources humaines et de renforcer les acquis des programmes précédents fragilisés par la crise multidimensionnelle.</w:t>
      </w:r>
    </w:p>
    <w:p>
      <w:pPr>
        <w:pStyle w:val="ListParagraph"/>
        <w:numPr>
          <w:ilvl w:val="1"/>
          <w:numId w:val="1"/>
        </w:numPr>
        <w:tabs>
          <w:tab w:pos="1491" w:val="left" w:leader="none"/>
          <w:tab w:pos="1493" w:val="left" w:leader="none"/>
        </w:tabs>
        <w:spacing w:line="240" w:lineRule="auto" w:before="183" w:after="0"/>
        <w:ind w:left="1493" w:right="1128" w:hanging="360"/>
        <w:jc w:val="both"/>
        <w:rPr>
          <w:sz w:val="24"/>
        </w:rPr>
      </w:pPr>
      <w:r>
        <w:rPr>
          <w:sz w:val="24"/>
        </w:rPr>
        <w:t>Cependant, la mise en œuvre de ce programme impactée par le contexte politique, sanitaire et sécuritaire n’a pas permis de mettre en œuvre à souhait des réformes relatives à l’amélioration de la qualité et au renforcement de la gestion décentralisée de l’éducation de base. De fait, l’atteinte d’une éducation</w:t>
      </w:r>
      <w:r>
        <w:rPr>
          <w:spacing w:val="-1"/>
          <w:sz w:val="24"/>
        </w:rPr>
        <w:t> </w:t>
      </w:r>
      <w:r>
        <w:rPr>
          <w:sz w:val="24"/>
        </w:rPr>
        <w:t>de</w:t>
      </w:r>
      <w:r>
        <w:rPr>
          <w:spacing w:val="-1"/>
          <w:sz w:val="24"/>
        </w:rPr>
        <w:t> </w:t>
      </w:r>
      <w:r>
        <w:rPr>
          <w:sz w:val="24"/>
        </w:rPr>
        <w:t>qualité</w:t>
      </w:r>
      <w:r>
        <w:rPr>
          <w:spacing w:val="-1"/>
          <w:sz w:val="24"/>
        </w:rPr>
        <w:t> </w:t>
      </w:r>
      <w:r>
        <w:rPr>
          <w:sz w:val="24"/>
        </w:rPr>
        <w:t>pour</w:t>
      </w:r>
      <w:r>
        <w:rPr>
          <w:spacing w:val="-1"/>
          <w:sz w:val="24"/>
        </w:rPr>
        <w:t> </w:t>
      </w:r>
      <w:r>
        <w:rPr>
          <w:sz w:val="24"/>
        </w:rPr>
        <w:t>tous portée,</w:t>
      </w:r>
      <w:r>
        <w:rPr>
          <w:spacing w:val="-2"/>
          <w:sz w:val="24"/>
        </w:rPr>
        <w:t> </w:t>
      </w:r>
      <w:r>
        <w:rPr>
          <w:sz w:val="24"/>
        </w:rPr>
        <w:t>par</w:t>
      </w:r>
      <w:r>
        <w:rPr>
          <w:spacing w:val="-2"/>
          <w:sz w:val="24"/>
        </w:rPr>
        <w:t> </w:t>
      </w:r>
      <w:r>
        <w:rPr>
          <w:sz w:val="24"/>
        </w:rPr>
        <w:t>une véritable</w:t>
      </w:r>
      <w:r>
        <w:rPr>
          <w:spacing w:val="-2"/>
          <w:sz w:val="24"/>
        </w:rPr>
        <w:t> </w:t>
      </w:r>
      <w:r>
        <w:rPr>
          <w:sz w:val="24"/>
        </w:rPr>
        <w:t>stratégie d’adéquation</w:t>
      </w:r>
      <w:r>
        <w:rPr>
          <w:spacing w:val="-1"/>
          <w:sz w:val="24"/>
        </w:rPr>
        <w:t> </w:t>
      </w:r>
      <w:r>
        <w:rPr>
          <w:sz w:val="24"/>
        </w:rPr>
        <w:t>formation-emploi</w:t>
      </w:r>
      <w:r>
        <w:rPr>
          <w:spacing w:val="-2"/>
          <w:sz w:val="24"/>
        </w:rPr>
        <w:t> </w:t>
      </w:r>
      <w:r>
        <w:rPr>
          <w:sz w:val="24"/>
        </w:rPr>
        <w:t>reste encore une préoccupation majeure au regard des enjeux et défis nationaux, mais aussi des</w:t>
      </w:r>
      <w:r>
        <w:rPr>
          <w:spacing w:val="80"/>
          <w:sz w:val="24"/>
        </w:rPr>
        <w:t> </w:t>
      </w:r>
      <w:r>
        <w:rPr>
          <w:sz w:val="24"/>
        </w:rPr>
        <w:t>nouveaux engagements internationaux pris, par le Mali, notamment par rapport à l’Agenda 2030 des Nations Unies et l’Agenda 2063 de l’Union Africaine. La tenue des Etats Généraux de l’Education et les recommandations qui en sont issues attestent de la volonté de rupture et de redressement du système éducatif permettant de répondre à sa vocation première de former et de modeler un citoyen malien apte à relever les défis actuels et futurs du pays.</w:t>
      </w:r>
    </w:p>
    <w:p>
      <w:pPr>
        <w:pStyle w:val="Heading3"/>
      </w:pPr>
      <w:r>
        <w:rPr/>
        <w:t>Crises</w:t>
      </w:r>
      <w:r>
        <w:rPr>
          <w:spacing w:val="-5"/>
        </w:rPr>
        <w:t> </w:t>
      </w:r>
      <w:r>
        <w:rPr>
          <w:spacing w:val="-2"/>
        </w:rPr>
        <w:t>climatiques</w:t>
      </w:r>
    </w:p>
    <w:p>
      <w:pPr>
        <w:pStyle w:val="ListParagraph"/>
        <w:numPr>
          <w:ilvl w:val="1"/>
          <w:numId w:val="1"/>
        </w:numPr>
        <w:tabs>
          <w:tab w:pos="1491" w:val="left" w:leader="none"/>
          <w:tab w:pos="1493" w:val="left" w:leader="none"/>
        </w:tabs>
        <w:spacing w:line="240" w:lineRule="auto" w:before="183" w:after="0"/>
        <w:ind w:left="1493" w:right="1130" w:hanging="360"/>
        <w:jc w:val="both"/>
        <w:rPr>
          <w:sz w:val="24"/>
        </w:rPr>
      </w:pPr>
      <w:r>
        <w:rPr>
          <w:sz w:val="24"/>
        </w:rPr>
        <w:t>Les</w:t>
      </w:r>
      <w:r>
        <w:rPr>
          <w:spacing w:val="-3"/>
          <w:sz w:val="24"/>
        </w:rPr>
        <w:t> </w:t>
      </w:r>
      <w:r>
        <w:rPr>
          <w:sz w:val="24"/>
        </w:rPr>
        <w:t>différentes</w:t>
      </w:r>
      <w:r>
        <w:rPr>
          <w:spacing w:val="-3"/>
          <w:sz w:val="24"/>
        </w:rPr>
        <w:t> </w:t>
      </w:r>
      <w:r>
        <w:rPr>
          <w:sz w:val="24"/>
        </w:rPr>
        <w:t>études</w:t>
      </w:r>
      <w:r>
        <w:rPr>
          <w:spacing w:val="-3"/>
          <w:sz w:val="24"/>
        </w:rPr>
        <w:t> </w:t>
      </w:r>
      <w:r>
        <w:rPr>
          <w:sz w:val="24"/>
        </w:rPr>
        <w:t>réalisées</w:t>
      </w:r>
      <w:r>
        <w:rPr>
          <w:spacing w:val="-3"/>
          <w:sz w:val="24"/>
        </w:rPr>
        <w:t> </w:t>
      </w:r>
      <w:r>
        <w:rPr>
          <w:sz w:val="24"/>
        </w:rPr>
        <w:t>sur</w:t>
      </w:r>
      <w:r>
        <w:rPr>
          <w:spacing w:val="-2"/>
          <w:sz w:val="24"/>
        </w:rPr>
        <w:t> </w:t>
      </w:r>
      <w:r>
        <w:rPr>
          <w:sz w:val="24"/>
        </w:rPr>
        <w:t>les</w:t>
      </w:r>
      <w:r>
        <w:rPr>
          <w:spacing w:val="-2"/>
          <w:sz w:val="24"/>
        </w:rPr>
        <w:t> </w:t>
      </w:r>
      <w:r>
        <w:rPr>
          <w:sz w:val="24"/>
        </w:rPr>
        <w:t>changements</w:t>
      </w:r>
      <w:r>
        <w:rPr>
          <w:spacing w:val="-2"/>
          <w:sz w:val="24"/>
        </w:rPr>
        <w:t> </w:t>
      </w:r>
      <w:r>
        <w:rPr>
          <w:sz w:val="24"/>
        </w:rPr>
        <w:t>climatiques</w:t>
      </w:r>
      <w:r>
        <w:rPr>
          <w:spacing w:val="-3"/>
          <w:sz w:val="24"/>
        </w:rPr>
        <w:t> </w:t>
      </w:r>
      <w:r>
        <w:rPr>
          <w:sz w:val="24"/>
        </w:rPr>
        <w:t>au</w:t>
      </w:r>
      <w:r>
        <w:rPr>
          <w:spacing w:val="-2"/>
          <w:sz w:val="24"/>
        </w:rPr>
        <w:t> </w:t>
      </w:r>
      <w:r>
        <w:rPr>
          <w:sz w:val="24"/>
        </w:rPr>
        <w:t>Mali</w:t>
      </w:r>
      <w:r>
        <w:rPr>
          <w:spacing w:val="-3"/>
          <w:sz w:val="24"/>
        </w:rPr>
        <w:t> </w:t>
      </w:r>
      <w:r>
        <w:rPr>
          <w:sz w:val="24"/>
        </w:rPr>
        <w:t>montrent</w:t>
      </w:r>
      <w:r>
        <w:rPr>
          <w:spacing w:val="-4"/>
          <w:sz w:val="24"/>
        </w:rPr>
        <w:t> </w:t>
      </w:r>
      <w:r>
        <w:rPr>
          <w:sz w:val="24"/>
        </w:rPr>
        <w:t>que</w:t>
      </w:r>
      <w:r>
        <w:rPr>
          <w:spacing w:val="-2"/>
          <w:sz w:val="24"/>
        </w:rPr>
        <w:t> </w:t>
      </w:r>
      <w:r>
        <w:rPr>
          <w:sz w:val="24"/>
        </w:rPr>
        <w:t>les</w:t>
      </w:r>
      <w:r>
        <w:rPr>
          <w:spacing w:val="-5"/>
          <w:sz w:val="24"/>
        </w:rPr>
        <w:t> </w:t>
      </w:r>
      <w:r>
        <w:rPr>
          <w:sz w:val="24"/>
        </w:rPr>
        <w:t>principaux défis climatiques auxquels le pays est exposé sont, entre autres, les sécheresses, les inondations,</w:t>
      </w:r>
      <w:r>
        <w:rPr>
          <w:spacing w:val="40"/>
          <w:sz w:val="24"/>
        </w:rPr>
        <w:t> </w:t>
      </w:r>
      <w:r>
        <w:rPr>
          <w:sz w:val="24"/>
        </w:rPr>
        <w:t>les vents forts, les fortes variations de températures et les pollutions atmosphériques.</w:t>
      </w:r>
    </w:p>
    <w:p>
      <w:pPr>
        <w:pStyle w:val="ListParagraph"/>
        <w:numPr>
          <w:ilvl w:val="1"/>
          <w:numId w:val="1"/>
        </w:numPr>
        <w:tabs>
          <w:tab w:pos="1491" w:val="left" w:leader="none"/>
          <w:tab w:pos="1493" w:val="left" w:leader="none"/>
        </w:tabs>
        <w:spacing w:line="240" w:lineRule="auto" w:before="185" w:after="0"/>
        <w:ind w:left="1493" w:right="1134" w:hanging="360"/>
        <w:jc w:val="both"/>
        <w:rPr>
          <w:sz w:val="24"/>
        </w:rPr>
      </w:pPr>
      <w:r>
        <w:rPr>
          <w:sz w:val="24"/>
        </w:rPr>
        <w:t>La majorité des activités socio-économiques est d’ores et déjà entachée des impacts observés des changements climatiques. Il est à prévoir que ces impacts soient exacerbés dans le futur et constitueront ainsi des facteurs limitatifs pour le développement des régions cibles très sensibles aux variations de la pluviosité, où la plupart des ménages tirent 70 % de leurs revenus des secteurs de l’agriculture, de l’élevage, de la pêche et des forêts. Ils sont par conséquent les plus vulnérables aux effets des changements climatiques.</w:t>
      </w:r>
    </w:p>
    <w:p>
      <w:pPr>
        <w:pStyle w:val="Heading3"/>
        <w:numPr>
          <w:ilvl w:val="1"/>
          <w:numId w:val="7"/>
        </w:numPr>
        <w:tabs>
          <w:tab w:pos="1517" w:val="left" w:leader="none"/>
        </w:tabs>
        <w:spacing w:line="240" w:lineRule="auto" w:before="183" w:after="0"/>
        <w:ind w:left="1517" w:right="0" w:hanging="384"/>
        <w:jc w:val="left"/>
      </w:pPr>
      <w:bookmarkStart w:name="_bookmark7" w:id="8"/>
      <w:bookmarkEnd w:id="8"/>
      <w:r>
        <w:rPr>
          <w:b w:val="0"/>
        </w:rPr>
      </w:r>
      <w:r>
        <w:rPr>
          <w:color w:val="2E5395"/>
        </w:rPr>
        <w:t>Les</w:t>
      </w:r>
      <w:r>
        <w:rPr>
          <w:color w:val="2E5395"/>
          <w:spacing w:val="-4"/>
        </w:rPr>
        <w:t> </w:t>
      </w:r>
      <w:r>
        <w:rPr>
          <w:color w:val="2E5395"/>
        </w:rPr>
        <w:t>défis</w:t>
      </w:r>
      <w:r>
        <w:rPr>
          <w:color w:val="2E5395"/>
          <w:spacing w:val="-4"/>
        </w:rPr>
        <w:t> </w:t>
      </w:r>
      <w:r>
        <w:rPr>
          <w:color w:val="2E5395"/>
          <w:spacing w:val="-2"/>
        </w:rPr>
        <w:t>majeurs</w:t>
      </w:r>
    </w:p>
    <w:p>
      <w:pPr>
        <w:pStyle w:val="ListParagraph"/>
        <w:numPr>
          <w:ilvl w:val="1"/>
          <w:numId w:val="1"/>
        </w:numPr>
        <w:tabs>
          <w:tab w:pos="1491" w:val="left" w:leader="none"/>
          <w:tab w:pos="1493" w:val="left" w:leader="none"/>
        </w:tabs>
        <w:spacing w:line="240" w:lineRule="auto" w:before="183" w:after="0"/>
        <w:ind w:left="1493" w:right="1130" w:hanging="360"/>
        <w:jc w:val="both"/>
        <w:rPr>
          <w:sz w:val="24"/>
        </w:rPr>
      </w:pPr>
      <w:r>
        <w:rPr>
          <w:sz w:val="24"/>
        </w:rPr>
        <w:t>Les recommandations des ANR, les différentes enquêtes de perception des priorités de développement</w:t>
      </w:r>
      <w:r>
        <w:rPr>
          <w:spacing w:val="-3"/>
          <w:sz w:val="24"/>
        </w:rPr>
        <w:t> </w:t>
      </w:r>
      <w:r>
        <w:rPr>
          <w:sz w:val="24"/>
        </w:rPr>
        <w:t>et l’analyse</w:t>
      </w:r>
      <w:r>
        <w:rPr>
          <w:spacing w:val="-3"/>
          <w:sz w:val="24"/>
        </w:rPr>
        <w:t> </w:t>
      </w:r>
      <w:r>
        <w:rPr>
          <w:sz w:val="24"/>
        </w:rPr>
        <w:t>structurelle</w:t>
      </w:r>
      <w:r>
        <w:rPr>
          <w:spacing w:val="-3"/>
          <w:sz w:val="24"/>
        </w:rPr>
        <w:t> </w:t>
      </w:r>
      <w:r>
        <w:rPr>
          <w:sz w:val="24"/>
        </w:rPr>
        <w:t>permettent</w:t>
      </w:r>
      <w:r>
        <w:rPr>
          <w:spacing w:val="-3"/>
          <w:sz w:val="24"/>
        </w:rPr>
        <w:t> </w:t>
      </w:r>
      <w:r>
        <w:rPr>
          <w:sz w:val="24"/>
        </w:rPr>
        <w:t>d’identifier</w:t>
      </w:r>
      <w:r>
        <w:rPr>
          <w:spacing w:val="-2"/>
          <w:sz w:val="24"/>
        </w:rPr>
        <w:t> </w:t>
      </w:r>
      <w:r>
        <w:rPr>
          <w:sz w:val="24"/>
        </w:rPr>
        <w:t>les défis</w:t>
      </w:r>
      <w:r>
        <w:rPr>
          <w:spacing w:val="-1"/>
          <w:sz w:val="24"/>
        </w:rPr>
        <w:t> </w:t>
      </w:r>
      <w:r>
        <w:rPr>
          <w:sz w:val="24"/>
        </w:rPr>
        <w:t>majeurs de</w:t>
      </w:r>
      <w:r>
        <w:rPr>
          <w:spacing w:val="-5"/>
          <w:sz w:val="24"/>
        </w:rPr>
        <w:t> </w:t>
      </w:r>
      <w:r>
        <w:rPr>
          <w:sz w:val="24"/>
        </w:rPr>
        <w:t>développement</w:t>
      </w:r>
      <w:r>
        <w:rPr>
          <w:spacing w:val="-3"/>
          <w:sz w:val="24"/>
        </w:rPr>
        <w:t> </w:t>
      </w:r>
      <w:r>
        <w:rPr>
          <w:sz w:val="24"/>
        </w:rPr>
        <w:t>du </w:t>
      </w:r>
      <w:r>
        <w:rPr>
          <w:spacing w:val="-2"/>
          <w:sz w:val="24"/>
        </w:rPr>
        <w:t>Mali.</w:t>
      </w:r>
    </w:p>
    <w:p>
      <w:pPr>
        <w:pStyle w:val="ListParagraph"/>
        <w:spacing w:after="0" w:line="240" w:lineRule="auto"/>
        <w:jc w:val="both"/>
        <w:rPr>
          <w:sz w:val="24"/>
        </w:rPr>
        <w:sectPr>
          <w:pgSz w:w="11910" w:h="16840"/>
          <w:pgMar w:header="0" w:footer="680" w:top="1320" w:bottom="960" w:left="283" w:right="141"/>
        </w:sectPr>
      </w:pPr>
    </w:p>
    <w:p>
      <w:pPr>
        <w:pStyle w:val="Heading3"/>
        <w:spacing w:before="78"/>
      </w:pPr>
      <w:r>
        <w:rPr/>
        <w:t>La</w:t>
      </w:r>
      <w:r>
        <w:rPr>
          <w:spacing w:val="-2"/>
        </w:rPr>
        <w:t> </w:t>
      </w:r>
      <w:r>
        <w:rPr/>
        <w:t>gouvernance</w:t>
      </w:r>
      <w:r>
        <w:rPr>
          <w:spacing w:val="-4"/>
        </w:rPr>
        <w:t> </w:t>
      </w:r>
      <w:r>
        <w:rPr/>
        <w:t>au</w:t>
      </w:r>
      <w:r>
        <w:rPr>
          <w:spacing w:val="-2"/>
        </w:rPr>
        <w:t> </w:t>
      </w:r>
      <w:r>
        <w:rPr/>
        <w:t>cœur</w:t>
      </w:r>
      <w:r>
        <w:rPr>
          <w:spacing w:val="-4"/>
        </w:rPr>
        <w:t> </w:t>
      </w:r>
      <w:r>
        <w:rPr/>
        <w:t>de</w:t>
      </w:r>
      <w:r>
        <w:rPr>
          <w:spacing w:val="-2"/>
        </w:rPr>
        <w:t> </w:t>
      </w:r>
      <w:r>
        <w:rPr/>
        <w:t>la</w:t>
      </w:r>
      <w:r>
        <w:rPr>
          <w:spacing w:val="-1"/>
        </w:rPr>
        <w:t> </w:t>
      </w:r>
      <w:r>
        <w:rPr>
          <w:spacing w:val="-2"/>
        </w:rPr>
        <w:t>refondation</w:t>
      </w:r>
    </w:p>
    <w:p>
      <w:pPr>
        <w:pStyle w:val="ListParagraph"/>
        <w:numPr>
          <w:ilvl w:val="1"/>
          <w:numId w:val="1"/>
        </w:numPr>
        <w:tabs>
          <w:tab w:pos="1491" w:val="left" w:leader="none"/>
          <w:tab w:pos="1493" w:val="left" w:leader="none"/>
        </w:tabs>
        <w:spacing w:line="240" w:lineRule="auto" w:before="183" w:after="0"/>
        <w:ind w:left="1493" w:right="1139" w:hanging="360"/>
        <w:jc w:val="both"/>
        <w:rPr>
          <w:sz w:val="24"/>
        </w:rPr>
      </w:pPr>
      <w:r>
        <w:rPr>
          <w:sz w:val="24"/>
        </w:rPr>
        <w:t>La tenue des ANR visait à diagnostiquer et faire des propositions pour améliorer le système malien</w:t>
      </w:r>
      <w:r>
        <w:rPr>
          <w:spacing w:val="40"/>
          <w:sz w:val="24"/>
        </w:rPr>
        <w:t> </w:t>
      </w:r>
      <w:r>
        <w:rPr>
          <w:sz w:val="24"/>
        </w:rPr>
        <w:t>de gouvernance afin de consolider la pratique démocratique. Ainsi, le dialogue, le compromis, le pacte comme méthode de gouvernement et pierre angulaire des rapports entre gouvernants et gouvernés sont indispensables.</w:t>
      </w:r>
    </w:p>
    <w:p>
      <w:pPr>
        <w:pStyle w:val="ListParagraph"/>
        <w:numPr>
          <w:ilvl w:val="1"/>
          <w:numId w:val="1"/>
        </w:numPr>
        <w:tabs>
          <w:tab w:pos="1491" w:val="left" w:leader="none"/>
          <w:tab w:pos="1493" w:val="left" w:leader="none"/>
        </w:tabs>
        <w:spacing w:line="240" w:lineRule="auto" w:before="185" w:after="0"/>
        <w:ind w:left="1493" w:right="1126" w:hanging="360"/>
        <w:jc w:val="both"/>
        <w:rPr>
          <w:sz w:val="24"/>
        </w:rPr>
      </w:pPr>
      <w:r>
        <w:rPr>
          <w:sz w:val="24"/>
        </w:rPr>
        <w:t>Par ailleurs, le manque de vision sociale et l'absence de programmes politiques clairs tant dans les partis politiques que dans la société civile ou l'impunité, ou encore la réalité d'une justice sociale défaillante, sont autant de maux de notre système de gouvernance. La refondation de la</w:t>
      </w:r>
      <w:r>
        <w:rPr>
          <w:spacing w:val="80"/>
          <w:sz w:val="24"/>
        </w:rPr>
        <w:t> </w:t>
      </w:r>
      <w:r>
        <w:rPr>
          <w:sz w:val="24"/>
        </w:rPr>
        <w:t>gouvernance dans toutes ses dimensions apparait dès</w:t>
      </w:r>
      <w:r>
        <w:rPr>
          <w:spacing w:val="-1"/>
          <w:sz w:val="24"/>
        </w:rPr>
        <w:t> </w:t>
      </w:r>
      <w:r>
        <w:rPr>
          <w:sz w:val="24"/>
        </w:rPr>
        <w:t>lors comme un impératif pour espérer réaliser les changements et résultats escomptés dans l’action publique.</w:t>
      </w:r>
    </w:p>
    <w:p>
      <w:pPr>
        <w:pStyle w:val="Heading3"/>
        <w:ind w:right="1139"/>
      </w:pPr>
      <w:r>
        <w:rPr/>
        <w:t>Une Economie essentiellement portée par les secteurs primaire et tertiaire, peu diversifiée, mais avec une grande capacité de résilience à l’épreuve des crises multiples :</w:t>
      </w:r>
    </w:p>
    <w:p>
      <w:pPr>
        <w:pStyle w:val="ListParagraph"/>
        <w:numPr>
          <w:ilvl w:val="1"/>
          <w:numId w:val="1"/>
        </w:numPr>
        <w:tabs>
          <w:tab w:pos="1491" w:val="left" w:leader="none"/>
          <w:tab w:pos="1493" w:val="left" w:leader="none"/>
        </w:tabs>
        <w:spacing w:line="240" w:lineRule="auto" w:before="184" w:after="0"/>
        <w:ind w:left="1493" w:right="1138" w:hanging="360"/>
        <w:jc w:val="both"/>
        <w:rPr>
          <w:sz w:val="24"/>
        </w:rPr>
      </w:pPr>
      <w:r>
        <w:rPr>
          <w:sz w:val="24"/>
        </w:rPr>
        <w:t>L’économie malienne a structurellement peu évolué. Elle est caractérisée par la prépondérance des secteurs</w:t>
      </w:r>
      <w:r>
        <w:rPr>
          <w:spacing w:val="-1"/>
          <w:sz w:val="24"/>
        </w:rPr>
        <w:t> </w:t>
      </w:r>
      <w:r>
        <w:rPr>
          <w:sz w:val="24"/>
        </w:rPr>
        <w:t>primaire et tertiaire dans la création de richesse. Le secteur secondaire contribue très peu à la formation du PIB (autour de 20%) et la situation s’aggrave avec le secteur manufacturier qui contribue seulement pour environ 6%. En d’autres termes, c’est une économie peu transformatrice, peu industrialisée.</w:t>
      </w:r>
    </w:p>
    <w:p>
      <w:pPr>
        <w:pStyle w:val="ListParagraph"/>
        <w:numPr>
          <w:ilvl w:val="1"/>
          <w:numId w:val="1"/>
        </w:numPr>
        <w:tabs>
          <w:tab w:pos="1491" w:val="left" w:leader="none"/>
          <w:tab w:pos="1493" w:val="left" w:leader="none"/>
        </w:tabs>
        <w:spacing w:line="240" w:lineRule="auto" w:before="183" w:after="0"/>
        <w:ind w:left="1493" w:right="1132" w:hanging="360"/>
        <w:jc w:val="both"/>
        <w:rPr>
          <w:sz w:val="24"/>
        </w:rPr>
      </w:pPr>
      <w:r>
        <w:rPr>
          <w:sz w:val="24"/>
        </w:rPr>
        <w:t>La croissance économique, portée essentiellement par les secteurs primaire et tertiaire, est caractérisée par son instabilité, le taux de croissance alternant des hausses et des baisses d’une période à l’autre.</w:t>
      </w:r>
      <w:r>
        <w:rPr>
          <w:spacing w:val="40"/>
          <w:sz w:val="24"/>
        </w:rPr>
        <w:t> </w:t>
      </w:r>
      <w:r>
        <w:rPr>
          <w:sz w:val="24"/>
        </w:rPr>
        <w:t>C’est une croissance dont l’inclusivité demande à être accrue pour arriver à une réduction significative de la pauvreté qui reste encore élevée et pour permettre de créer des emplois décents. Le taux de croissance moyen du PIB de l’ordre de 5% atteste cependant de la grande capacité de résilience dont le pays fait montre en dépit de la crise multidimensionnelle de plus d’une décennie qu’il traverse, notamment la crise sécuritaire, la Covid 19, les sanctions de la CEDEAO/UEMOA, la crise Ukrainienne, etc.</w:t>
      </w:r>
    </w:p>
    <w:p>
      <w:pPr>
        <w:pStyle w:val="Heading3"/>
        <w:spacing w:before="185"/>
        <w:ind w:right="1139"/>
      </w:pPr>
      <w:r>
        <w:rPr/>
        <w:t>Les infrastructures économiques demeurent encore insuffisantes pour assurer un maillage optimal du territoire en dépit du potentiel existant</w:t>
      </w:r>
    </w:p>
    <w:p>
      <w:pPr>
        <w:pStyle w:val="ListParagraph"/>
        <w:numPr>
          <w:ilvl w:val="1"/>
          <w:numId w:val="1"/>
        </w:numPr>
        <w:tabs>
          <w:tab w:pos="1491" w:val="left" w:leader="none"/>
        </w:tabs>
        <w:spacing w:line="240" w:lineRule="auto" w:before="183" w:after="0"/>
        <w:ind w:left="1491" w:right="0" w:hanging="358"/>
        <w:jc w:val="left"/>
        <w:rPr>
          <w:sz w:val="24"/>
        </w:rPr>
      </w:pPr>
      <w:r>
        <w:rPr>
          <w:sz w:val="24"/>
        </w:rPr>
        <w:t>Le</w:t>
      </w:r>
      <w:r>
        <w:rPr>
          <w:spacing w:val="2"/>
          <w:sz w:val="24"/>
        </w:rPr>
        <w:t> </w:t>
      </w:r>
      <w:r>
        <w:rPr>
          <w:sz w:val="24"/>
        </w:rPr>
        <w:t>déploiement</w:t>
      </w:r>
      <w:r>
        <w:rPr>
          <w:spacing w:val="4"/>
          <w:sz w:val="24"/>
        </w:rPr>
        <w:t> </w:t>
      </w:r>
      <w:r>
        <w:rPr>
          <w:sz w:val="24"/>
        </w:rPr>
        <w:t>et</w:t>
      </w:r>
      <w:r>
        <w:rPr>
          <w:spacing w:val="6"/>
          <w:sz w:val="24"/>
        </w:rPr>
        <w:t> </w:t>
      </w:r>
      <w:r>
        <w:rPr>
          <w:sz w:val="24"/>
        </w:rPr>
        <w:t>le</w:t>
      </w:r>
      <w:r>
        <w:rPr>
          <w:spacing w:val="6"/>
          <w:sz w:val="24"/>
        </w:rPr>
        <w:t> </w:t>
      </w:r>
      <w:r>
        <w:rPr>
          <w:sz w:val="24"/>
        </w:rPr>
        <w:t>renforcement</w:t>
      </w:r>
      <w:r>
        <w:rPr>
          <w:spacing w:val="4"/>
          <w:sz w:val="24"/>
        </w:rPr>
        <w:t> </w:t>
      </w:r>
      <w:r>
        <w:rPr>
          <w:sz w:val="24"/>
        </w:rPr>
        <w:t>des</w:t>
      </w:r>
      <w:r>
        <w:rPr>
          <w:spacing w:val="3"/>
          <w:sz w:val="24"/>
        </w:rPr>
        <w:t> </w:t>
      </w:r>
      <w:r>
        <w:rPr>
          <w:sz w:val="24"/>
        </w:rPr>
        <w:t>infrastructures</w:t>
      </w:r>
      <w:r>
        <w:rPr>
          <w:spacing w:val="2"/>
          <w:sz w:val="24"/>
        </w:rPr>
        <w:t> </w:t>
      </w:r>
      <w:r>
        <w:rPr>
          <w:sz w:val="24"/>
        </w:rPr>
        <w:t>de</w:t>
      </w:r>
      <w:r>
        <w:rPr>
          <w:spacing w:val="4"/>
          <w:sz w:val="24"/>
        </w:rPr>
        <w:t> </w:t>
      </w:r>
      <w:r>
        <w:rPr>
          <w:sz w:val="24"/>
        </w:rPr>
        <w:t>transports,</w:t>
      </w:r>
      <w:r>
        <w:rPr>
          <w:spacing w:val="4"/>
          <w:sz w:val="24"/>
        </w:rPr>
        <w:t> </w:t>
      </w:r>
      <w:r>
        <w:rPr>
          <w:sz w:val="24"/>
        </w:rPr>
        <w:t>d’énergie</w:t>
      </w:r>
      <w:r>
        <w:rPr>
          <w:spacing w:val="4"/>
          <w:sz w:val="24"/>
        </w:rPr>
        <w:t> </w:t>
      </w:r>
      <w:r>
        <w:rPr>
          <w:sz w:val="24"/>
        </w:rPr>
        <w:t>et</w:t>
      </w:r>
      <w:r>
        <w:rPr>
          <w:spacing w:val="2"/>
          <w:sz w:val="24"/>
        </w:rPr>
        <w:t> </w:t>
      </w:r>
      <w:r>
        <w:rPr>
          <w:sz w:val="24"/>
        </w:rPr>
        <w:t>de</w:t>
      </w:r>
      <w:r>
        <w:rPr>
          <w:spacing w:val="7"/>
          <w:sz w:val="24"/>
        </w:rPr>
        <w:t> </w:t>
      </w:r>
      <w:r>
        <w:rPr>
          <w:spacing w:val="-2"/>
          <w:sz w:val="24"/>
        </w:rPr>
        <w:t>communications</w:t>
      </w:r>
    </w:p>
    <w:p>
      <w:pPr>
        <w:pStyle w:val="BodyText"/>
        <w:spacing w:before="1"/>
        <w:ind w:left="72" w:right="2500" w:firstLine="0"/>
        <w:jc w:val="center"/>
      </w:pPr>
      <w:r>
        <w:rPr/>
        <w:t>sont</w:t>
      </w:r>
      <w:r>
        <w:rPr>
          <w:spacing w:val="-7"/>
        </w:rPr>
        <w:t> </w:t>
      </w:r>
      <w:r>
        <w:rPr/>
        <w:t>indispensables</w:t>
      </w:r>
      <w:r>
        <w:rPr>
          <w:spacing w:val="-5"/>
        </w:rPr>
        <w:t> </w:t>
      </w:r>
      <w:r>
        <w:rPr/>
        <w:t>pour</w:t>
      </w:r>
      <w:r>
        <w:rPr>
          <w:spacing w:val="-4"/>
        </w:rPr>
        <w:t> </w:t>
      </w:r>
      <w:r>
        <w:rPr/>
        <w:t>soutenir</w:t>
      </w:r>
      <w:r>
        <w:rPr>
          <w:spacing w:val="-7"/>
        </w:rPr>
        <w:t> </w:t>
      </w:r>
      <w:r>
        <w:rPr/>
        <w:t>les</w:t>
      </w:r>
      <w:r>
        <w:rPr>
          <w:spacing w:val="-6"/>
        </w:rPr>
        <w:t> </w:t>
      </w:r>
      <w:r>
        <w:rPr/>
        <w:t>filières</w:t>
      </w:r>
      <w:r>
        <w:rPr>
          <w:spacing w:val="-4"/>
        </w:rPr>
        <w:t> </w:t>
      </w:r>
      <w:r>
        <w:rPr/>
        <w:t>économiques</w:t>
      </w:r>
      <w:r>
        <w:rPr>
          <w:spacing w:val="-5"/>
        </w:rPr>
        <w:t> </w:t>
      </w:r>
      <w:r>
        <w:rPr>
          <w:spacing w:val="-2"/>
        </w:rPr>
        <w:t>porteuses.</w:t>
      </w:r>
    </w:p>
    <w:p>
      <w:pPr>
        <w:pStyle w:val="ListParagraph"/>
        <w:numPr>
          <w:ilvl w:val="1"/>
          <w:numId w:val="1"/>
        </w:numPr>
        <w:tabs>
          <w:tab w:pos="1491" w:val="left" w:leader="none"/>
          <w:tab w:pos="1493" w:val="left" w:leader="none"/>
        </w:tabs>
        <w:spacing w:line="240" w:lineRule="auto" w:before="183" w:after="0"/>
        <w:ind w:left="1493" w:right="1127" w:hanging="360"/>
        <w:jc w:val="both"/>
        <w:rPr>
          <w:sz w:val="24"/>
        </w:rPr>
      </w:pPr>
      <w:r>
        <w:rPr>
          <w:sz w:val="24"/>
        </w:rPr>
        <w:t>Le Mali est, selon l'indice de compétitivité des infrastructures, classé 118</w:t>
      </w:r>
      <w:r>
        <w:rPr>
          <w:position w:val="6"/>
          <w:sz w:val="16"/>
        </w:rPr>
        <w:t>ème</w:t>
      </w:r>
      <w:r>
        <w:rPr>
          <w:spacing w:val="40"/>
          <w:position w:val="6"/>
          <w:sz w:val="16"/>
        </w:rPr>
        <w:t> </w:t>
      </w:r>
      <w:r>
        <w:rPr>
          <w:sz w:val="24"/>
        </w:rPr>
        <w:t>sur 137 pays classés avec un score moyen de 2.7 contre une moyenne attendue de 4 points. Parmi ces infrastructures, celles de transport occupent une place de choix, compte tenu justement de la position géographique du</w:t>
      </w:r>
      <w:r>
        <w:rPr>
          <w:spacing w:val="52"/>
          <w:sz w:val="24"/>
        </w:rPr>
        <w:t> </w:t>
      </w:r>
      <w:r>
        <w:rPr>
          <w:sz w:val="24"/>
        </w:rPr>
        <w:t>pays,</w:t>
      </w:r>
      <w:r>
        <w:rPr>
          <w:spacing w:val="51"/>
          <w:sz w:val="24"/>
        </w:rPr>
        <w:t> </w:t>
      </w:r>
      <w:r>
        <w:rPr>
          <w:sz w:val="24"/>
        </w:rPr>
        <w:t>enclavé</w:t>
      </w:r>
      <w:r>
        <w:rPr>
          <w:spacing w:val="52"/>
          <w:sz w:val="24"/>
        </w:rPr>
        <w:t> </w:t>
      </w:r>
      <w:r>
        <w:rPr>
          <w:sz w:val="24"/>
        </w:rPr>
        <w:t>et</w:t>
      </w:r>
      <w:r>
        <w:rPr>
          <w:spacing w:val="51"/>
          <w:sz w:val="24"/>
        </w:rPr>
        <w:t> </w:t>
      </w:r>
      <w:r>
        <w:rPr>
          <w:sz w:val="24"/>
        </w:rPr>
        <w:t>frontalier</w:t>
      </w:r>
      <w:r>
        <w:rPr>
          <w:spacing w:val="40"/>
          <w:sz w:val="24"/>
        </w:rPr>
        <w:t> </w:t>
      </w:r>
      <w:r>
        <w:rPr>
          <w:sz w:val="24"/>
        </w:rPr>
        <w:t>de</w:t>
      </w:r>
      <w:r>
        <w:rPr>
          <w:spacing w:val="52"/>
          <w:sz w:val="24"/>
        </w:rPr>
        <w:t> </w:t>
      </w:r>
      <w:r>
        <w:rPr>
          <w:sz w:val="24"/>
        </w:rPr>
        <w:t>7</w:t>
      </w:r>
      <w:r>
        <w:rPr>
          <w:spacing w:val="52"/>
          <w:sz w:val="24"/>
        </w:rPr>
        <w:t> </w:t>
      </w:r>
      <w:r>
        <w:rPr>
          <w:sz w:val="24"/>
        </w:rPr>
        <w:t>autres</w:t>
      </w:r>
      <w:r>
        <w:rPr>
          <w:spacing w:val="51"/>
          <w:sz w:val="24"/>
        </w:rPr>
        <w:t> </w:t>
      </w:r>
      <w:r>
        <w:rPr>
          <w:sz w:val="24"/>
        </w:rPr>
        <w:t>Etats,</w:t>
      </w:r>
      <w:r>
        <w:rPr>
          <w:spacing w:val="52"/>
          <w:sz w:val="24"/>
        </w:rPr>
        <w:t> </w:t>
      </w:r>
      <w:r>
        <w:rPr>
          <w:sz w:val="24"/>
        </w:rPr>
        <w:t>sur</w:t>
      </w:r>
      <w:r>
        <w:rPr>
          <w:spacing w:val="40"/>
          <w:sz w:val="24"/>
        </w:rPr>
        <w:t> </w:t>
      </w:r>
      <w:r>
        <w:rPr>
          <w:sz w:val="24"/>
        </w:rPr>
        <w:t>plus</w:t>
      </w:r>
      <w:r>
        <w:rPr>
          <w:spacing w:val="51"/>
          <w:sz w:val="24"/>
        </w:rPr>
        <w:t> </w:t>
      </w:r>
      <w:r>
        <w:rPr>
          <w:sz w:val="24"/>
        </w:rPr>
        <w:t>de</w:t>
      </w:r>
      <w:r>
        <w:rPr>
          <w:spacing w:val="52"/>
          <w:sz w:val="24"/>
        </w:rPr>
        <w:t> </w:t>
      </w:r>
      <w:r>
        <w:rPr>
          <w:sz w:val="24"/>
        </w:rPr>
        <w:t>7000</w:t>
      </w:r>
      <w:r>
        <w:rPr>
          <w:spacing w:val="52"/>
          <w:sz w:val="24"/>
        </w:rPr>
        <w:t> </w:t>
      </w:r>
      <w:r>
        <w:rPr>
          <w:sz w:val="24"/>
        </w:rPr>
        <w:t>km</w:t>
      </w:r>
      <w:r>
        <w:rPr>
          <w:spacing w:val="40"/>
          <w:sz w:val="24"/>
        </w:rPr>
        <w:t> </w:t>
      </w:r>
      <w:r>
        <w:rPr>
          <w:sz w:val="24"/>
        </w:rPr>
        <w:t>pour</w:t>
      </w:r>
      <w:r>
        <w:rPr>
          <w:spacing w:val="40"/>
          <w:sz w:val="24"/>
        </w:rPr>
        <w:t> </w:t>
      </w:r>
      <w:r>
        <w:rPr>
          <w:sz w:val="24"/>
        </w:rPr>
        <w:t>une</w:t>
      </w:r>
      <w:r>
        <w:rPr>
          <w:spacing w:val="52"/>
          <w:sz w:val="24"/>
        </w:rPr>
        <w:t> </w:t>
      </w:r>
      <w:r>
        <w:rPr>
          <w:sz w:val="24"/>
        </w:rPr>
        <w:t>superficie</w:t>
      </w:r>
      <w:r>
        <w:rPr>
          <w:spacing w:val="52"/>
          <w:sz w:val="24"/>
        </w:rPr>
        <w:t> </w:t>
      </w:r>
      <w:r>
        <w:rPr>
          <w:sz w:val="24"/>
        </w:rPr>
        <w:t>de 1 241 238 km</w:t>
      </w:r>
      <w:r>
        <w:rPr>
          <w:position w:val="6"/>
          <w:sz w:val="16"/>
        </w:rPr>
        <w:t>2</w:t>
      </w:r>
      <w:r>
        <w:rPr>
          <w:sz w:val="24"/>
        </w:rPr>
        <w:t>, ce sont les</w:t>
      </w:r>
      <w:r>
        <w:rPr>
          <w:spacing w:val="-2"/>
          <w:sz w:val="24"/>
        </w:rPr>
        <w:t> </w:t>
      </w:r>
      <w:r>
        <w:rPr>
          <w:sz w:val="24"/>
        </w:rPr>
        <w:t>routes, les transports ferroviaire, fluvial et aéroportuaire qui permettront le désenclavement intérieur et extérieur du pays en vue de son développement équilibré.</w:t>
      </w:r>
    </w:p>
    <w:p>
      <w:pPr>
        <w:pStyle w:val="Heading3"/>
        <w:ind w:left="5" w:right="2505"/>
        <w:jc w:val="center"/>
      </w:pPr>
      <w:r>
        <w:rPr/>
        <w:t>Le</w:t>
      </w:r>
      <w:r>
        <w:rPr>
          <w:spacing w:val="-2"/>
        </w:rPr>
        <w:t> </w:t>
      </w:r>
      <w:r>
        <w:rPr/>
        <w:t>défi</w:t>
      </w:r>
      <w:r>
        <w:rPr>
          <w:spacing w:val="-3"/>
        </w:rPr>
        <w:t> </w:t>
      </w:r>
      <w:r>
        <w:rPr/>
        <w:t>climatique</w:t>
      </w:r>
      <w:r>
        <w:rPr>
          <w:spacing w:val="-3"/>
        </w:rPr>
        <w:t> </w:t>
      </w:r>
      <w:r>
        <w:rPr/>
        <w:t>reste</w:t>
      </w:r>
      <w:r>
        <w:rPr>
          <w:spacing w:val="-5"/>
        </w:rPr>
        <w:t> </w:t>
      </w:r>
      <w:r>
        <w:rPr/>
        <w:t>une</w:t>
      </w:r>
      <w:r>
        <w:rPr>
          <w:spacing w:val="-2"/>
        </w:rPr>
        <w:t> </w:t>
      </w:r>
      <w:r>
        <w:rPr/>
        <w:t>équation</w:t>
      </w:r>
      <w:r>
        <w:rPr>
          <w:spacing w:val="-1"/>
        </w:rPr>
        <w:t> </w:t>
      </w:r>
      <w:r>
        <w:rPr/>
        <w:t>à</w:t>
      </w:r>
      <w:r>
        <w:rPr>
          <w:spacing w:val="-4"/>
        </w:rPr>
        <w:t> </w:t>
      </w:r>
      <w:r>
        <w:rPr/>
        <w:t>plusieurs</w:t>
      </w:r>
      <w:r>
        <w:rPr>
          <w:spacing w:val="-1"/>
        </w:rPr>
        <w:t> </w:t>
      </w:r>
      <w:r>
        <w:rPr>
          <w:spacing w:val="-2"/>
        </w:rPr>
        <w:t>dimensions</w:t>
      </w:r>
    </w:p>
    <w:p>
      <w:pPr>
        <w:pStyle w:val="ListParagraph"/>
        <w:numPr>
          <w:ilvl w:val="1"/>
          <w:numId w:val="1"/>
        </w:numPr>
        <w:tabs>
          <w:tab w:pos="1491" w:val="left" w:leader="none"/>
          <w:tab w:pos="1493" w:val="left" w:leader="none"/>
        </w:tabs>
        <w:spacing w:line="240" w:lineRule="auto" w:before="183" w:after="0"/>
        <w:ind w:left="1493" w:right="1132" w:hanging="360"/>
        <w:jc w:val="both"/>
        <w:rPr>
          <w:sz w:val="24"/>
        </w:rPr>
      </w:pPr>
      <w:r>
        <w:rPr>
          <w:sz w:val="24"/>
        </w:rPr>
        <w:t>Le Sahel, selon le Groupe intergouvernemental sur l'évolution du climat, est l'une des régions du monde les plus vulnérables aux effets du changement climatique, du fait de la pauvreté et la forte dépendance des populations aux ressources naturelles, la fragilité des écosystèmes, la précarité des infrastructures et les capacités scientifiques et technologiques limitées.</w:t>
      </w:r>
    </w:p>
    <w:p>
      <w:pPr>
        <w:pStyle w:val="ListParagraph"/>
        <w:numPr>
          <w:ilvl w:val="1"/>
          <w:numId w:val="1"/>
        </w:numPr>
        <w:tabs>
          <w:tab w:pos="1491" w:val="left" w:leader="none"/>
          <w:tab w:pos="1493" w:val="left" w:leader="none"/>
        </w:tabs>
        <w:spacing w:line="240" w:lineRule="auto" w:before="183" w:after="0"/>
        <w:ind w:left="1493" w:right="1127" w:hanging="360"/>
        <w:jc w:val="both"/>
        <w:rPr>
          <w:sz w:val="24"/>
        </w:rPr>
      </w:pPr>
      <w:r>
        <w:rPr>
          <w:sz w:val="24"/>
        </w:rPr>
        <w:t>Les changements climatiques vont donc continuer d'affecter de manière très significative cet espace, entrainant la baisse des rendements agricoles, la modification des écoulements des fleuves et autres</w:t>
      </w:r>
    </w:p>
    <w:p>
      <w:pPr>
        <w:pStyle w:val="ListParagraph"/>
        <w:spacing w:after="0" w:line="240" w:lineRule="auto"/>
        <w:jc w:val="both"/>
        <w:rPr>
          <w:sz w:val="24"/>
        </w:rPr>
        <w:sectPr>
          <w:pgSz w:w="11910" w:h="16840"/>
          <w:pgMar w:header="0" w:footer="680" w:top="1320" w:bottom="960" w:left="283" w:right="141"/>
        </w:sectPr>
      </w:pPr>
    </w:p>
    <w:p>
      <w:pPr>
        <w:pStyle w:val="BodyText"/>
        <w:spacing w:before="78"/>
        <w:ind w:right="1128" w:firstLine="0"/>
      </w:pPr>
      <w:r>
        <w:rPr/>
        <w:t>cours</w:t>
      </w:r>
      <w:r>
        <w:rPr>
          <w:spacing w:val="-3"/>
        </w:rPr>
        <w:t> </w:t>
      </w:r>
      <w:r>
        <w:rPr/>
        <w:t>d'eau</w:t>
      </w:r>
      <w:r>
        <w:rPr>
          <w:spacing w:val="-1"/>
        </w:rPr>
        <w:t> </w:t>
      </w:r>
      <w:r>
        <w:rPr/>
        <w:t>et</w:t>
      </w:r>
      <w:r>
        <w:rPr>
          <w:spacing w:val="-1"/>
        </w:rPr>
        <w:t> </w:t>
      </w:r>
      <w:r>
        <w:rPr/>
        <w:t>leur</w:t>
      </w:r>
      <w:r>
        <w:rPr>
          <w:spacing w:val="-3"/>
        </w:rPr>
        <w:t> </w:t>
      </w:r>
      <w:r>
        <w:rPr/>
        <w:t>ensablement</w:t>
      </w:r>
      <w:r>
        <w:rPr>
          <w:spacing w:val="-1"/>
        </w:rPr>
        <w:t> </w:t>
      </w:r>
      <w:r>
        <w:rPr/>
        <w:t>continu,</w:t>
      </w:r>
      <w:r>
        <w:rPr>
          <w:spacing w:val="-1"/>
        </w:rPr>
        <w:t> </w:t>
      </w:r>
      <w:r>
        <w:rPr/>
        <w:t>l'accentuation</w:t>
      </w:r>
      <w:r>
        <w:rPr>
          <w:spacing w:val="-3"/>
        </w:rPr>
        <w:t> </w:t>
      </w:r>
      <w:r>
        <w:rPr/>
        <w:t>de</w:t>
      </w:r>
      <w:r>
        <w:rPr>
          <w:spacing w:val="-3"/>
        </w:rPr>
        <w:t> </w:t>
      </w:r>
      <w:r>
        <w:rPr/>
        <w:t>la</w:t>
      </w:r>
      <w:r>
        <w:rPr>
          <w:spacing w:val="-1"/>
        </w:rPr>
        <w:t> </w:t>
      </w:r>
      <w:r>
        <w:rPr/>
        <w:t>désertification, et</w:t>
      </w:r>
      <w:r>
        <w:rPr>
          <w:spacing w:val="-1"/>
        </w:rPr>
        <w:t> </w:t>
      </w:r>
      <w:r>
        <w:rPr/>
        <w:t>le</w:t>
      </w:r>
      <w:r>
        <w:rPr>
          <w:spacing w:val="-1"/>
        </w:rPr>
        <w:t> </w:t>
      </w:r>
      <w:r>
        <w:rPr/>
        <w:t>déplacement</w:t>
      </w:r>
      <w:r>
        <w:rPr>
          <w:spacing w:val="-1"/>
        </w:rPr>
        <w:t> </w:t>
      </w:r>
      <w:r>
        <w:rPr/>
        <w:t>massif de populations (réfugiés climatiques).</w:t>
      </w:r>
    </w:p>
    <w:p>
      <w:pPr>
        <w:pStyle w:val="Heading3"/>
        <w:ind w:right="1136"/>
        <w:jc w:val="both"/>
      </w:pPr>
      <w:r>
        <w:rPr/>
        <w:t>Un Système éducatif à redresser avec la couverture sanitaire et la Protection sociale à</w:t>
      </w:r>
      <w:r>
        <w:rPr>
          <w:spacing w:val="80"/>
        </w:rPr>
        <w:t> </w:t>
      </w:r>
      <w:r>
        <w:rPr>
          <w:spacing w:val="-2"/>
        </w:rPr>
        <w:t>élargir</w:t>
      </w:r>
    </w:p>
    <w:p>
      <w:pPr>
        <w:pStyle w:val="ListParagraph"/>
        <w:numPr>
          <w:ilvl w:val="1"/>
          <w:numId w:val="1"/>
        </w:numPr>
        <w:tabs>
          <w:tab w:pos="1491" w:val="left" w:leader="none"/>
          <w:tab w:pos="1493" w:val="left" w:leader="none"/>
        </w:tabs>
        <w:spacing w:line="240" w:lineRule="auto" w:before="184" w:after="0"/>
        <w:ind w:left="1493" w:right="1129" w:hanging="360"/>
        <w:jc w:val="both"/>
        <w:rPr>
          <w:sz w:val="24"/>
        </w:rPr>
      </w:pPr>
      <w:r>
        <w:rPr>
          <w:sz w:val="24"/>
        </w:rPr>
        <w:t>Le capital humain est d’une importance capitale dans le développement du Mali. Les principales questions soulevées par le développement du capital humain portent sur (i) l’accès universel aux services sociaux de base que sont l’éducation, les soins de santé de qualité, l’eau potable et un</w:t>
      </w:r>
      <w:r>
        <w:rPr>
          <w:spacing w:val="80"/>
          <w:sz w:val="24"/>
        </w:rPr>
        <w:t> </w:t>
      </w:r>
      <w:r>
        <w:rPr>
          <w:sz w:val="24"/>
        </w:rPr>
        <w:t>cadre de vie sain ; (ii) le renforcement des dispositifs de protection sociale ; (iii) la maîtrise de la dynamique</w:t>
      </w:r>
      <w:r>
        <w:rPr>
          <w:spacing w:val="-1"/>
          <w:sz w:val="24"/>
        </w:rPr>
        <w:t> </w:t>
      </w:r>
      <w:r>
        <w:rPr>
          <w:sz w:val="24"/>
        </w:rPr>
        <w:t>démographique</w:t>
      </w:r>
      <w:r>
        <w:rPr>
          <w:spacing w:val="-1"/>
          <w:sz w:val="24"/>
        </w:rPr>
        <w:t> </w:t>
      </w:r>
      <w:r>
        <w:rPr>
          <w:sz w:val="24"/>
        </w:rPr>
        <w:t>et</w:t>
      </w:r>
      <w:r>
        <w:rPr>
          <w:spacing w:val="-1"/>
          <w:sz w:val="24"/>
        </w:rPr>
        <w:t> </w:t>
      </w:r>
      <w:r>
        <w:rPr>
          <w:sz w:val="24"/>
        </w:rPr>
        <w:t>(iv)</w:t>
      </w:r>
      <w:r>
        <w:rPr>
          <w:spacing w:val="-1"/>
          <w:sz w:val="24"/>
        </w:rPr>
        <w:t> </w:t>
      </w:r>
      <w:r>
        <w:rPr>
          <w:sz w:val="24"/>
        </w:rPr>
        <w:t>la</w:t>
      </w:r>
      <w:r>
        <w:rPr>
          <w:spacing w:val="-1"/>
          <w:sz w:val="24"/>
        </w:rPr>
        <w:t> </w:t>
      </w:r>
      <w:r>
        <w:rPr>
          <w:sz w:val="24"/>
        </w:rPr>
        <w:t>mise</w:t>
      </w:r>
      <w:r>
        <w:rPr>
          <w:spacing w:val="-1"/>
          <w:sz w:val="24"/>
        </w:rPr>
        <w:t> </w:t>
      </w:r>
      <w:r>
        <w:rPr>
          <w:sz w:val="24"/>
        </w:rPr>
        <w:t>à</w:t>
      </w:r>
      <w:r>
        <w:rPr>
          <w:spacing w:val="-2"/>
          <w:sz w:val="24"/>
        </w:rPr>
        <w:t> </w:t>
      </w:r>
      <w:r>
        <w:rPr>
          <w:sz w:val="24"/>
        </w:rPr>
        <w:t>disposition</w:t>
      </w:r>
      <w:r>
        <w:rPr>
          <w:spacing w:val="-1"/>
          <w:sz w:val="24"/>
        </w:rPr>
        <w:t> </w:t>
      </w:r>
      <w:r>
        <w:rPr>
          <w:sz w:val="24"/>
        </w:rPr>
        <w:t>d’une</w:t>
      </w:r>
      <w:r>
        <w:rPr>
          <w:spacing w:val="-3"/>
          <w:sz w:val="24"/>
        </w:rPr>
        <w:t> </w:t>
      </w:r>
      <w:r>
        <w:rPr>
          <w:sz w:val="24"/>
        </w:rPr>
        <w:t>offre</w:t>
      </w:r>
      <w:r>
        <w:rPr>
          <w:spacing w:val="-1"/>
          <w:sz w:val="24"/>
        </w:rPr>
        <w:t> </w:t>
      </w:r>
      <w:r>
        <w:rPr>
          <w:sz w:val="24"/>
        </w:rPr>
        <w:t>diversifiée</w:t>
      </w:r>
      <w:r>
        <w:rPr>
          <w:spacing w:val="-1"/>
          <w:sz w:val="24"/>
        </w:rPr>
        <w:t> </w:t>
      </w:r>
      <w:r>
        <w:rPr>
          <w:sz w:val="24"/>
        </w:rPr>
        <w:t>sur</w:t>
      </w:r>
      <w:r>
        <w:rPr>
          <w:spacing w:val="-1"/>
          <w:sz w:val="24"/>
        </w:rPr>
        <w:t> </w:t>
      </w:r>
      <w:r>
        <w:rPr>
          <w:sz w:val="24"/>
        </w:rPr>
        <w:t>le</w:t>
      </w:r>
      <w:r>
        <w:rPr>
          <w:spacing w:val="-1"/>
          <w:sz w:val="24"/>
        </w:rPr>
        <w:t> </w:t>
      </w:r>
      <w:r>
        <w:rPr>
          <w:sz w:val="24"/>
        </w:rPr>
        <w:t>marché</w:t>
      </w:r>
      <w:r>
        <w:rPr>
          <w:spacing w:val="-1"/>
          <w:sz w:val="24"/>
        </w:rPr>
        <w:t> </w:t>
      </w:r>
      <w:r>
        <w:rPr>
          <w:sz w:val="24"/>
        </w:rPr>
        <w:t>du</w:t>
      </w:r>
      <w:r>
        <w:rPr>
          <w:spacing w:val="-1"/>
          <w:sz w:val="24"/>
        </w:rPr>
        <w:t> </w:t>
      </w:r>
      <w:r>
        <w:rPr>
          <w:sz w:val="24"/>
        </w:rPr>
        <w:t>travail. La mise en œuvre des Etats Généraux de l’Education, des Etats Généraux de la Jeunesse et du Programme National d’Education aux Valeurs constituent des priorités urgentes pour espérer redresser le système éducatif et développer un capital humain efficace et efficient pour conduire les politiques publiques.</w:t>
      </w:r>
    </w:p>
    <w:p>
      <w:pPr>
        <w:pStyle w:val="BodyText"/>
        <w:spacing w:before="0"/>
        <w:ind w:left="0" w:firstLine="0"/>
        <w:jc w:val="left"/>
      </w:pPr>
    </w:p>
    <w:p>
      <w:pPr>
        <w:pStyle w:val="Heading1"/>
        <w:numPr>
          <w:ilvl w:val="0"/>
          <w:numId w:val="6"/>
        </w:numPr>
        <w:tabs>
          <w:tab w:pos="1388" w:val="left" w:leader="none"/>
        </w:tabs>
        <w:spacing w:line="240" w:lineRule="auto" w:before="0" w:after="0"/>
        <w:ind w:left="1388" w:right="0" w:hanging="255"/>
        <w:jc w:val="left"/>
      </w:pPr>
      <w:bookmarkStart w:name="_bookmark8" w:id="9"/>
      <w:bookmarkEnd w:id="9"/>
      <w:r>
        <w:rPr>
          <w:b w:val="0"/>
        </w:rPr>
      </w:r>
      <w:r>
        <w:rPr/>
        <w:t>VISION</w:t>
      </w:r>
      <w:r>
        <w:rPr>
          <w:spacing w:val="-8"/>
        </w:rPr>
        <w:t> </w:t>
      </w:r>
      <w:r>
        <w:rPr/>
        <w:t>MALI</w:t>
      </w:r>
      <w:r>
        <w:rPr>
          <w:spacing w:val="-1"/>
        </w:rPr>
        <w:t> </w:t>
      </w:r>
      <w:r>
        <w:rPr>
          <w:spacing w:val="-4"/>
        </w:rPr>
        <w:t>2063</w:t>
      </w:r>
    </w:p>
    <w:p>
      <w:pPr>
        <w:pStyle w:val="Heading3"/>
        <w:numPr>
          <w:ilvl w:val="1"/>
          <w:numId w:val="8"/>
        </w:numPr>
        <w:tabs>
          <w:tab w:pos="1514" w:val="left" w:leader="none"/>
        </w:tabs>
        <w:spacing w:line="240" w:lineRule="auto" w:before="139" w:after="0"/>
        <w:ind w:left="1514" w:right="0" w:hanging="381"/>
        <w:jc w:val="left"/>
      </w:pPr>
      <w:bookmarkStart w:name="_bookmark9" w:id="10"/>
      <w:bookmarkEnd w:id="10"/>
      <w:r>
        <w:rPr>
          <w:b w:val="0"/>
        </w:rPr>
      </w:r>
      <w:r>
        <w:rPr>
          <w:color w:val="2E5395"/>
          <w:spacing w:val="-2"/>
        </w:rPr>
        <w:t>Justification</w:t>
      </w:r>
    </w:p>
    <w:p>
      <w:pPr>
        <w:pStyle w:val="BodyText"/>
        <w:ind w:right="1128" w:firstLine="0"/>
      </w:pPr>
      <w:r>
        <w:rPr/>
        <w:t>Le Mali possède un potentiel d'investissement important (ressources humaines, soleil, eau, mines, terre, cheptel), avec des secteurs en croissance qui peuvent être davantage valorisés par l'amélioration des infrastructures (routes, énergies, télécommunications) et du climat des affaires. Pour</w:t>
      </w:r>
      <w:r>
        <w:rPr>
          <w:spacing w:val="-1"/>
        </w:rPr>
        <w:t> </w:t>
      </w:r>
      <w:r>
        <w:rPr/>
        <w:t>exploiter</w:t>
      </w:r>
      <w:r>
        <w:rPr>
          <w:spacing w:val="-1"/>
        </w:rPr>
        <w:t> </w:t>
      </w:r>
      <w:r>
        <w:rPr/>
        <w:t>ces</w:t>
      </w:r>
      <w:r>
        <w:rPr>
          <w:spacing w:val="-2"/>
        </w:rPr>
        <w:t> </w:t>
      </w:r>
      <w:r>
        <w:rPr/>
        <w:t>potentialités,</w:t>
      </w:r>
      <w:r>
        <w:rPr>
          <w:spacing w:val="-1"/>
        </w:rPr>
        <w:t> </w:t>
      </w:r>
      <w:r>
        <w:rPr/>
        <w:t>une</w:t>
      </w:r>
      <w:r>
        <w:rPr>
          <w:spacing w:val="-1"/>
        </w:rPr>
        <w:t> </w:t>
      </w:r>
      <w:r>
        <w:rPr/>
        <w:t>vision de</w:t>
      </w:r>
      <w:r>
        <w:rPr>
          <w:spacing w:val="-1"/>
        </w:rPr>
        <w:t> </w:t>
      </w:r>
      <w:r>
        <w:rPr/>
        <w:t>développement</w:t>
      </w:r>
      <w:r>
        <w:rPr>
          <w:spacing w:val="-1"/>
        </w:rPr>
        <w:t> </w:t>
      </w:r>
      <w:r>
        <w:rPr/>
        <w:t>à</w:t>
      </w:r>
      <w:r>
        <w:rPr>
          <w:spacing w:val="-1"/>
        </w:rPr>
        <w:t> </w:t>
      </w:r>
      <w:r>
        <w:rPr/>
        <w:t>long</w:t>
      </w:r>
      <w:r>
        <w:rPr>
          <w:spacing w:val="-1"/>
        </w:rPr>
        <w:t> </w:t>
      </w:r>
      <w:r>
        <w:rPr/>
        <w:t>terme</w:t>
      </w:r>
      <w:r>
        <w:rPr>
          <w:spacing w:val="-1"/>
        </w:rPr>
        <w:t> </w:t>
      </w:r>
      <w:r>
        <w:rPr/>
        <w:t>sur</w:t>
      </w:r>
      <w:r>
        <w:rPr>
          <w:spacing w:val="-1"/>
        </w:rPr>
        <w:t> </w:t>
      </w:r>
      <w:r>
        <w:rPr/>
        <w:t>40</w:t>
      </w:r>
      <w:r>
        <w:rPr>
          <w:spacing w:val="-3"/>
        </w:rPr>
        <w:t> </w:t>
      </w:r>
      <w:r>
        <w:rPr/>
        <w:t>ans</w:t>
      </w:r>
      <w:r>
        <w:rPr>
          <w:spacing w:val="-2"/>
        </w:rPr>
        <w:t> </w:t>
      </w:r>
      <w:r>
        <w:rPr/>
        <w:t>a été</w:t>
      </w:r>
      <w:r>
        <w:rPr>
          <w:spacing w:val="-1"/>
        </w:rPr>
        <w:t> </w:t>
      </w:r>
      <w:r>
        <w:rPr/>
        <w:t>élaborée. Cette vision identifie les ressources potentielles et les besoins en infrastructures pour surmonter les contraintes économiques.</w:t>
      </w:r>
    </w:p>
    <w:p>
      <w:pPr>
        <w:pStyle w:val="ListParagraph"/>
        <w:numPr>
          <w:ilvl w:val="1"/>
          <w:numId w:val="1"/>
        </w:numPr>
        <w:tabs>
          <w:tab w:pos="1491" w:val="left" w:leader="none"/>
          <w:tab w:pos="1493" w:val="left" w:leader="none"/>
        </w:tabs>
        <w:spacing w:line="240" w:lineRule="auto" w:before="184" w:after="0"/>
        <w:ind w:left="1493" w:right="1131" w:hanging="360"/>
        <w:jc w:val="both"/>
        <w:rPr>
          <w:sz w:val="24"/>
        </w:rPr>
      </w:pPr>
      <w:r>
        <w:rPr>
          <w:sz w:val="24"/>
        </w:rPr>
        <w:t>La réflexion sur les futurs possibles du Mali débouchera sur l’élaboration de scénarios, donnant ainsi un panorama des avenirs possibles pour le Mali. Les stratégies à mettre en place doivent viser non seulement la réalisation</w:t>
      </w:r>
      <w:r>
        <w:rPr>
          <w:spacing w:val="-1"/>
          <w:sz w:val="24"/>
        </w:rPr>
        <w:t> </w:t>
      </w:r>
      <w:r>
        <w:rPr>
          <w:sz w:val="24"/>
        </w:rPr>
        <w:t>de</w:t>
      </w:r>
      <w:r>
        <w:rPr>
          <w:spacing w:val="-1"/>
          <w:sz w:val="24"/>
        </w:rPr>
        <w:t> </w:t>
      </w:r>
      <w:r>
        <w:rPr>
          <w:sz w:val="24"/>
        </w:rPr>
        <w:t>la vision mais</w:t>
      </w:r>
      <w:r>
        <w:rPr>
          <w:spacing w:val="-3"/>
          <w:sz w:val="24"/>
        </w:rPr>
        <w:t> </w:t>
      </w:r>
      <w:r>
        <w:rPr>
          <w:sz w:val="24"/>
        </w:rPr>
        <w:t>aussi la</w:t>
      </w:r>
      <w:r>
        <w:rPr>
          <w:spacing w:val="-2"/>
          <w:sz w:val="24"/>
        </w:rPr>
        <w:t> </w:t>
      </w:r>
      <w:r>
        <w:rPr>
          <w:sz w:val="24"/>
        </w:rPr>
        <w:t>non survenue de scénarios indésirables. Il s’agit de se donner</w:t>
      </w:r>
      <w:r>
        <w:rPr>
          <w:spacing w:val="-1"/>
          <w:sz w:val="24"/>
        </w:rPr>
        <w:t> </w:t>
      </w:r>
      <w:r>
        <w:rPr>
          <w:sz w:val="24"/>
        </w:rPr>
        <w:t>la possibilité de détecter</w:t>
      </w:r>
      <w:r>
        <w:rPr>
          <w:spacing w:val="-1"/>
          <w:sz w:val="24"/>
        </w:rPr>
        <w:t> </w:t>
      </w:r>
      <w:r>
        <w:rPr>
          <w:sz w:val="24"/>
        </w:rPr>
        <w:t>des signaux annonciateurs, voire des</w:t>
      </w:r>
      <w:r>
        <w:rPr>
          <w:spacing w:val="-2"/>
          <w:sz w:val="24"/>
        </w:rPr>
        <w:t> </w:t>
      </w:r>
      <w:r>
        <w:rPr>
          <w:sz w:val="24"/>
        </w:rPr>
        <w:t>alertes précoces</w:t>
      </w:r>
      <w:r>
        <w:rPr>
          <w:spacing w:val="-3"/>
          <w:sz w:val="24"/>
        </w:rPr>
        <w:t> </w:t>
      </w:r>
      <w:r>
        <w:rPr>
          <w:sz w:val="24"/>
        </w:rPr>
        <w:t>du fait que l’on se</w:t>
      </w:r>
      <w:r>
        <w:rPr>
          <w:spacing w:val="-3"/>
          <w:sz w:val="24"/>
        </w:rPr>
        <w:t> </w:t>
      </w:r>
      <w:r>
        <w:rPr>
          <w:sz w:val="24"/>
        </w:rPr>
        <w:t>dirige ou</w:t>
      </w:r>
      <w:r>
        <w:rPr>
          <w:spacing w:val="-1"/>
          <w:sz w:val="24"/>
        </w:rPr>
        <w:t> </w:t>
      </w:r>
      <w:r>
        <w:rPr>
          <w:sz w:val="24"/>
        </w:rPr>
        <w:t>que</w:t>
      </w:r>
      <w:r>
        <w:rPr>
          <w:spacing w:val="-1"/>
          <w:sz w:val="24"/>
        </w:rPr>
        <w:t> </w:t>
      </w:r>
      <w:r>
        <w:rPr>
          <w:sz w:val="24"/>
        </w:rPr>
        <w:t>l’on bifurque</w:t>
      </w:r>
      <w:r>
        <w:rPr>
          <w:spacing w:val="-1"/>
          <w:sz w:val="24"/>
        </w:rPr>
        <w:t> </w:t>
      </w:r>
      <w:r>
        <w:rPr>
          <w:sz w:val="24"/>
        </w:rPr>
        <w:t>vers</w:t>
      </w:r>
      <w:r>
        <w:rPr>
          <w:spacing w:val="-2"/>
          <w:sz w:val="24"/>
        </w:rPr>
        <w:t> </w:t>
      </w:r>
      <w:r>
        <w:rPr>
          <w:sz w:val="24"/>
        </w:rPr>
        <w:t>tel</w:t>
      </w:r>
      <w:r>
        <w:rPr>
          <w:spacing w:val="-2"/>
          <w:sz w:val="24"/>
        </w:rPr>
        <w:t> </w:t>
      </w:r>
      <w:r>
        <w:rPr>
          <w:sz w:val="24"/>
        </w:rPr>
        <w:t>scénario</w:t>
      </w:r>
      <w:r>
        <w:rPr>
          <w:spacing w:val="-1"/>
          <w:sz w:val="24"/>
        </w:rPr>
        <w:t> </w:t>
      </w:r>
      <w:r>
        <w:rPr>
          <w:sz w:val="24"/>
        </w:rPr>
        <w:t>plutôt</w:t>
      </w:r>
      <w:r>
        <w:rPr>
          <w:spacing w:val="-1"/>
          <w:sz w:val="24"/>
        </w:rPr>
        <w:t> </w:t>
      </w:r>
      <w:r>
        <w:rPr>
          <w:sz w:val="24"/>
        </w:rPr>
        <w:t>que</w:t>
      </w:r>
      <w:r>
        <w:rPr>
          <w:spacing w:val="-1"/>
          <w:sz w:val="24"/>
        </w:rPr>
        <w:t> </w:t>
      </w:r>
      <w:r>
        <w:rPr>
          <w:sz w:val="24"/>
        </w:rPr>
        <w:t>vers</w:t>
      </w:r>
      <w:r>
        <w:rPr>
          <w:spacing w:val="-2"/>
          <w:sz w:val="24"/>
        </w:rPr>
        <w:t> </w:t>
      </w:r>
      <w:r>
        <w:rPr>
          <w:sz w:val="24"/>
        </w:rPr>
        <w:t>tel</w:t>
      </w:r>
      <w:r>
        <w:rPr>
          <w:spacing w:val="-2"/>
          <w:sz w:val="24"/>
        </w:rPr>
        <w:t> </w:t>
      </w:r>
      <w:r>
        <w:rPr>
          <w:sz w:val="24"/>
        </w:rPr>
        <w:t>autre.</w:t>
      </w:r>
      <w:r>
        <w:rPr>
          <w:spacing w:val="-1"/>
          <w:sz w:val="24"/>
        </w:rPr>
        <w:t> </w:t>
      </w:r>
      <w:r>
        <w:rPr>
          <w:sz w:val="24"/>
        </w:rPr>
        <w:t>L'utilisation</w:t>
      </w:r>
      <w:r>
        <w:rPr>
          <w:spacing w:val="-1"/>
          <w:sz w:val="24"/>
        </w:rPr>
        <w:t> </w:t>
      </w:r>
      <w:r>
        <w:rPr>
          <w:sz w:val="24"/>
        </w:rPr>
        <w:t>des</w:t>
      </w:r>
      <w:r>
        <w:rPr>
          <w:spacing w:val="-2"/>
          <w:sz w:val="24"/>
        </w:rPr>
        <w:t> </w:t>
      </w:r>
      <w:r>
        <w:rPr>
          <w:sz w:val="24"/>
        </w:rPr>
        <w:t>scénarios à des fins stratégiques nécessite un effort continu de suivi-évaluation de la situation et de leur réactualisation,</w:t>
      </w:r>
      <w:r>
        <w:rPr>
          <w:spacing w:val="-2"/>
          <w:sz w:val="24"/>
        </w:rPr>
        <w:t> </w:t>
      </w:r>
      <w:r>
        <w:rPr>
          <w:sz w:val="24"/>
        </w:rPr>
        <w:t>l’enjeu</w:t>
      </w:r>
      <w:r>
        <w:rPr>
          <w:spacing w:val="-2"/>
          <w:sz w:val="24"/>
        </w:rPr>
        <w:t> </w:t>
      </w:r>
      <w:r>
        <w:rPr>
          <w:sz w:val="24"/>
        </w:rPr>
        <w:t>étant</w:t>
      </w:r>
      <w:r>
        <w:rPr>
          <w:spacing w:val="-2"/>
          <w:sz w:val="24"/>
        </w:rPr>
        <w:t> </w:t>
      </w:r>
      <w:r>
        <w:rPr>
          <w:sz w:val="24"/>
        </w:rPr>
        <w:t>de</w:t>
      </w:r>
      <w:r>
        <w:rPr>
          <w:spacing w:val="-1"/>
          <w:sz w:val="24"/>
        </w:rPr>
        <w:t> </w:t>
      </w:r>
      <w:r>
        <w:rPr>
          <w:sz w:val="24"/>
        </w:rPr>
        <w:t>coller</w:t>
      </w:r>
      <w:r>
        <w:rPr>
          <w:spacing w:val="-2"/>
          <w:sz w:val="24"/>
        </w:rPr>
        <w:t> </w:t>
      </w:r>
      <w:r>
        <w:rPr>
          <w:sz w:val="24"/>
        </w:rPr>
        <w:t>au</w:t>
      </w:r>
      <w:r>
        <w:rPr>
          <w:spacing w:val="-1"/>
          <w:sz w:val="24"/>
        </w:rPr>
        <w:t> </w:t>
      </w:r>
      <w:r>
        <w:rPr>
          <w:sz w:val="24"/>
        </w:rPr>
        <w:t>mieux</w:t>
      </w:r>
      <w:r>
        <w:rPr>
          <w:spacing w:val="-2"/>
          <w:sz w:val="24"/>
        </w:rPr>
        <w:t> </w:t>
      </w:r>
      <w:r>
        <w:rPr>
          <w:sz w:val="24"/>
        </w:rPr>
        <w:t>aux</w:t>
      </w:r>
      <w:r>
        <w:rPr>
          <w:spacing w:val="-2"/>
          <w:sz w:val="24"/>
        </w:rPr>
        <w:t> </w:t>
      </w:r>
      <w:r>
        <w:rPr>
          <w:sz w:val="24"/>
        </w:rPr>
        <w:t>éventualités du</w:t>
      </w:r>
      <w:r>
        <w:rPr>
          <w:spacing w:val="-2"/>
          <w:sz w:val="24"/>
        </w:rPr>
        <w:t> </w:t>
      </w:r>
      <w:r>
        <w:rPr>
          <w:sz w:val="24"/>
        </w:rPr>
        <w:t>futur</w:t>
      </w:r>
      <w:r>
        <w:rPr>
          <w:spacing w:val="-1"/>
          <w:sz w:val="24"/>
        </w:rPr>
        <w:t> </w:t>
      </w:r>
      <w:r>
        <w:rPr>
          <w:sz w:val="24"/>
        </w:rPr>
        <w:t>pour</w:t>
      </w:r>
      <w:r>
        <w:rPr>
          <w:spacing w:val="-2"/>
          <w:sz w:val="24"/>
        </w:rPr>
        <w:t> </w:t>
      </w:r>
      <w:r>
        <w:rPr>
          <w:sz w:val="24"/>
        </w:rPr>
        <w:t>être</w:t>
      </w:r>
      <w:r>
        <w:rPr>
          <w:spacing w:val="-2"/>
          <w:sz w:val="24"/>
        </w:rPr>
        <w:t> </w:t>
      </w:r>
      <w:r>
        <w:rPr>
          <w:sz w:val="24"/>
        </w:rPr>
        <w:t>en mesure</w:t>
      </w:r>
      <w:r>
        <w:rPr>
          <w:spacing w:val="-2"/>
          <w:sz w:val="24"/>
        </w:rPr>
        <w:t> </w:t>
      </w:r>
      <w:r>
        <w:rPr>
          <w:sz w:val="24"/>
        </w:rPr>
        <w:t>de</w:t>
      </w:r>
      <w:r>
        <w:rPr>
          <w:spacing w:val="-1"/>
          <w:sz w:val="24"/>
        </w:rPr>
        <w:t> </w:t>
      </w:r>
      <w:r>
        <w:rPr>
          <w:sz w:val="24"/>
        </w:rPr>
        <w:t>faire face aux surprises qu’il réserve.</w:t>
      </w:r>
    </w:p>
    <w:p>
      <w:pPr>
        <w:pStyle w:val="ListParagraph"/>
        <w:numPr>
          <w:ilvl w:val="1"/>
          <w:numId w:val="1"/>
        </w:numPr>
        <w:tabs>
          <w:tab w:pos="1491" w:val="left" w:leader="none"/>
          <w:tab w:pos="1493" w:val="left" w:leader="none"/>
        </w:tabs>
        <w:spacing w:line="259" w:lineRule="auto" w:before="185" w:after="0"/>
        <w:ind w:left="1493" w:right="1161" w:hanging="360"/>
        <w:jc w:val="left"/>
        <w:rPr>
          <w:sz w:val="24"/>
        </w:rPr>
      </w:pPr>
      <w:r>
        <w:rPr>
          <w:sz w:val="24"/>
        </w:rPr>
        <w:t>Cette nouvelle Vision tracera un chemin du développement à l’horizon 2063 et devra aussi marquer des</w:t>
      </w:r>
      <w:r>
        <w:rPr>
          <w:spacing w:val="-3"/>
          <w:sz w:val="24"/>
        </w:rPr>
        <w:t> </w:t>
      </w:r>
      <w:r>
        <w:rPr>
          <w:sz w:val="24"/>
        </w:rPr>
        <w:t>options</w:t>
      </w:r>
      <w:r>
        <w:rPr>
          <w:spacing w:val="-3"/>
          <w:sz w:val="24"/>
        </w:rPr>
        <w:t> </w:t>
      </w:r>
      <w:r>
        <w:rPr>
          <w:sz w:val="24"/>
        </w:rPr>
        <w:t>fortes</w:t>
      </w:r>
      <w:r>
        <w:rPr>
          <w:spacing w:val="-3"/>
          <w:sz w:val="24"/>
        </w:rPr>
        <w:t> </w:t>
      </w:r>
      <w:r>
        <w:rPr>
          <w:sz w:val="24"/>
        </w:rPr>
        <w:t>qui</w:t>
      </w:r>
      <w:r>
        <w:rPr>
          <w:spacing w:val="-3"/>
          <w:sz w:val="24"/>
        </w:rPr>
        <w:t> </w:t>
      </w:r>
      <w:r>
        <w:rPr>
          <w:sz w:val="24"/>
        </w:rPr>
        <w:t>élèvent</w:t>
      </w:r>
      <w:r>
        <w:rPr>
          <w:spacing w:val="-2"/>
          <w:sz w:val="24"/>
        </w:rPr>
        <w:t> </w:t>
      </w:r>
      <w:r>
        <w:rPr>
          <w:sz w:val="24"/>
        </w:rPr>
        <w:t>les</w:t>
      </w:r>
      <w:r>
        <w:rPr>
          <w:spacing w:val="-4"/>
          <w:sz w:val="24"/>
        </w:rPr>
        <w:t> </w:t>
      </w:r>
      <w:r>
        <w:rPr>
          <w:sz w:val="24"/>
        </w:rPr>
        <w:t>ambitions</w:t>
      </w:r>
      <w:r>
        <w:rPr>
          <w:spacing w:val="-4"/>
          <w:sz w:val="24"/>
        </w:rPr>
        <w:t> </w:t>
      </w:r>
      <w:r>
        <w:rPr>
          <w:sz w:val="24"/>
        </w:rPr>
        <w:t>du</w:t>
      </w:r>
      <w:r>
        <w:rPr>
          <w:spacing w:val="-4"/>
          <w:sz w:val="24"/>
        </w:rPr>
        <w:t> </w:t>
      </w:r>
      <w:r>
        <w:rPr>
          <w:sz w:val="24"/>
        </w:rPr>
        <w:t>pays</w:t>
      </w:r>
      <w:r>
        <w:rPr>
          <w:spacing w:val="-3"/>
          <w:sz w:val="24"/>
        </w:rPr>
        <w:t> </w:t>
      </w:r>
      <w:r>
        <w:rPr>
          <w:sz w:val="24"/>
        </w:rPr>
        <w:t>vers</w:t>
      </w:r>
      <w:r>
        <w:rPr>
          <w:spacing w:val="-3"/>
          <w:sz w:val="24"/>
        </w:rPr>
        <w:t> </w:t>
      </w:r>
      <w:r>
        <w:rPr>
          <w:sz w:val="24"/>
        </w:rPr>
        <w:t>l’indépendance</w:t>
      </w:r>
      <w:r>
        <w:rPr>
          <w:spacing w:val="-4"/>
          <w:sz w:val="24"/>
        </w:rPr>
        <w:t> </w:t>
      </w:r>
      <w:r>
        <w:rPr>
          <w:sz w:val="24"/>
        </w:rPr>
        <w:t>économique</w:t>
      </w:r>
      <w:r>
        <w:rPr>
          <w:spacing w:val="-2"/>
          <w:sz w:val="24"/>
        </w:rPr>
        <w:t> </w:t>
      </w:r>
      <w:r>
        <w:rPr>
          <w:sz w:val="24"/>
        </w:rPr>
        <w:t>et</w:t>
      </w:r>
      <w:r>
        <w:rPr>
          <w:spacing w:val="-2"/>
          <w:sz w:val="24"/>
        </w:rPr>
        <w:t> </w:t>
      </w:r>
      <w:r>
        <w:rPr>
          <w:sz w:val="24"/>
        </w:rPr>
        <w:t>financière,</w:t>
      </w:r>
      <w:r>
        <w:rPr>
          <w:spacing w:val="-4"/>
          <w:sz w:val="24"/>
        </w:rPr>
        <w:t> </w:t>
      </w:r>
      <w:r>
        <w:rPr>
          <w:sz w:val="24"/>
        </w:rPr>
        <w:t>la souveraineté et l’émergence économique, au regard des importantes potentialités et opportunités </w:t>
      </w:r>
      <w:r>
        <w:rPr>
          <w:spacing w:val="-2"/>
          <w:sz w:val="24"/>
        </w:rPr>
        <w:t>économiques.</w:t>
      </w:r>
    </w:p>
    <w:p>
      <w:pPr>
        <w:pStyle w:val="ListParagraph"/>
        <w:numPr>
          <w:ilvl w:val="1"/>
          <w:numId w:val="1"/>
        </w:numPr>
        <w:tabs>
          <w:tab w:pos="1491" w:val="left" w:leader="none"/>
          <w:tab w:pos="1493" w:val="left" w:leader="none"/>
        </w:tabs>
        <w:spacing w:line="240" w:lineRule="auto" w:before="159" w:after="0"/>
        <w:ind w:left="1493" w:right="1134" w:hanging="360"/>
        <w:jc w:val="both"/>
        <w:rPr>
          <w:sz w:val="24"/>
        </w:rPr>
      </w:pPr>
      <w:r>
        <w:rPr>
          <w:sz w:val="24"/>
        </w:rPr>
        <w:t>Elle ambitionne de surmonter les crises actuelles et de réaliser un développement durable et inclusif sur les 40 prochaines années. Les efforts se concentreront sur la gouvernance, l'économie, la cohésion sociale, et l'amélioration des conditions de vie des populations, en s'appuyant sur des réformes profondes et des investissements stratégiques.</w:t>
      </w:r>
    </w:p>
    <w:p>
      <w:pPr>
        <w:pStyle w:val="Heading3"/>
        <w:numPr>
          <w:ilvl w:val="1"/>
          <w:numId w:val="8"/>
        </w:numPr>
        <w:tabs>
          <w:tab w:pos="1514" w:val="left" w:leader="none"/>
        </w:tabs>
        <w:spacing w:line="240" w:lineRule="auto" w:before="207" w:after="0"/>
        <w:ind w:left="1514" w:right="0" w:hanging="381"/>
        <w:jc w:val="left"/>
      </w:pPr>
      <w:bookmarkStart w:name="_bookmark10" w:id="11"/>
      <w:bookmarkEnd w:id="11"/>
      <w:r>
        <w:rPr>
          <w:b w:val="0"/>
        </w:rPr>
      </w:r>
      <w:r>
        <w:rPr>
          <w:color w:val="2E5395"/>
        </w:rPr>
        <w:t>Scénarios</w:t>
      </w:r>
      <w:r>
        <w:rPr>
          <w:color w:val="2E5395"/>
          <w:spacing w:val="-6"/>
        </w:rPr>
        <w:t> </w:t>
      </w:r>
      <w:r>
        <w:rPr>
          <w:color w:val="2E5395"/>
          <w:spacing w:val="-2"/>
        </w:rPr>
        <w:t>Futurs</w:t>
      </w:r>
    </w:p>
    <w:p>
      <w:pPr>
        <w:pStyle w:val="ListParagraph"/>
        <w:numPr>
          <w:ilvl w:val="1"/>
          <w:numId w:val="1"/>
        </w:numPr>
        <w:tabs>
          <w:tab w:pos="1491" w:val="left" w:leader="none"/>
        </w:tabs>
        <w:spacing w:line="240" w:lineRule="auto" w:before="183" w:after="0"/>
        <w:ind w:left="1491" w:right="0" w:hanging="358"/>
        <w:jc w:val="left"/>
        <w:rPr>
          <w:sz w:val="24"/>
        </w:rPr>
      </w:pPr>
      <w:r>
        <w:rPr>
          <w:sz w:val="24"/>
        </w:rPr>
        <w:t>Trois</w:t>
      </w:r>
      <w:r>
        <w:rPr>
          <w:spacing w:val="-6"/>
          <w:sz w:val="24"/>
        </w:rPr>
        <w:t> </w:t>
      </w:r>
      <w:r>
        <w:rPr>
          <w:sz w:val="24"/>
        </w:rPr>
        <w:t>scénarios</w:t>
      </w:r>
      <w:r>
        <w:rPr>
          <w:spacing w:val="-3"/>
          <w:sz w:val="24"/>
        </w:rPr>
        <w:t> </w:t>
      </w:r>
      <w:r>
        <w:rPr>
          <w:sz w:val="24"/>
        </w:rPr>
        <w:t>sont</w:t>
      </w:r>
      <w:r>
        <w:rPr>
          <w:spacing w:val="-5"/>
          <w:sz w:val="24"/>
        </w:rPr>
        <w:t> </w:t>
      </w:r>
      <w:r>
        <w:rPr>
          <w:sz w:val="24"/>
        </w:rPr>
        <w:t>envisagés</w:t>
      </w:r>
      <w:r>
        <w:rPr>
          <w:spacing w:val="-3"/>
          <w:sz w:val="24"/>
        </w:rPr>
        <w:t> </w:t>
      </w:r>
      <w:r>
        <w:rPr>
          <w:sz w:val="24"/>
        </w:rPr>
        <w:t>pour</w:t>
      </w:r>
      <w:r>
        <w:rPr>
          <w:spacing w:val="-3"/>
          <w:sz w:val="24"/>
        </w:rPr>
        <w:t> </w:t>
      </w:r>
      <w:r>
        <w:rPr>
          <w:sz w:val="24"/>
        </w:rPr>
        <w:t>le</w:t>
      </w:r>
      <w:r>
        <w:rPr>
          <w:spacing w:val="-4"/>
          <w:sz w:val="24"/>
        </w:rPr>
        <w:t> </w:t>
      </w:r>
      <w:r>
        <w:rPr>
          <w:sz w:val="24"/>
        </w:rPr>
        <w:t>futur</w:t>
      </w:r>
      <w:r>
        <w:rPr>
          <w:spacing w:val="-3"/>
          <w:sz w:val="24"/>
        </w:rPr>
        <w:t> </w:t>
      </w:r>
      <w:r>
        <w:rPr>
          <w:sz w:val="24"/>
        </w:rPr>
        <w:t>du</w:t>
      </w:r>
      <w:r>
        <w:rPr>
          <w:spacing w:val="-2"/>
          <w:sz w:val="24"/>
        </w:rPr>
        <w:t> </w:t>
      </w:r>
      <w:r>
        <w:rPr>
          <w:sz w:val="24"/>
        </w:rPr>
        <w:t>Mali</w:t>
      </w:r>
      <w:r>
        <w:rPr>
          <w:spacing w:val="-4"/>
          <w:sz w:val="24"/>
        </w:rPr>
        <w:t> </w:t>
      </w:r>
      <w:r>
        <w:rPr>
          <w:sz w:val="24"/>
        </w:rPr>
        <w:t>à</w:t>
      </w:r>
      <w:r>
        <w:rPr>
          <w:spacing w:val="-2"/>
          <w:sz w:val="24"/>
        </w:rPr>
        <w:t> </w:t>
      </w:r>
      <w:r>
        <w:rPr>
          <w:sz w:val="24"/>
        </w:rPr>
        <w:t>l’horizon</w:t>
      </w:r>
      <w:r>
        <w:rPr>
          <w:spacing w:val="-4"/>
          <w:sz w:val="24"/>
        </w:rPr>
        <w:t> </w:t>
      </w:r>
      <w:r>
        <w:rPr>
          <w:sz w:val="24"/>
        </w:rPr>
        <w:t>2063</w:t>
      </w:r>
      <w:r>
        <w:rPr>
          <w:spacing w:val="-2"/>
          <w:sz w:val="24"/>
        </w:rPr>
        <w:t> </w:t>
      </w:r>
      <w:r>
        <w:rPr>
          <w:spacing w:val="-10"/>
          <w:sz w:val="24"/>
        </w:rPr>
        <w:t>:</w:t>
      </w:r>
    </w:p>
    <w:p>
      <w:pPr>
        <w:pStyle w:val="BodyText"/>
        <w:ind w:left="1635" w:right="1133" w:firstLine="0"/>
      </w:pPr>
      <w:r>
        <w:rPr>
          <w:b/>
        </w:rPr>
        <w:t>Le Scénario du Renouveau (MALI KURA) : </w:t>
      </w:r>
      <w:r>
        <w:rPr/>
        <w:t>Ce scénario est fondé sur l’hypothèse que la dynamique impulsée</w:t>
      </w:r>
      <w:r>
        <w:rPr>
          <w:spacing w:val="-2"/>
        </w:rPr>
        <w:t> </w:t>
      </w:r>
      <w:r>
        <w:rPr/>
        <w:t>par</w:t>
      </w:r>
      <w:r>
        <w:rPr>
          <w:spacing w:val="-4"/>
        </w:rPr>
        <w:t> </w:t>
      </w:r>
      <w:r>
        <w:rPr/>
        <w:t>la</w:t>
      </w:r>
      <w:r>
        <w:rPr>
          <w:spacing w:val="-3"/>
        </w:rPr>
        <w:t> </w:t>
      </w:r>
      <w:r>
        <w:rPr/>
        <w:t>Transition de</w:t>
      </w:r>
      <w:r>
        <w:rPr>
          <w:spacing w:val="-2"/>
        </w:rPr>
        <w:t> </w:t>
      </w:r>
      <w:r>
        <w:rPr/>
        <w:t>2020</w:t>
      </w:r>
      <w:r>
        <w:rPr>
          <w:spacing w:val="-1"/>
        </w:rPr>
        <w:t> </w:t>
      </w:r>
      <w:r>
        <w:rPr/>
        <w:t>a</w:t>
      </w:r>
      <w:r>
        <w:rPr>
          <w:spacing w:val="-2"/>
        </w:rPr>
        <w:t> </w:t>
      </w:r>
      <w:r>
        <w:rPr/>
        <w:t>été poursuivie et</w:t>
      </w:r>
      <w:r>
        <w:rPr>
          <w:spacing w:val="-3"/>
        </w:rPr>
        <w:t> </w:t>
      </w:r>
      <w:r>
        <w:rPr/>
        <w:t>renforcée. Son</w:t>
      </w:r>
      <w:r>
        <w:rPr>
          <w:spacing w:val="-2"/>
        </w:rPr>
        <w:t> </w:t>
      </w:r>
      <w:r>
        <w:rPr/>
        <w:t>facteur</w:t>
      </w:r>
      <w:r>
        <w:rPr>
          <w:spacing w:val="-4"/>
        </w:rPr>
        <w:t> </w:t>
      </w:r>
      <w:r>
        <w:rPr/>
        <w:t>moteur</w:t>
      </w:r>
      <w:r>
        <w:rPr>
          <w:spacing w:val="-2"/>
        </w:rPr>
        <w:t> </w:t>
      </w:r>
      <w:r>
        <w:rPr/>
        <w:t>est un Etat qui a durablement marqué une volonté plus affirmée de défendre l’intégrité territoriale et de</w:t>
      </w:r>
    </w:p>
    <w:p>
      <w:pPr>
        <w:pStyle w:val="BodyText"/>
        <w:spacing w:after="0"/>
        <w:sectPr>
          <w:pgSz w:w="11910" w:h="16840"/>
          <w:pgMar w:header="0" w:footer="680" w:top="1320" w:bottom="960" w:left="283" w:right="141"/>
        </w:sectPr>
      </w:pPr>
    </w:p>
    <w:p>
      <w:pPr>
        <w:pStyle w:val="BodyText"/>
        <w:spacing w:before="78"/>
        <w:ind w:left="1635" w:right="1129" w:firstLine="0"/>
      </w:pPr>
      <w:r>
        <w:rPr/>
        <w:t>maintenir l’unité nationale, de faire respecter la souveraineté du Mali vis-à-vis des partenaires extérieurs</w:t>
      </w:r>
      <w:r>
        <w:rPr>
          <w:spacing w:val="-2"/>
        </w:rPr>
        <w:t> </w:t>
      </w:r>
      <w:r>
        <w:rPr/>
        <w:t>et de sortir le pays du sous-développement en prenant des options volontaristes fondées sur les exigences d’une bonne gestion économique et la mise en œuvre de stratégies de développement appropriées. En somme, il s’articule autour, du renforcement de la</w:t>
      </w:r>
      <w:r>
        <w:rPr>
          <w:spacing w:val="-2"/>
        </w:rPr>
        <w:t> </w:t>
      </w:r>
      <w:r>
        <w:rPr/>
        <w:t>dynamique de la Transition avec un État affirmant sa souveraineté et défendant l'intégrité territoriale ; de la création d'une Confédération fonctionnelle au sein de l'Alliance des États du Sahel (AES) ; d’une économie avancée, d’un développement humain élevé, et d’un environnement préservé.</w:t>
      </w:r>
    </w:p>
    <w:p>
      <w:pPr>
        <w:pStyle w:val="BodyText"/>
        <w:spacing w:before="139"/>
        <w:ind w:left="1635" w:right="1126" w:firstLine="0"/>
      </w:pPr>
      <w:r>
        <w:rPr>
          <w:b/>
        </w:rPr>
        <w:t>Le Scénario de la Déception (DJIGUI MA FA) : </w:t>
      </w:r>
      <w:r>
        <w:rPr/>
        <w:t>Ce scénario est fondé sur la poursuite mitigée de la dynamique de rupture impulsée par la Transition. Son hypothèse motrice est que l’Etat malien défend tant bien que mal l’intégrité territoriale avec des progrès limités dans la concrétisation de l’unité nationale. Malgré une gouvernance fragile, il fait respecter les institutions en se basant sur une application des textes et des lois, mais est cependant peu regardant sur les questions de développement économique et social. Par ailleurs, la participation du Mali à l'AES reste juste un slogan, avec une coopération régionale très limitée et des opportunités insaisissables, entrainant ainsi une marginalisation du pays au sein de l'AES. En somme, il s’articule autour, de la poursuite mitigée de la dynamique de rupture ; des progrès limités dans l’unité nationale et la gouvernance ; d’un développement économique et social insuffisant.</w:t>
      </w:r>
    </w:p>
    <w:p>
      <w:pPr>
        <w:pStyle w:val="BodyText"/>
        <w:spacing w:before="184"/>
        <w:ind w:left="1635" w:right="1128" w:firstLine="0"/>
      </w:pPr>
      <w:r>
        <w:rPr>
          <w:b/>
        </w:rPr>
        <w:t>Le Scénario de l'Inacceptable (AN TE) : </w:t>
      </w:r>
      <w:r>
        <w:rPr/>
        <w:t>Ce scénario est fondé sur un abandon de la dynamique de rupture impulsée par la Transition. Il se traduit par une perte des acquis de la Transition en matière de gouvernance politique, économique et sécuritaire. Son hypothèse motrice est que l’Etat est laxiste et se préoccupe uniquement du bien-être de la petite classe des dirigeants politico- administratifs et leurs familles et alliés. L'Alliance des États du Sahel (AES) s'effondre en raison de divisions internes et d'un manque de leadership. L'insécurité et la corruption s'aggravent dans le pays, conduisant à un chaos généralisé. Le gouvernement s'effondre et le pays se fragmente. Les groupes armés terroristes prennent le contrôle de vastes zones du territoire. Le Mali devient un foyer</w:t>
      </w:r>
      <w:r>
        <w:rPr>
          <w:spacing w:val="-1"/>
        </w:rPr>
        <w:t> </w:t>
      </w:r>
      <w:r>
        <w:rPr/>
        <w:t>d'instabilité</w:t>
      </w:r>
      <w:r>
        <w:rPr>
          <w:spacing w:val="-1"/>
        </w:rPr>
        <w:t> </w:t>
      </w:r>
      <w:r>
        <w:rPr/>
        <w:t>régionale</w:t>
      </w:r>
      <w:r>
        <w:rPr>
          <w:spacing w:val="-3"/>
        </w:rPr>
        <w:t> </w:t>
      </w:r>
      <w:r>
        <w:rPr/>
        <w:t>et</w:t>
      </w:r>
      <w:r>
        <w:rPr>
          <w:spacing w:val="-1"/>
        </w:rPr>
        <w:t> </w:t>
      </w:r>
      <w:r>
        <w:rPr/>
        <w:t>une</w:t>
      </w:r>
      <w:r>
        <w:rPr>
          <w:spacing w:val="-1"/>
        </w:rPr>
        <w:t> </w:t>
      </w:r>
      <w:r>
        <w:rPr/>
        <w:t>source</w:t>
      </w:r>
      <w:r>
        <w:rPr>
          <w:spacing w:val="-3"/>
        </w:rPr>
        <w:t> </w:t>
      </w:r>
      <w:r>
        <w:rPr/>
        <w:t>de</w:t>
      </w:r>
      <w:r>
        <w:rPr>
          <w:spacing w:val="-1"/>
        </w:rPr>
        <w:t> </w:t>
      </w:r>
      <w:r>
        <w:rPr/>
        <w:t>migration</w:t>
      </w:r>
      <w:r>
        <w:rPr>
          <w:spacing w:val="-3"/>
        </w:rPr>
        <w:t> </w:t>
      </w:r>
      <w:r>
        <w:rPr/>
        <w:t>massive.</w:t>
      </w:r>
      <w:r>
        <w:rPr>
          <w:spacing w:val="-1"/>
        </w:rPr>
        <w:t> </w:t>
      </w:r>
      <w:r>
        <w:rPr/>
        <w:t>En</w:t>
      </w:r>
      <w:r>
        <w:rPr>
          <w:spacing w:val="-1"/>
        </w:rPr>
        <w:t> </w:t>
      </w:r>
      <w:r>
        <w:rPr/>
        <w:t>somme,</w:t>
      </w:r>
      <w:r>
        <w:rPr>
          <w:spacing w:val="-1"/>
        </w:rPr>
        <w:t> </w:t>
      </w:r>
      <w:r>
        <w:rPr/>
        <w:t>ce</w:t>
      </w:r>
      <w:r>
        <w:rPr>
          <w:spacing w:val="-1"/>
        </w:rPr>
        <w:t> </w:t>
      </w:r>
      <w:r>
        <w:rPr/>
        <w:t>scénario</w:t>
      </w:r>
      <w:r>
        <w:rPr>
          <w:spacing w:val="-1"/>
        </w:rPr>
        <w:t> </w:t>
      </w:r>
      <w:r>
        <w:rPr/>
        <w:t>est</w:t>
      </w:r>
      <w:r>
        <w:rPr>
          <w:spacing w:val="-1"/>
        </w:rPr>
        <w:t> </w:t>
      </w:r>
      <w:r>
        <w:rPr/>
        <w:t>celui</w:t>
      </w:r>
      <w:r>
        <w:rPr>
          <w:spacing w:val="-2"/>
        </w:rPr>
        <w:t> </w:t>
      </w:r>
      <w:r>
        <w:rPr/>
        <w:t>du retour en arrière. Il se traduit par une perte des acquis de la Transition en matière de gouvernance politique, économique et sécuritaire. Les mêmes causes conduisant aux mêmes effets, les crises politiques, sociales, économiques et sécuritaires deviennent récurrentes de manière à constituer progressivement une menace pour la stabilité et l’unité de la nation.</w:t>
      </w:r>
    </w:p>
    <w:p>
      <w:pPr>
        <w:pStyle w:val="Heading3"/>
        <w:numPr>
          <w:ilvl w:val="1"/>
          <w:numId w:val="8"/>
        </w:numPr>
        <w:tabs>
          <w:tab w:pos="1514" w:val="left" w:leader="none"/>
        </w:tabs>
        <w:spacing w:line="240" w:lineRule="auto" w:before="184" w:after="0"/>
        <w:ind w:left="1514" w:right="0" w:hanging="381"/>
        <w:jc w:val="left"/>
      </w:pPr>
      <w:bookmarkStart w:name="_bookmark11" w:id="12"/>
      <w:bookmarkEnd w:id="12"/>
      <w:r>
        <w:rPr>
          <w:b w:val="0"/>
        </w:rPr>
      </w:r>
      <w:r>
        <w:rPr>
          <w:color w:val="2E5395"/>
        </w:rPr>
        <w:t>Vision</w:t>
      </w:r>
      <w:r>
        <w:rPr>
          <w:color w:val="2E5395"/>
          <w:spacing w:val="-2"/>
        </w:rPr>
        <w:t> </w:t>
      </w:r>
      <w:r>
        <w:rPr>
          <w:color w:val="2E5395"/>
          <w:spacing w:val="-4"/>
        </w:rPr>
        <w:t>2063</w:t>
      </w:r>
    </w:p>
    <w:p>
      <w:pPr>
        <w:pStyle w:val="ListParagraph"/>
        <w:numPr>
          <w:ilvl w:val="1"/>
          <w:numId w:val="1"/>
        </w:numPr>
        <w:tabs>
          <w:tab w:pos="1491" w:val="left" w:leader="none"/>
          <w:tab w:pos="1493" w:val="left" w:leader="none"/>
        </w:tabs>
        <w:spacing w:line="240" w:lineRule="auto" w:before="183" w:after="0"/>
        <w:ind w:left="1493" w:right="1128" w:hanging="360"/>
        <w:jc w:val="both"/>
        <w:rPr>
          <w:sz w:val="24"/>
        </w:rPr>
      </w:pPr>
      <w:r>
        <w:rPr>
          <w:b/>
          <w:sz w:val="24"/>
        </w:rPr>
        <w:t>La Vision Mali Kura </w:t>
      </w:r>
      <w:r>
        <w:rPr>
          <w:rFonts w:ascii="Arial" w:hAnsi="Arial"/>
          <w:b/>
          <w:sz w:val="24"/>
        </w:rPr>
        <w:t>ɲɛ</w:t>
      </w:r>
      <w:r>
        <w:rPr>
          <w:b/>
          <w:sz w:val="24"/>
        </w:rPr>
        <w:t>taasira ka b</w:t>
      </w:r>
      <w:r>
        <w:rPr>
          <w:rFonts w:ascii="Arial" w:hAnsi="Arial"/>
          <w:b/>
          <w:sz w:val="24"/>
        </w:rPr>
        <w:t>ɛ</w:t>
      </w:r>
      <w:r>
        <w:rPr>
          <w:b/>
          <w:sz w:val="24"/>
        </w:rPr>
        <w:t>n san 2063 ma </w:t>
      </w:r>
      <w:r>
        <w:rPr>
          <w:sz w:val="24"/>
        </w:rPr>
        <w:t>repose sur le scénario du renouveau. Le Mali ambitionne de devenir « </w:t>
      </w:r>
      <w:r>
        <w:rPr>
          <w:b/>
          <w:color w:val="C00000"/>
          <w:sz w:val="24"/>
        </w:rPr>
        <w:t>Une nation souveraine et unie dans sa diversité culturelle, une société solidaire et juste, un pays bien gouverné et sécurisé, une économie forte et avancée, un</w:t>
      </w:r>
      <w:r>
        <w:rPr>
          <w:b/>
          <w:color w:val="C00000"/>
          <w:spacing w:val="40"/>
          <w:sz w:val="24"/>
        </w:rPr>
        <w:t> </w:t>
      </w:r>
      <w:r>
        <w:rPr>
          <w:b/>
          <w:color w:val="C00000"/>
          <w:sz w:val="24"/>
        </w:rPr>
        <w:t>niveau de développement humain élevé et un environnement durablement préservé ». </w:t>
      </w:r>
      <w:r>
        <w:rPr>
          <w:sz w:val="24"/>
        </w:rPr>
        <w:t>Cette vision est déclinée en orientations stratégiques pour chaque décennie jusqu'en 2063.</w:t>
      </w:r>
    </w:p>
    <w:p>
      <w:pPr>
        <w:pStyle w:val="BodyText"/>
        <w:spacing w:before="1"/>
        <w:ind w:left="0" w:firstLine="0"/>
        <w:jc w:val="left"/>
      </w:pPr>
    </w:p>
    <w:p>
      <w:pPr>
        <w:pStyle w:val="ListParagraph"/>
        <w:numPr>
          <w:ilvl w:val="1"/>
          <w:numId w:val="1"/>
        </w:numPr>
        <w:tabs>
          <w:tab w:pos="1491" w:val="left" w:leader="none"/>
          <w:tab w:pos="1493" w:val="left" w:leader="none"/>
        </w:tabs>
        <w:spacing w:line="240" w:lineRule="auto" w:before="0" w:after="0"/>
        <w:ind w:left="1493" w:right="1127" w:hanging="360"/>
        <w:jc w:val="both"/>
        <w:rPr>
          <w:sz w:val="24"/>
        </w:rPr>
      </w:pPr>
      <w:r>
        <w:rPr>
          <w:sz w:val="24"/>
        </w:rPr>
        <w:t>L’élaboration et la mise en œuvre de la Vision Mali 2063 appellent à nous interroger sur le rôle de l’Etat en tirant les leçons des différentes expériences de gestion de l’économie et de planification du développement.</w:t>
      </w:r>
      <w:r>
        <w:rPr>
          <w:spacing w:val="-3"/>
          <w:sz w:val="24"/>
        </w:rPr>
        <w:t> </w:t>
      </w:r>
      <w:r>
        <w:rPr>
          <w:sz w:val="24"/>
        </w:rPr>
        <w:t>Les</w:t>
      </w:r>
      <w:r>
        <w:rPr>
          <w:spacing w:val="-2"/>
          <w:sz w:val="24"/>
        </w:rPr>
        <w:t> </w:t>
      </w:r>
      <w:r>
        <w:rPr>
          <w:sz w:val="24"/>
        </w:rPr>
        <w:t>constats</w:t>
      </w:r>
      <w:r>
        <w:rPr>
          <w:spacing w:val="-1"/>
          <w:sz w:val="24"/>
        </w:rPr>
        <w:t> </w:t>
      </w:r>
      <w:r>
        <w:rPr>
          <w:sz w:val="24"/>
        </w:rPr>
        <w:t>tirés</w:t>
      </w:r>
      <w:r>
        <w:rPr>
          <w:spacing w:val="-1"/>
          <w:sz w:val="24"/>
        </w:rPr>
        <w:t> </w:t>
      </w:r>
      <w:r>
        <w:rPr>
          <w:sz w:val="24"/>
        </w:rPr>
        <w:t>de</w:t>
      </w:r>
      <w:r>
        <w:rPr>
          <w:spacing w:val="-1"/>
          <w:sz w:val="24"/>
        </w:rPr>
        <w:t> </w:t>
      </w:r>
      <w:r>
        <w:rPr>
          <w:sz w:val="24"/>
        </w:rPr>
        <w:t>ces</w:t>
      </w:r>
      <w:r>
        <w:rPr>
          <w:spacing w:val="-2"/>
          <w:sz w:val="24"/>
        </w:rPr>
        <w:t> </w:t>
      </w:r>
      <w:r>
        <w:rPr>
          <w:sz w:val="24"/>
        </w:rPr>
        <w:t>expériences</w:t>
      </w:r>
      <w:r>
        <w:rPr>
          <w:spacing w:val="-3"/>
          <w:sz w:val="24"/>
        </w:rPr>
        <w:t> </w:t>
      </w:r>
      <w:r>
        <w:rPr>
          <w:sz w:val="24"/>
        </w:rPr>
        <w:t>nous</w:t>
      </w:r>
      <w:r>
        <w:rPr>
          <w:spacing w:val="-2"/>
          <w:sz w:val="24"/>
        </w:rPr>
        <w:t> </w:t>
      </w:r>
      <w:r>
        <w:rPr>
          <w:sz w:val="24"/>
        </w:rPr>
        <w:t>enseignement</w:t>
      </w:r>
      <w:r>
        <w:rPr>
          <w:spacing w:val="-1"/>
          <w:sz w:val="24"/>
        </w:rPr>
        <w:t> </w:t>
      </w:r>
      <w:r>
        <w:rPr>
          <w:sz w:val="24"/>
        </w:rPr>
        <w:t>que</w:t>
      </w:r>
      <w:r>
        <w:rPr>
          <w:spacing w:val="-1"/>
          <w:sz w:val="24"/>
        </w:rPr>
        <w:t> </w:t>
      </w:r>
      <w:r>
        <w:rPr>
          <w:sz w:val="24"/>
        </w:rPr>
        <w:t>le</w:t>
      </w:r>
      <w:r>
        <w:rPr>
          <w:spacing w:val="-1"/>
          <w:sz w:val="24"/>
        </w:rPr>
        <w:t> </w:t>
      </w:r>
      <w:r>
        <w:rPr>
          <w:sz w:val="24"/>
        </w:rPr>
        <w:t>Mali</w:t>
      </w:r>
      <w:r>
        <w:rPr>
          <w:spacing w:val="-2"/>
          <w:sz w:val="24"/>
        </w:rPr>
        <w:t> </w:t>
      </w:r>
      <w:r>
        <w:rPr>
          <w:sz w:val="24"/>
        </w:rPr>
        <w:t>est</w:t>
      </w:r>
      <w:r>
        <w:rPr>
          <w:spacing w:val="-1"/>
          <w:sz w:val="24"/>
        </w:rPr>
        <w:t> </w:t>
      </w:r>
      <w:r>
        <w:rPr>
          <w:sz w:val="24"/>
        </w:rPr>
        <w:t>passé</w:t>
      </w:r>
      <w:r>
        <w:rPr>
          <w:spacing w:val="-1"/>
          <w:sz w:val="24"/>
        </w:rPr>
        <w:t> </w:t>
      </w:r>
      <w:r>
        <w:rPr>
          <w:sz w:val="24"/>
        </w:rPr>
        <w:t>d’un système dirigiste et très centralisé de planification du développement hérité du Régime socialiste de l’indépendance, à un système de libération tous azimuts à la faveur des politiques néo-libérales</w:t>
      </w:r>
      <w:r>
        <w:rPr>
          <w:spacing w:val="40"/>
          <w:sz w:val="24"/>
        </w:rPr>
        <w:t> </w:t>
      </w:r>
      <w:r>
        <w:rPr>
          <w:sz w:val="24"/>
        </w:rPr>
        <w:t>mises en œuvre dans le cadre des Programmes d’Ajustement Structurels (PAS) préconisés par les Institutions de Bretton Woods.</w:t>
      </w:r>
    </w:p>
    <w:p>
      <w:pPr>
        <w:pStyle w:val="ListParagraph"/>
        <w:numPr>
          <w:ilvl w:val="1"/>
          <w:numId w:val="1"/>
        </w:numPr>
        <w:tabs>
          <w:tab w:pos="1491" w:val="left" w:leader="none"/>
          <w:tab w:pos="1493" w:val="left" w:leader="none"/>
        </w:tabs>
        <w:spacing w:line="240" w:lineRule="auto" w:before="185" w:after="0"/>
        <w:ind w:left="1493" w:right="1128" w:hanging="360"/>
        <w:jc w:val="both"/>
        <w:rPr>
          <w:sz w:val="24"/>
        </w:rPr>
      </w:pPr>
      <w:r>
        <w:rPr>
          <w:sz w:val="24"/>
        </w:rPr>
        <w:t>Ces politiques ont déstructuré totalement le rôle de l’Etat avec le retrait de celui-ci dans les secteurs productifs notamment par la privatisation des sociétés d’Etat, et la désintégration du système</w:t>
      </w:r>
      <w:r>
        <w:rPr>
          <w:spacing w:val="40"/>
          <w:sz w:val="24"/>
        </w:rPr>
        <w:t> </w:t>
      </w:r>
      <w:r>
        <w:rPr>
          <w:sz w:val="24"/>
        </w:rPr>
        <w:t>scolaire. Dans le même</w:t>
      </w:r>
      <w:r>
        <w:rPr>
          <w:spacing w:val="-2"/>
          <w:sz w:val="24"/>
        </w:rPr>
        <w:t> </w:t>
      </w:r>
      <w:r>
        <w:rPr>
          <w:sz w:val="24"/>
        </w:rPr>
        <w:t>temps, on</w:t>
      </w:r>
      <w:r>
        <w:rPr>
          <w:spacing w:val="-2"/>
          <w:sz w:val="24"/>
        </w:rPr>
        <w:t> </w:t>
      </w:r>
      <w:r>
        <w:rPr>
          <w:sz w:val="24"/>
        </w:rPr>
        <w:t>a assisté</w:t>
      </w:r>
      <w:r>
        <w:rPr>
          <w:spacing w:val="-2"/>
          <w:sz w:val="24"/>
        </w:rPr>
        <w:t> </w:t>
      </w:r>
      <w:r>
        <w:rPr>
          <w:sz w:val="24"/>
        </w:rPr>
        <w:t>à la réorientation</w:t>
      </w:r>
      <w:r>
        <w:rPr>
          <w:spacing w:val="-2"/>
          <w:sz w:val="24"/>
        </w:rPr>
        <w:t> </w:t>
      </w:r>
      <w:r>
        <w:rPr>
          <w:sz w:val="24"/>
        </w:rPr>
        <w:t>des financements vers</w:t>
      </w:r>
      <w:r>
        <w:rPr>
          <w:spacing w:val="-1"/>
          <w:sz w:val="24"/>
        </w:rPr>
        <w:t> </w:t>
      </w:r>
      <w:r>
        <w:rPr>
          <w:sz w:val="24"/>
        </w:rPr>
        <w:t>des acteurs</w:t>
      </w:r>
      <w:r>
        <w:rPr>
          <w:spacing w:val="-1"/>
          <w:sz w:val="24"/>
        </w:rPr>
        <w:t> </w:t>
      </w:r>
      <w:r>
        <w:rPr>
          <w:sz w:val="24"/>
        </w:rPr>
        <w:t>non</w:t>
      </w:r>
    </w:p>
    <w:p>
      <w:pPr>
        <w:pStyle w:val="ListParagraph"/>
        <w:spacing w:after="0" w:line="240" w:lineRule="auto"/>
        <w:jc w:val="both"/>
        <w:rPr>
          <w:sz w:val="24"/>
        </w:rPr>
        <w:sectPr>
          <w:pgSz w:w="11910" w:h="16840"/>
          <w:pgMar w:header="0" w:footer="680" w:top="1320" w:bottom="960" w:left="283" w:right="141"/>
        </w:sectPr>
      </w:pPr>
    </w:p>
    <w:p>
      <w:pPr>
        <w:pStyle w:val="BodyText"/>
        <w:spacing w:before="78"/>
        <w:ind w:right="1129" w:firstLine="0"/>
      </w:pPr>
      <w:r>
        <w:rPr/>
        <w:t>étatiques notamment les Organisations non Gouvernementales (ONG). Ce qui a engendré dans les communautés locales un sentiment de non-assistance de l’Etat et occulté toute visibilité de l’Etat</w:t>
      </w:r>
      <w:r>
        <w:rPr>
          <w:spacing w:val="40"/>
        </w:rPr>
        <w:t> </w:t>
      </w:r>
      <w:r>
        <w:rPr/>
        <w:t>dans ces zones.</w:t>
      </w:r>
    </w:p>
    <w:p>
      <w:pPr>
        <w:pStyle w:val="ListParagraph"/>
        <w:numPr>
          <w:ilvl w:val="1"/>
          <w:numId w:val="1"/>
        </w:numPr>
        <w:tabs>
          <w:tab w:pos="1491" w:val="left" w:leader="none"/>
          <w:tab w:pos="1493" w:val="left" w:leader="none"/>
        </w:tabs>
        <w:spacing w:line="228" w:lineRule="auto" w:before="174" w:after="0"/>
        <w:ind w:left="1493" w:right="1128" w:hanging="360"/>
        <w:jc w:val="both"/>
        <w:rPr>
          <w:sz w:val="24"/>
        </w:rPr>
      </w:pPr>
      <w:r>
        <w:rPr>
          <w:sz w:val="24"/>
        </w:rPr>
        <w:t>Le Processus de la décentralisation a également été mal engagé et a accéléré le délitement du rôle de l’Etat dans les communautés locales. Le grand décalage entre l’évolution du processus de décentralisation</w:t>
      </w:r>
      <w:r>
        <w:rPr>
          <w:spacing w:val="-2"/>
          <w:sz w:val="24"/>
        </w:rPr>
        <w:t> </w:t>
      </w:r>
      <w:r>
        <w:rPr>
          <w:sz w:val="24"/>
        </w:rPr>
        <w:t>et</w:t>
      </w:r>
      <w:r>
        <w:rPr>
          <w:spacing w:val="-2"/>
          <w:sz w:val="24"/>
        </w:rPr>
        <w:t> </w:t>
      </w:r>
      <w:r>
        <w:rPr>
          <w:sz w:val="24"/>
        </w:rPr>
        <w:t>celui</w:t>
      </w:r>
      <w:r>
        <w:rPr>
          <w:spacing w:val="-3"/>
          <w:sz w:val="24"/>
        </w:rPr>
        <w:t> </w:t>
      </w:r>
      <w:r>
        <w:rPr>
          <w:sz w:val="24"/>
        </w:rPr>
        <w:t>de</w:t>
      </w:r>
      <w:r>
        <w:rPr>
          <w:spacing w:val="-2"/>
          <w:sz w:val="24"/>
        </w:rPr>
        <w:t> </w:t>
      </w:r>
      <w:r>
        <w:rPr>
          <w:sz w:val="24"/>
        </w:rPr>
        <w:t>la</w:t>
      </w:r>
      <w:r>
        <w:rPr>
          <w:spacing w:val="-2"/>
          <w:sz w:val="24"/>
        </w:rPr>
        <w:t> </w:t>
      </w:r>
      <w:r>
        <w:rPr>
          <w:sz w:val="24"/>
        </w:rPr>
        <w:t>déconcentration,</w:t>
      </w:r>
      <w:r>
        <w:rPr>
          <w:spacing w:val="-4"/>
          <w:sz w:val="24"/>
        </w:rPr>
        <w:t> </w:t>
      </w:r>
      <w:r>
        <w:rPr>
          <w:sz w:val="24"/>
        </w:rPr>
        <w:t>affecte</w:t>
      </w:r>
      <w:r>
        <w:rPr>
          <w:spacing w:val="-2"/>
          <w:sz w:val="24"/>
        </w:rPr>
        <w:t> </w:t>
      </w:r>
      <w:r>
        <w:rPr>
          <w:sz w:val="24"/>
        </w:rPr>
        <w:t>non</w:t>
      </w:r>
      <w:r>
        <w:rPr>
          <w:spacing w:val="-2"/>
          <w:sz w:val="24"/>
        </w:rPr>
        <w:t> </w:t>
      </w:r>
      <w:r>
        <w:rPr>
          <w:sz w:val="24"/>
        </w:rPr>
        <w:t>seulement</w:t>
      </w:r>
      <w:r>
        <w:rPr>
          <w:spacing w:val="-4"/>
          <w:sz w:val="24"/>
        </w:rPr>
        <w:t> </w:t>
      </w:r>
      <w:r>
        <w:rPr>
          <w:sz w:val="24"/>
        </w:rPr>
        <w:t>l’image</w:t>
      </w:r>
      <w:r>
        <w:rPr>
          <w:spacing w:val="-2"/>
          <w:sz w:val="24"/>
        </w:rPr>
        <w:t> </w:t>
      </w:r>
      <w:r>
        <w:rPr>
          <w:sz w:val="24"/>
        </w:rPr>
        <w:t>de</w:t>
      </w:r>
      <w:r>
        <w:rPr>
          <w:spacing w:val="-2"/>
          <w:sz w:val="24"/>
        </w:rPr>
        <w:t> </w:t>
      </w:r>
      <w:r>
        <w:rPr>
          <w:sz w:val="24"/>
        </w:rPr>
        <w:t>l’Etat</w:t>
      </w:r>
      <w:r>
        <w:rPr>
          <w:spacing w:val="-2"/>
          <w:sz w:val="24"/>
        </w:rPr>
        <w:t> </w:t>
      </w:r>
      <w:r>
        <w:rPr>
          <w:sz w:val="24"/>
        </w:rPr>
        <w:t>sur</w:t>
      </w:r>
      <w:r>
        <w:rPr>
          <w:spacing w:val="-2"/>
          <w:sz w:val="24"/>
        </w:rPr>
        <w:t> </w:t>
      </w:r>
      <w:r>
        <w:rPr>
          <w:sz w:val="24"/>
        </w:rPr>
        <w:t>le</w:t>
      </w:r>
      <w:r>
        <w:rPr>
          <w:spacing w:val="-4"/>
          <w:sz w:val="24"/>
        </w:rPr>
        <w:t> </w:t>
      </w:r>
      <w:r>
        <w:rPr>
          <w:sz w:val="24"/>
        </w:rPr>
        <w:t>territoire, mais aussi la fonctionnalité des collectivités territoriales. Il y a aussi un manque et/ou une faiblesse</w:t>
      </w:r>
      <w:r>
        <w:rPr>
          <w:spacing w:val="40"/>
          <w:sz w:val="24"/>
        </w:rPr>
        <w:t> </w:t>
      </w:r>
      <w:r>
        <w:rPr>
          <w:sz w:val="24"/>
        </w:rPr>
        <w:t>du contrôle des collectivités territoriales par l’Etat. On note également une faible articulation des initiatives locales et des programmes sectoriels nationaux et le peu d’implication des élues dans l’accompagnement du développement économique local. Les programmes de développement économique social et culturel (PDESC) élaborés par les collectivités territoriales apparaissent</w:t>
      </w:r>
      <w:r>
        <w:rPr>
          <w:spacing w:val="40"/>
          <w:sz w:val="24"/>
        </w:rPr>
        <w:t> </w:t>
      </w:r>
      <w:r>
        <w:rPr>
          <w:sz w:val="24"/>
        </w:rPr>
        <w:t>souvent comme des « catalogues</w:t>
      </w:r>
      <w:r>
        <w:rPr>
          <w:spacing w:val="-3"/>
          <w:sz w:val="24"/>
        </w:rPr>
        <w:t> </w:t>
      </w:r>
      <w:r>
        <w:rPr>
          <w:sz w:val="24"/>
        </w:rPr>
        <w:t>» d’actions préparés par des prestataires ne disposant pas des qualifications requises.</w:t>
      </w:r>
    </w:p>
    <w:p>
      <w:pPr>
        <w:pStyle w:val="ListParagraph"/>
        <w:numPr>
          <w:ilvl w:val="1"/>
          <w:numId w:val="1"/>
        </w:numPr>
        <w:tabs>
          <w:tab w:pos="1491" w:val="left" w:leader="none"/>
          <w:tab w:pos="1493" w:val="left" w:leader="none"/>
        </w:tabs>
        <w:spacing w:line="228" w:lineRule="auto" w:before="209" w:after="0"/>
        <w:ind w:left="1493" w:right="1132" w:hanging="360"/>
        <w:jc w:val="both"/>
        <w:rPr>
          <w:sz w:val="24"/>
        </w:rPr>
      </w:pPr>
      <w:r>
        <w:rPr>
          <w:sz w:val="24"/>
        </w:rPr>
        <w:t>Dans la Vision Mali 2063, le rôle de l’Etat sera renforcé. Ce renforcement doit concerner le contrôle des secteurs stratégiques, de la sécurité et des circuits de financement des activités dans les communautés de base.</w:t>
      </w:r>
    </w:p>
    <w:p>
      <w:pPr>
        <w:pStyle w:val="ListParagraph"/>
        <w:numPr>
          <w:ilvl w:val="1"/>
          <w:numId w:val="1"/>
        </w:numPr>
        <w:tabs>
          <w:tab w:pos="1491" w:val="left" w:leader="none"/>
          <w:tab w:pos="1493" w:val="left" w:leader="none"/>
        </w:tabs>
        <w:spacing w:line="240" w:lineRule="auto" w:before="208" w:after="0"/>
        <w:ind w:left="1493" w:right="1138" w:hanging="360"/>
        <w:jc w:val="both"/>
        <w:rPr>
          <w:sz w:val="24"/>
        </w:rPr>
      </w:pPr>
      <w:r>
        <w:rPr>
          <w:sz w:val="24"/>
        </w:rPr>
        <w:t>La Vision se fonde aussi sur un nouvel Homme malien (Maliden kura). Il s’agit d’un citoyen responsable,</w:t>
      </w:r>
      <w:r>
        <w:rPr>
          <w:spacing w:val="-2"/>
          <w:sz w:val="24"/>
        </w:rPr>
        <w:t> </w:t>
      </w:r>
      <w:r>
        <w:rPr>
          <w:sz w:val="24"/>
        </w:rPr>
        <w:t>patriote</w:t>
      </w:r>
      <w:r>
        <w:rPr>
          <w:spacing w:val="-2"/>
          <w:sz w:val="24"/>
        </w:rPr>
        <w:t> </w:t>
      </w:r>
      <w:r>
        <w:rPr>
          <w:sz w:val="24"/>
        </w:rPr>
        <w:t>et respectueux</w:t>
      </w:r>
      <w:r>
        <w:rPr>
          <w:spacing w:val="-3"/>
          <w:sz w:val="24"/>
        </w:rPr>
        <w:t> </w:t>
      </w:r>
      <w:r>
        <w:rPr>
          <w:sz w:val="24"/>
        </w:rPr>
        <w:t>des</w:t>
      </w:r>
      <w:r>
        <w:rPr>
          <w:spacing w:val="-1"/>
          <w:sz w:val="24"/>
        </w:rPr>
        <w:t> </w:t>
      </w:r>
      <w:r>
        <w:rPr>
          <w:sz w:val="24"/>
        </w:rPr>
        <w:t>valeurs,</w:t>
      </w:r>
      <w:r>
        <w:rPr>
          <w:spacing w:val="-4"/>
          <w:sz w:val="24"/>
        </w:rPr>
        <w:t> </w:t>
      </w:r>
      <w:r>
        <w:rPr>
          <w:sz w:val="24"/>
        </w:rPr>
        <w:t>travailleur</w:t>
      </w:r>
      <w:r>
        <w:rPr>
          <w:spacing w:val="-2"/>
          <w:sz w:val="24"/>
        </w:rPr>
        <w:t> </w:t>
      </w:r>
      <w:r>
        <w:rPr>
          <w:sz w:val="24"/>
        </w:rPr>
        <w:t>consciencieux,</w:t>
      </w:r>
      <w:r>
        <w:rPr>
          <w:spacing w:val="-3"/>
          <w:sz w:val="24"/>
        </w:rPr>
        <w:t> </w:t>
      </w:r>
      <w:r>
        <w:rPr>
          <w:sz w:val="24"/>
        </w:rPr>
        <w:t>ouvert</w:t>
      </w:r>
      <w:r>
        <w:rPr>
          <w:spacing w:val="-6"/>
          <w:sz w:val="24"/>
        </w:rPr>
        <w:t> </w:t>
      </w:r>
      <w:r>
        <w:rPr>
          <w:sz w:val="24"/>
        </w:rPr>
        <w:t>d’esprit,</w:t>
      </w:r>
      <w:r>
        <w:rPr>
          <w:spacing w:val="-3"/>
          <w:sz w:val="24"/>
        </w:rPr>
        <w:t> </w:t>
      </w:r>
      <w:r>
        <w:rPr>
          <w:sz w:val="24"/>
        </w:rPr>
        <w:t>qui</w:t>
      </w:r>
      <w:r>
        <w:rPr>
          <w:spacing w:val="-4"/>
          <w:sz w:val="24"/>
        </w:rPr>
        <w:t> </w:t>
      </w:r>
      <w:r>
        <w:rPr>
          <w:sz w:val="24"/>
        </w:rPr>
        <w:t>œuvre pour la souveraineté et le bien-être de tous. En effet, cette Vision place le citoyen malien au cœur</w:t>
      </w:r>
      <w:r>
        <w:rPr>
          <w:spacing w:val="40"/>
          <w:sz w:val="24"/>
        </w:rPr>
        <w:t> </w:t>
      </w:r>
      <w:r>
        <w:rPr>
          <w:sz w:val="24"/>
        </w:rPr>
        <w:t>des priorités en le considérant comme un acteur autonome capable de prendre en main son destin.</w:t>
      </w:r>
    </w:p>
    <w:p>
      <w:pPr>
        <w:pStyle w:val="ListParagraph"/>
        <w:numPr>
          <w:ilvl w:val="1"/>
          <w:numId w:val="1"/>
        </w:numPr>
        <w:tabs>
          <w:tab w:pos="1491" w:val="left" w:leader="none"/>
          <w:tab w:pos="1493" w:val="left" w:leader="none"/>
        </w:tabs>
        <w:spacing w:line="276" w:lineRule="auto" w:before="211" w:after="0"/>
        <w:ind w:left="1493" w:right="1128" w:hanging="360"/>
        <w:jc w:val="both"/>
        <w:rPr>
          <w:sz w:val="24"/>
        </w:rPr>
      </w:pPr>
      <w:r>
        <w:rPr>
          <w:sz w:val="24"/>
        </w:rPr>
        <w:t>La coopération avec les Partenaires Techniques et Financiers devra s’inscrire dans la Vision et des priorités dégagées par le Gouvernement et ceci conforment aux trois principes annoncés par le Président de la Transition, Chef de l’Etat. Dans ce sens, toutes les interventions des partenaires auprès</w:t>
      </w:r>
      <w:r>
        <w:rPr>
          <w:spacing w:val="-2"/>
          <w:sz w:val="24"/>
        </w:rPr>
        <w:t> </w:t>
      </w:r>
      <w:r>
        <w:rPr>
          <w:sz w:val="24"/>
        </w:rPr>
        <w:t>des</w:t>
      </w:r>
      <w:r>
        <w:rPr>
          <w:spacing w:val="-3"/>
          <w:sz w:val="24"/>
        </w:rPr>
        <w:t> </w:t>
      </w:r>
      <w:r>
        <w:rPr>
          <w:sz w:val="24"/>
        </w:rPr>
        <w:t>populations devront se faire sous le contrôle de l’Etat</w:t>
      </w:r>
      <w:r>
        <w:rPr>
          <w:spacing w:val="-2"/>
          <w:sz w:val="24"/>
        </w:rPr>
        <w:t> </w:t>
      </w:r>
      <w:r>
        <w:rPr>
          <w:sz w:val="24"/>
        </w:rPr>
        <w:t>avec l’implication</w:t>
      </w:r>
      <w:r>
        <w:rPr>
          <w:spacing w:val="-1"/>
          <w:sz w:val="24"/>
        </w:rPr>
        <w:t> </w:t>
      </w:r>
      <w:r>
        <w:rPr>
          <w:sz w:val="24"/>
        </w:rPr>
        <w:t>des départements sectoriels concernés.</w:t>
      </w:r>
    </w:p>
    <w:p>
      <w:pPr>
        <w:pStyle w:val="ListParagraph"/>
        <w:numPr>
          <w:ilvl w:val="1"/>
          <w:numId w:val="1"/>
        </w:numPr>
        <w:tabs>
          <w:tab w:pos="1491" w:val="left" w:leader="none"/>
          <w:tab w:pos="1493" w:val="left" w:leader="none"/>
        </w:tabs>
        <w:spacing w:line="240" w:lineRule="auto" w:before="200" w:after="0"/>
        <w:ind w:left="1493" w:right="1127" w:hanging="360"/>
        <w:jc w:val="both"/>
        <w:rPr>
          <w:sz w:val="24"/>
        </w:rPr>
      </w:pPr>
      <w:r>
        <w:rPr>
          <w:sz w:val="24"/>
        </w:rPr>
        <w:t>Au regard du leadership actuel de la Transition, de la dynamique de rupture en cours, des énormes potentialités et opportunités économiques et de la forte capacité de résilience</w:t>
      </w:r>
      <w:r>
        <w:rPr>
          <w:spacing w:val="33"/>
          <w:sz w:val="24"/>
        </w:rPr>
        <w:t> </w:t>
      </w:r>
      <w:r>
        <w:rPr>
          <w:sz w:val="24"/>
        </w:rPr>
        <w:t>du pays à l’épreuve</w:t>
      </w:r>
      <w:r>
        <w:rPr>
          <w:spacing w:val="40"/>
          <w:sz w:val="24"/>
        </w:rPr>
        <w:t> </w:t>
      </w:r>
      <w:r>
        <w:rPr>
          <w:sz w:val="24"/>
        </w:rPr>
        <w:t>des crises multiples, la Vision se focalisera sur la construction d’une économie nationale intégrée, capable de générer les ressources internes nécessaires au financement de son développement, à réaliser à terme l’indépendance économique et financière, l’émergence et la souveraineté du pays.</w:t>
      </w:r>
    </w:p>
    <w:p>
      <w:pPr>
        <w:pStyle w:val="ListParagraph"/>
        <w:numPr>
          <w:ilvl w:val="1"/>
          <w:numId w:val="1"/>
        </w:numPr>
        <w:tabs>
          <w:tab w:pos="1491" w:val="left" w:leader="none"/>
          <w:tab w:pos="1493" w:val="left" w:leader="none"/>
        </w:tabs>
        <w:spacing w:line="240" w:lineRule="auto" w:before="183" w:after="0"/>
        <w:ind w:left="1493" w:right="1138" w:hanging="360"/>
        <w:jc w:val="both"/>
        <w:rPr>
          <w:sz w:val="24"/>
        </w:rPr>
      </w:pPr>
      <w:r>
        <w:rPr>
          <w:sz w:val="24"/>
        </w:rPr>
        <w:t>Les fortes ambitions du Mali doivent conduire à viser de fortes performances économiques avec un Taux de Croissance Annuelle Moyen (TCAM) du PIB à deux chiffres (10 %) sur la période de la Vision.</w:t>
      </w:r>
      <w:r>
        <w:rPr>
          <w:spacing w:val="-2"/>
          <w:sz w:val="24"/>
        </w:rPr>
        <w:t> </w:t>
      </w:r>
      <w:r>
        <w:rPr>
          <w:sz w:val="24"/>
        </w:rPr>
        <w:t>A ce rythme de croissance,</w:t>
      </w:r>
      <w:r>
        <w:rPr>
          <w:spacing w:val="-2"/>
          <w:sz w:val="24"/>
        </w:rPr>
        <w:t> </w:t>
      </w:r>
      <w:r>
        <w:rPr>
          <w:sz w:val="24"/>
        </w:rPr>
        <w:t>le</w:t>
      </w:r>
      <w:r>
        <w:rPr>
          <w:spacing w:val="-2"/>
          <w:sz w:val="24"/>
        </w:rPr>
        <w:t> </w:t>
      </w:r>
      <w:r>
        <w:rPr>
          <w:sz w:val="24"/>
        </w:rPr>
        <w:t>pays</w:t>
      </w:r>
      <w:r>
        <w:rPr>
          <w:spacing w:val="-2"/>
          <w:sz w:val="24"/>
        </w:rPr>
        <w:t> </w:t>
      </w:r>
      <w:r>
        <w:rPr>
          <w:sz w:val="24"/>
        </w:rPr>
        <w:t>devrait</w:t>
      </w:r>
      <w:r>
        <w:rPr>
          <w:spacing w:val="-3"/>
          <w:sz w:val="24"/>
        </w:rPr>
        <w:t> </w:t>
      </w:r>
      <w:r>
        <w:rPr>
          <w:sz w:val="24"/>
        </w:rPr>
        <w:t>pouvoir</w:t>
      </w:r>
      <w:r>
        <w:rPr>
          <w:spacing w:val="-1"/>
          <w:sz w:val="24"/>
        </w:rPr>
        <w:t> </w:t>
      </w:r>
      <w:r>
        <w:rPr>
          <w:sz w:val="24"/>
        </w:rPr>
        <w:t>réaliser</w:t>
      </w:r>
      <w:r>
        <w:rPr>
          <w:spacing w:val="-1"/>
          <w:sz w:val="24"/>
        </w:rPr>
        <w:t> </w:t>
      </w:r>
      <w:r>
        <w:rPr>
          <w:sz w:val="24"/>
        </w:rPr>
        <w:t>son</w:t>
      </w:r>
      <w:r>
        <w:rPr>
          <w:spacing w:val="-2"/>
          <w:sz w:val="24"/>
        </w:rPr>
        <w:t> </w:t>
      </w:r>
      <w:r>
        <w:rPr>
          <w:sz w:val="24"/>
        </w:rPr>
        <w:t>objectif d’être parmi</w:t>
      </w:r>
      <w:r>
        <w:rPr>
          <w:spacing w:val="-1"/>
          <w:sz w:val="24"/>
        </w:rPr>
        <w:t> </w:t>
      </w:r>
      <w:r>
        <w:rPr>
          <w:sz w:val="24"/>
        </w:rPr>
        <w:t>les</w:t>
      </w:r>
      <w:r>
        <w:rPr>
          <w:spacing w:val="-2"/>
          <w:sz w:val="24"/>
        </w:rPr>
        <w:t> </w:t>
      </w:r>
      <w:r>
        <w:rPr>
          <w:sz w:val="24"/>
        </w:rPr>
        <w:t>pays</w:t>
      </w:r>
      <w:r>
        <w:rPr>
          <w:spacing w:val="-3"/>
          <w:sz w:val="24"/>
        </w:rPr>
        <w:t> </w:t>
      </w:r>
      <w:r>
        <w:rPr>
          <w:sz w:val="24"/>
        </w:rPr>
        <w:t>à revenu par tête élevé, avec 13 900 dollars en 2063.</w:t>
      </w:r>
    </w:p>
    <w:p>
      <w:pPr>
        <w:pStyle w:val="BodyText"/>
        <w:spacing w:before="92"/>
        <w:ind w:left="0" w:firstLine="0"/>
        <w:jc w:val="left"/>
      </w:pPr>
    </w:p>
    <w:p>
      <w:pPr>
        <w:pStyle w:val="ListParagraph"/>
        <w:numPr>
          <w:ilvl w:val="1"/>
          <w:numId w:val="1"/>
        </w:numPr>
        <w:tabs>
          <w:tab w:pos="1491" w:val="left" w:leader="none"/>
          <w:tab w:pos="1493" w:val="left" w:leader="none"/>
        </w:tabs>
        <w:spacing w:line="240" w:lineRule="auto" w:before="0" w:after="0"/>
        <w:ind w:left="1493" w:right="1139" w:hanging="360"/>
        <w:jc w:val="both"/>
        <w:rPr>
          <w:sz w:val="24"/>
        </w:rPr>
      </w:pPr>
      <w:r>
        <w:rPr>
          <w:sz w:val="24"/>
        </w:rPr>
        <w:t>Si l’incidence de la pauvreté reste aujourd’hui à un niveau préoccupant au Mali (44 %), elle devrait être considérablement réduite à l’horizon 2063 à seulement 10 %. Afin d’éradiquer ce fléau, une meilleure redistribution de la richesse nationale est préalablement indéniable pour asseoir les bases de la justice et de l’égalité sociale. L’accès à l’eau potable pour toute la population est une priorité en 2063 avec un taux de 100 %.</w:t>
      </w:r>
    </w:p>
    <w:p>
      <w:pPr>
        <w:pStyle w:val="Heading3"/>
        <w:numPr>
          <w:ilvl w:val="1"/>
          <w:numId w:val="8"/>
        </w:numPr>
        <w:tabs>
          <w:tab w:pos="1514" w:val="left" w:leader="none"/>
        </w:tabs>
        <w:spacing w:line="240" w:lineRule="auto" w:before="183" w:after="0"/>
        <w:ind w:left="1514" w:right="0" w:hanging="381"/>
        <w:jc w:val="left"/>
      </w:pPr>
      <w:bookmarkStart w:name="_bookmark12" w:id="13"/>
      <w:bookmarkEnd w:id="13"/>
      <w:r>
        <w:rPr>
          <w:b w:val="0"/>
        </w:rPr>
      </w:r>
      <w:r>
        <w:rPr>
          <w:color w:val="2E5395"/>
        </w:rPr>
        <w:t>Phases</w:t>
      </w:r>
      <w:r>
        <w:rPr>
          <w:color w:val="2E5395"/>
          <w:spacing w:val="-3"/>
        </w:rPr>
        <w:t> </w:t>
      </w:r>
      <w:r>
        <w:rPr>
          <w:color w:val="2E5395"/>
        </w:rPr>
        <w:t>de</w:t>
      </w:r>
      <w:r>
        <w:rPr>
          <w:color w:val="2E5395"/>
          <w:spacing w:val="-2"/>
        </w:rPr>
        <w:t> </w:t>
      </w:r>
      <w:r>
        <w:rPr>
          <w:color w:val="2E5395"/>
        </w:rPr>
        <w:t>la</w:t>
      </w:r>
      <w:r>
        <w:rPr>
          <w:color w:val="2E5395"/>
          <w:spacing w:val="-3"/>
        </w:rPr>
        <w:t> </w:t>
      </w:r>
      <w:r>
        <w:rPr>
          <w:color w:val="2E5395"/>
          <w:spacing w:val="-2"/>
        </w:rPr>
        <w:t>Vision</w:t>
      </w:r>
    </w:p>
    <w:p>
      <w:pPr>
        <w:pStyle w:val="ListParagraph"/>
        <w:numPr>
          <w:ilvl w:val="1"/>
          <w:numId w:val="1"/>
        </w:numPr>
        <w:tabs>
          <w:tab w:pos="1491" w:val="left" w:leader="none"/>
          <w:tab w:pos="1493" w:val="left" w:leader="none"/>
        </w:tabs>
        <w:spacing w:line="240" w:lineRule="auto" w:before="208" w:after="0"/>
        <w:ind w:left="1493" w:right="1131" w:hanging="360"/>
        <w:jc w:val="both"/>
        <w:rPr>
          <w:sz w:val="24"/>
        </w:rPr>
      </w:pPr>
      <w:r>
        <w:rPr>
          <w:sz w:val="24"/>
        </w:rPr>
        <w:t>La mise en œuvre de la Vision Mali Kura </w:t>
      </w:r>
      <w:r>
        <w:rPr>
          <w:rFonts w:ascii="Arial" w:hAnsi="Arial"/>
          <w:sz w:val="24"/>
        </w:rPr>
        <w:t>ɲɛ</w:t>
      </w:r>
      <w:r>
        <w:rPr>
          <w:sz w:val="24"/>
        </w:rPr>
        <w:t>taasira ka</w:t>
      </w:r>
      <w:r>
        <w:rPr>
          <w:spacing w:val="-2"/>
          <w:sz w:val="24"/>
        </w:rPr>
        <w:t> </w:t>
      </w:r>
      <w:r>
        <w:rPr>
          <w:sz w:val="24"/>
        </w:rPr>
        <w:t>b</w:t>
      </w:r>
      <w:r>
        <w:rPr>
          <w:rFonts w:ascii="Arial" w:hAnsi="Arial"/>
          <w:sz w:val="24"/>
        </w:rPr>
        <w:t>ɛ</w:t>
      </w:r>
      <w:r>
        <w:rPr>
          <w:sz w:val="24"/>
        </w:rPr>
        <w:t>n san</w:t>
      </w:r>
      <w:r>
        <w:rPr>
          <w:spacing w:val="-2"/>
          <w:sz w:val="24"/>
        </w:rPr>
        <w:t> </w:t>
      </w:r>
      <w:r>
        <w:rPr>
          <w:sz w:val="24"/>
        </w:rPr>
        <w:t>2063 ma se décline en quatre phases décennales :</w:t>
      </w:r>
    </w:p>
    <w:p>
      <w:pPr>
        <w:pStyle w:val="ListParagraph"/>
        <w:spacing w:after="0" w:line="240" w:lineRule="auto"/>
        <w:jc w:val="both"/>
        <w:rPr>
          <w:sz w:val="24"/>
        </w:rPr>
        <w:sectPr>
          <w:pgSz w:w="11910" w:h="16840"/>
          <w:pgMar w:header="0" w:footer="680" w:top="1320" w:bottom="960" w:left="283" w:right="141"/>
        </w:sectPr>
      </w:pPr>
    </w:p>
    <w:p>
      <w:pPr>
        <w:pStyle w:val="BodyText"/>
        <w:spacing w:before="78"/>
        <w:ind w:left="1635" w:right="1128" w:firstLine="0"/>
      </w:pPr>
      <w:r>
        <w:rPr>
          <w:b/>
        </w:rPr>
        <w:t>Phase I (2024-2033) : </w:t>
      </w:r>
      <w:r>
        <w:rPr/>
        <w:t>Elle aura pour objectif global la Refondation de l'État et la Transformation structurelle de l'économie, avec comme objectifs spécifiques : renforcement des forces armées et sécurité, éradiquer le terrorisme, maintenir la cohésion sociale, assoir les conditions d’une souveraineté alimentaire et nutritionnelle, développer une économie nationale intégrée avec des pôles de développement régionaux pour accélérer l’industrialisation du pays, améliorer la gouvernance et les infrastructures. Cette phase propose un plan de réponse à la crise multidimensionnelle</w:t>
      </w:r>
      <w:r>
        <w:rPr>
          <w:spacing w:val="-2"/>
        </w:rPr>
        <w:t> </w:t>
      </w:r>
      <w:r>
        <w:rPr/>
        <w:t>en s'attaquant</w:t>
      </w:r>
      <w:r>
        <w:rPr>
          <w:spacing w:val="-2"/>
        </w:rPr>
        <w:t> </w:t>
      </w:r>
      <w:r>
        <w:rPr/>
        <w:t>aux</w:t>
      </w:r>
      <w:r>
        <w:rPr>
          <w:spacing w:val="-2"/>
        </w:rPr>
        <w:t> </w:t>
      </w:r>
      <w:r>
        <w:rPr/>
        <w:t>causes</w:t>
      </w:r>
      <w:r>
        <w:rPr>
          <w:spacing w:val="-3"/>
        </w:rPr>
        <w:t> </w:t>
      </w:r>
      <w:r>
        <w:rPr/>
        <w:t>profondes</w:t>
      </w:r>
      <w:r>
        <w:rPr>
          <w:spacing w:val="-1"/>
        </w:rPr>
        <w:t> </w:t>
      </w:r>
      <w:r>
        <w:rPr/>
        <w:t>afin de mobiliser</w:t>
      </w:r>
      <w:r>
        <w:rPr>
          <w:spacing w:val="-1"/>
        </w:rPr>
        <w:t> </w:t>
      </w:r>
      <w:r>
        <w:rPr/>
        <w:t>des</w:t>
      </w:r>
      <w:r>
        <w:rPr>
          <w:spacing w:val="-2"/>
        </w:rPr>
        <w:t> </w:t>
      </w:r>
      <w:r>
        <w:rPr/>
        <w:t>solutions</w:t>
      </w:r>
      <w:r>
        <w:rPr>
          <w:spacing w:val="-2"/>
        </w:rPr>
        <w:t> </w:t>
      </w:r>
      <w:r>
        <w:rPr/>
        <w:t>innovantes pour</w:t>
      </w:r>
      <w:r>
        <w:rPr>
          <w:spacing w:val="-2"/>
        </w:rPr>
        <w:t> </w:t>
      </w:r>
      <w:r>
        <w:rPr/>
        <w:t>la</w:t>
      </w:r>
      <w:r>
        <w:rPr>
          <w:spacing w:val="-2"/>
        </w:rPr>
        <w:t> </w:t>
      </w:r>
      <w:r>
        <w:rPr/>
        <w:t>consolidation</w:t>
      </w:r>
      <w:r>
        <w:rPr>
          <w:spacing w:val="-4"/>
        </w:rPr>
        <w:t> </w:t>
      </w:r>
      <w:r>
        <w:rPr/>
        <w:t>de</w:t>
      </w:r>
      <w:r>
        <w:rPr>
          <w:spacing w:val="-2"/>
        </w:rPr>
        <w:t> </w:t>
      </w:r>
      <w:r>
        <w:rPr/>
        <w:t>la</w:t>
      </w:r>
      <w:r>
        <w:rPr>
          <w:spacing w:val="-2"/>
        </w:rPr>
        <w:t> </w:t>
      </w:r>
      <w:r>
        <w:rPr/>
        <w:t>paix</w:t>
      </w:r>
      <w:r>
        <w:rPr>
          <w:spacing w:val="-3"/>
        </w:rPr>
        <w:t> </w:t>
      </w:r>
      <w:r>
        <w:rPr/>
        <w:t>et</w:t>
      </w:r>
      <w:r>
        <w:rPr>
          <w:spacing w:val="-2"/>
        </w:rPr>
        <w:t> </w:t>
      </w:r>
      <w:r>
        <w:rPr/>
        <w:t>de</w:t>
      </w:r>
      <w:r>
        <w:rPr>
          <w:spacing w:val="-2"/>
        </w:rPr>
        <w:t> </w:t>
      </w:r>
      <w:r>
        <w:rPr/>
        <w:t>la</w:t>
      </w:r>
      <w:r>
        <w:rPr>
          <w:spacing w:val="-2"/>
        </w:rPr>
        <w:t> </w:t>
      </w:r>
      <w:r>
        <w:rPr/>
        <w:t>sécurité,</w:t>
      </w:r>
      <w:r>
        <w:rPr>
          <w:spacing w:val="-2"/>
        </w:rPr>
        <w:t> </w:t>
      </w:r>
      <w:r>
        <w:rPr/>
        <w:t>la</w:t>
      </w:r>
      <w:r>
        <w:rPr>
          <w:spacing w:val="-2"/>
        </w:rPr>
        <w:t> </w:t>
      </w:r>
      <w:r>
        <w:rPr/>
        <w:t>stabilité</w:t>
      </w:r>
      <w:r>
        <w:rPr>
          <w:spacing w:val="-1"/>
        </w:rPr>
        <w:t> </w:t>
      </w:r>
      <w:r>
        <w:rPr/>
        <w:t>macroéconomique</w:t>
      </w:r>
      <w:r>
        <w:rPr>
          <w:spacing w:val="-2"/>
        </w:rPr>
        <w:t> </w:t>
      </w:r>
      <w:r>
        <w:rPr/>
        <w:t>du</w:t>
      </w:r>
      <w:r>
        <w:rPr>
          <w:spacing w:val="-4"/>
        </w:rPr>
        <w:t> </w:t>
      </w:r>
      <w:r>
        <w:rPr/>
        <w:t>pays,</w:t>
      </w:r>
      <w:r>
        <w:rPr>
          <w:spacing w:val="-2"/>
        </w:rPr>
        <w:t> </w:t>
      </w:r>
      <w:r>
        <w:rPr/>
        <w:t>l’exploration des financements alternatifs avec notamment le fait de diversifier et d’intégrer l’exploitation minière</w:t>
      </w:r>
      <w:r>
        <w:rPr>
          <w:spacing w:val="40"/>
        </w:rPr>
        <w:t> </w:t>
      </w:r>
      <w:r>
        <w:rPr/>
        <w:t>à l’économie, le renforcement de la bonne gouvernance et le renforcement de la planification de l’investissement de l’action climatique.</w:t>
      </w:r>
    </w:p>
    <w:p>
      <w:pPr>
        <w:pStyle w:val="BodyText"/>
        <w:spacing w:before="185"/>
        <w:ind w:left="1635" w:right="1130" w:firstLine="0"/>
      </w:pPr>
      <w:r>
        <w:rPr>
          <w:b/>
        </w:rPr>
        <w:t>Phase II (2034-2043) : </w:t>
      </w:r>
      <w:r>
        <w:rPr/>
        <w:t>Elle sera consacrée à la spécialisation dans les secteurs à haute valeur ajoutée. Il s‘agira au cours de cette période, de permettre au pays d’atteindre l’émergence économique, avec comme objectifs le renforcement des acquis de la première phase, le développement des industries lourdes et technologies de pointe.</w:t>
      </w:r>
    </w:p>
    <w:p>
      <w:pPr>
        <w:pStyle w:val="BodyText"/>
        <w:ind w:left="1635" w:right="1131" w:firstLine="0"/>
      </w:pPr>
      <w:r>
        <w:rPr>
          <w:b/>
        </w:rPr>
        <w:t>Phase III (2044-2053) : </w:t>
      </w:r>
      <w:r>
        <w:rPr/>
        <w:t>C’est celle d’un développement humain élevé, consistant à améliorer durablement le bien-être des populations maliennes en éradiquant toutes les formes de pauvreté, avec comme objectifs l’amélioration des services de santé, de l’éducation, le développement des infrastructures, et la lutte contre la pauvreté.</w:t>
      </w:r>
    </w:p>
    <w:p>
      <w:pPr>
        <w:pStyle w:val="BodyText"/>
        <w:spacing w:before="185"/>
        <w:ind w:left="1635" w:right="1136" w:firstLine="0"/>
      </w:pPr>
      <w:r>
        <w:rPr>
          <w:b/>
        </w:rPr>
        <w:t>Phase IV (2054-2063) : </w:t>
      </w:r>
      <w:r>
        <w:rPr/>
        <w:t>C’est la consolidation des acquis des phases précédentes. Cette phase désigne le parachèvement de l’industrialisation par une évolution accélérée du secteur manufacturier, et un développement harmonieux du domaine des services notamment dans ses composantes commerce, transport et tourisme.</w:t>
      </w:r>
    </w:p>
    <w:p>
      <w:pPr>
        <w:pStyle w:val="ListParagraph"/>
        <w:numPr>
          <w:ilvl w:val="1"/>
          <w:numId w:val="1"/>
        </w:numPr>
        <w:tabs>
          <w:tab w:pos="1491" w:val="left" w:leader="none"/>
          <w:tab w:pos="1493" w:val="left" w:leader="none"/>
        </w:tabs>
        <w:spacing w:line="240" w:lineRule="auto" w:before="182" w:after="0"/>
        <w:ind w:left="1493" w:right="1140" w:hanging="360"/>
        <w:jc w:val="left"/>
        <w:rPr>
          <w:sz w:val="24"/>
        </w:rPr>
      </w:pPr>
      <w:r>
        <w:rPr>
          <w:sz w:val="24"/>
        </w:rPr>
        <w:t>La Vision est assortie d’une batterie d’indicateurs pertinents et de leurs cibles permettant de mesurer et d’évaluer les progrès et les résultats réalisés à l’horizon des différentes phases.</w:t>
      </w:r>
    </w:p>
    <w:p>
      <w:pPr>
        <w:pStyle w:val="Heading3"/>
        <w:numPr>
          <w:ilvl w:val="1"/>
          <w:numId w:val="8"/>
        </w:numPr>
        <w:tabs>
          <w:tab w:pos="1516" w:val="left" w:leader="none"/>
        </w:tabs>
        <w:spacing w:line="240" w:lineRule="auto" w:before="184" w:after="0"/>
        <w:ind w:left="1516" w:right="0" w:hanging="383"/>
        <w:jc w:val="left"/>
      </w:pPr>
      <w:bookmarkStart w:name="_bookmark13" w:id="14"/>
      <w:bookmarkEnd w:id="14"/>
      <w:r>
        <w:rPr>
          <w:b w:val="0"/>
        </w:rPr>
      </w:r>
      <w:r>
        <w:rPr>
          <w:color w:val="2E5395"/>
        </w:rPr>
        <w:t>La</w:t>
      </w:r>
      <w:r>
        <w:rPr>
          <w:color w:val="2E5395"/>
          <w:spacing w:val="-2"/>
        </w:rPr>
        <w:t> </w:t>
      </w:r>
      <w:r>
        <w:rPr>
          <w:color w:val="2E5395"/>
        </w:rPr>
        <w:t>théorie</w:t>
      </w:r>
      <w:r>
        <w:rPr>
          <w:color w:val="2E5395"/>
          <w:spacing w:val="-2"/>
        </w:rPr>
        <w:t> </w:t>
      </w:r>
      <w:r>
        <w:rPr>
          <w:color w:val="2E5395"/>
        </w:rPr>
        <w:t>du</w:t>
      </w:r>
      <w:r>
        <w:rPr>
          <w:color w:val="2E5395"/>
          <w:spacing w:val="-1"/>
        </w:rPr>
        <w:t> </w:t>
      </w:r>
      <w:r>
        <w:rPr>
          <w:color w:val="2E5395"/>
          <w:spacing w:val="-2"/>
        </w:rPr>
        <w:t>changement</w:t>
      </w:r>
    </w:p>
    <w:p>
      <w:pPr>
        <w:pStyle w:val="ListParagraph"/>
        <w:numPr>
          <w:ilvl w:val="1"/>
          <w:numId w:val="1"/>
        </w:numPr>
        <w:tabs>
          <w:tab w:pos="1491" w:val="left" w:leader="none"/>
        </w:tabs>
        <w:spacing w:line="240" w:lineRule="auto" w:before="185" w:after="0"/>
        <w:ind w:left="1491" w:right="0" w:hanging="358"/>
        <w:jc w:val="left"/>
        <w:rPr>
          <w:sz w:val="24"/>
        </w:rPr>
      </w:pPr>
      <w:r>
        <w:rPr>
          <w:sz w:val="24"/>
        </w:rPr>
        <w:t>Cette</w:t>
      </w:r>
      <w:r>
        <w:rPr>
          <w:spacing w:val="23"/>
          <w:sz w:val="24"/>
        </w:rPr>
        <w:t> </w:t>
      </w:r>
      <w:r>
        <w:rPr>
          <w:sz w:val="24"/>
        </w:rPr>
        <w:t>théorie</w:t>
      </w:r>
      <w:r>
        <w:rPr>
          <w:spacing w:val="26"/>
          <w:sz w:val="24"/>
        </w:rPr>
        <w:t> </w:t>
      </w:r>
      <w:r>
        <w:rPr>
          <w:sz w:val="24"/>
        </w:rPr>
        <w:t>se</w:t>
      </w:r>
      <w:r>
        <w:rPr>
          <w:spacing w:val="26"/>
          <w:sz w:val="24"/>
        </w:rPr>
        <w:t> </w:t>
      </w:r>
      <w:r>
        <w:rPr>
          <w:sz w:val="24"/>
        </w:rPr>
        <w:t>fonde</w:t>
      </w:r>
      <w:r>
        <w:rPr>
          <w:spacing w:val="26"/>
          <w:sz w:val="24"/>
        </w:rPr>
        <w:t> </w:t>
      </w:r>
      <w:r>
        <w:rPr>
          <w:sz w:val="24"/>
        </w:rPr>
        <w:t>sur</w:t>
      </w:r>
      <w:r>
        <w:rPr>
          <w:spacing w:val="22"/>
          <w:sz w:val="24"/>
        </w:rPr>
        <w:t> </w:t>
      </w:r>
      <w:r>
        <w:rPr>
          <w:sz w:val="24"/>
        </w:rPr>
        <w:t>un</w:t>
      </w:r>
      <w:r>
        <w:rPr>
          <w:spacing w:val="25"/>
          <w:sz w:val="24"/>
        </w:rPr>
        <w:t> </w:t>
      </w:r>
      <w:r>
        <w:rPr>
          <w:sz w:val="24"/>
        </w:rPr>
        <w:t>nouveau</w:t>
      </w:r>
      <w:r>
        <w:rPr>
          <w:spacing w:val="26"/>
          <w:sz w:val="24"/>
        </w:rPr>
        <w:t> </w:t>
      </w:r>
      <w:r>
        <w:rPr>
          <w:sz w:val="24"/>
        </w:rPr>
        <w:t>modèle</w:t>
      </w:r>
      <w:r>
        <w:rPr>
          <w:spacing w:val="26"/>
          <w:sz w:val="24"/>
        </w:rPr>
        <w:t> </w:t>
      </w:r>
      <w:r>
        <w:rPr>
          <w:sz w:val="24"/>
        </w:rPr>
        <w:t>de</w:t>
      </w:r>
      <w:r>
        <w:rPr>
          <w:spacing w:val="26"/>
          <w:sz w:val="24"/>
        </w:rPr>
        <w:t> </w:t>
      </w:r>
      <w:r>
        <w:rPr>
          <w:sz w:val="24"/>
        </w:rPr>
        <w:t>développement</w:t>
      </w:r>
      <w:r>
        <w:rPr>
          <w:spacing w:val="34"/>
          <w:sz w:val="24"/>
        </w:rPr>
        <w:t> </w:t>
      </w:r>
      <w:r>
        <w:rPr>
          <w:sz w:val="24"/>
        </w:rPr>
        <w:t>endogène</w:t>
      </w:r>
      <w:r>
        <w:rPr>
          <w:spacing w:val="28"/>
          <w:sz w:val="24"/>
        </w:rPr>
        <w:t> </w:t>
      </w:r>
      <w:r>
        <w:rPr>
          <w:b/>
          <w:sz w:val="24"/>
        </w:rPr>
        <w:t>(Mali</w:t>
      </w:r>
      <w:r>
        <w:rPr>
          <w:b/>
          <w:spacing w:val="26"/>
          <w:sz w:val="24"/>
        </w:rPr>
        <w:t> </w:t>
      </w:r>
      <w:r>
        <w:rPr>
          <w:b/>
          <w:sz w:val="24"/>
        </w:rPr>
        <w:t>Kura</w:t>
      </w:r>
      <w:r>
        <w:rPr>
          <w:b/>
          <w:spacing w:val="25"/>
          <w:sz w:val="24"/>
        </w:rPr>
        <w:t> </w:t>
      </w:r>
      <w:r>
        <w:rPr>
          <w:b/>
          <w:spacing w:val="-2"/>
          <w:sz w:val="24"/>
        </w:rPr>
        <w:t>Taasira)</w:t>
      </w:r>
    </w:p>
    <w:p>
      <w:pPr>
        <w:pStyle w:val="BodyText"/>
        <w:spacing w:before="1"/>
        <w:ind w:firstLine="0"/>
        <w:jc w:val="left"/>
      </w:pPr>
      <w:r>
        <w:rPr/>
        <w:t>caractérisé</w:t>
      </w:r>
      <w:r>
        <w:rPr>
          <w:spacing w:val="-5"/>
        </w:rPr>
        <w:t> </w:t>
      </w:r>
      <w:r>
        <w:rPr/>
        <w:t>par</w:t>
      </w:r>
      <w:r>
        <w:rPr>
          <w:spacing w:val="-4"/>
        </w:rPr>
        <w:t> </w:t>
      </w:r>
      <w:r>
        <w:rPr/>
        <w:t>l'émergence</w:t>
      </w:r>
      <w:r>
        <w:rPr>
          <w:spacing w:val="-6"/>
        </w:rPr>
        <w:t> </w:t>
      </w:r>
      <w:r>
        <w:rPr/>
        <w:t>de</w:t>
      </w:r>
      <w:r>
        <w:rPr>
          <w:spacing w:val="-6"/>
        </w:rPr>
        <w:t> </w:t>
      </w:r>
      <w:r>
        <w:rPr/>
        <w:t>nouveaux</w:t>
      </w:r>
      <w:r>
        <w:rPr>
          <w:spacing w:val="-7"/>
        </w:rPr>
        <w:t> </w:t>
      </w:r>
      <w:r>
        <w:rPr/>
        <w:t>paradigmes</w:t>
      </w:r>
      <w:r>
        <w:rPr>
          <w:spacing w:val="-6"/>
        </w:rPr>
        <w:t> </w:t>
      </w:r>
      <w:r>
        <w:rPr>
          <w:spacing w:val="-10"/>
        </w:rPr>
        <w:t>:</w:t>
      </w:r>
    </w:p>
    <w:p>
      <w:pPr>
        <w:pStyle w:val="ListParagraph"/>
        <w:numPr>
          <w:ilvl w:val="0"/>
          <w:numId w:val="9"/>
        </w:numPr>
        <w:tabs>
          <w:tab w:pos="2355" w:val="left" w:leader="none"/>
        </w:tabs>
        <w:spacing w:line="240" w:lineRule="auto" w:before="183" w:after="0"/>
        <w:ind w:left="2355" w:right="1138" w:hanging="360"/>
        <w:jc w:val="both"/>
        <w:rPr>
          <w:sz w:val="24"/>
        </w:rPr>
      </w:pPr>
      <w:r>
        <w:rPr>
          <w:sz w:val="24"/>
        </w:rPr>
        <w:t>Le développement d’un État de force et de droit qui assure pleinement la puissance publique à travers ses prérogatives régaliennes et qui renforce son autorité et son leadership de manière à prendre en mains les secteurs stratégiques du développement ;</w:t>
      </w:r>
    </w:p>
    <w:p>
      <w:pPr>
        <w:pStyle w:val="ListParagraph"/>
        <w:numPr>
          <w:ilvl w:val="0"/>
          <w:numId w:val="9"/>
        </w:numPr>
        <w:tabs>
          <w:tab w:pos="2354" w:val="left" w:leader="none"/>
        </w:tabs>
        <w:spacing w:line="293" w:lineRule="exact" w:before="181" w:after="0"/>
        <w:ind w:left="2354" w:right="0" w:hanging="359"/>
        <w:jc w:val="left"/>
        <w:rPr>
          <w:sz w:val="24"/>
        </w:rPr>
      </w:pPr>
      <w:r>
        <w:rPr>
          <w:sz w:val="24"/>
        </w:rPr>
        <w:t>Le</w:t>
      </w:r>
      <w:r>
        <w:rPr>
          <w:spacing w:val="49"/>
          <w:sz w:val="24"/>
        </w:rPr>
        <w:t> </w:t>
      </w:r>
      <w:r>
        <w:rPr>
          <w:sz w:val="24"/>
        </w:rPr>
        <w:t>développement</w:t>
      </w:r>
      <w:r>
        <w:rPr>
          <w:spacing w:val="48"/>
          <w:sz w:val="24"/>
        </w:rPr>
        <w:t> </w:t>
      </w:r>
      <w:r>
        <w:rPr>
          <w:sz w:val="24"/>
        </w:rPr>
        <w:t>d'un</w:t>
      </w:r>
      <w:r>
        <w:rPr>
          <w:spacing w:val="46"/>
          <w:sz w:val="24"/>
        </w:rPr>
        <w:t> </w:t>
      </w:r>
      <w:r>
        <w:rPr>
          <w:sz w:val="24"/>
        </w:rPr>
        <w:t>patriotisme</w:t>
      </w:r>
      <w:r>
        <w:rPr>
          <w:spacing w:val="49"/>
          <w:sz w:val="24"/>
        </w:rPr>
        <w:t> </w:t>
      </w:r>
      <w:r>
        <w:rPr>
          <w:sz w:val="24"/>
        </w:rPr>
        <w:t>sain</w:t>
      </w:r>
      <w:r>
        <w:rPr>
          <w:spacing w:val="48"/>
          <w:sz w:val="24"/>
        </w:rPr>
        <w:t> </w:t>
      </w:r>
      <w:r>
        <w:rPr>
          <w:sz w:val="24"/>
        </w:rPr>
        <w:t>avec</w:t>
      </w:r>
      <w:r>
        <w:rPr>
          <w:spacing w:val="48"/>
          <w:sz w:val="24"/>
        </w:rPr>
        <w:t> </w:t>
      </w:r>
      <w:r>
        <w:rPr>
          <w:sz w:val="24"/>
        </w:rPr>
        <w:t>l'exemplarité</w:t>
      </w:r>
      <w:r>
        <w:rPr>
          <w:spacing w:val="49"/>
          <w:sz w:val="24"/>
        </w:rPr>
        <w:t> </w:t>
      </w:r>
      <w:r>
        <w:rPr>
          <w:sz w:val="24"/>
        </w:rPr>
        <w:t>des</w:t>
      </w:r>
      <w:r>
        <w:rPr>
          <w:spacing w:val="48"/>
          <w:sz w:val="24"/>
        </w:rPr>
        <w:t> </w:t>
      </w:r>
      <w:r>
        <w:rPr>
          <w:sz w:val="24"/>
        </w:rPr>
        <w:t>leaders</w:t>
      </w:r>
      <w:r>
        <w:rPr>
          <w:spacing w:val="47"/>
          <w:sz w:val="24"/>
        </w:rPr>
        <w:t> </w:t>
      </w:r>
      <w:r>
        <w:rPr>
          <w:sz w:val="24"/>
        </w:rPr>
        <w:t>et</w:t>
      </w:r>
      <w:r>
        <w:rPr>
          <w:spacing w:val="48"/>
          <w:sz w:val="24"/>
        </w:rPr>
        <w:t> </w:t>
      </w:r>
      <w:r>
        <w:rPr>
          <w:sz w:val="24"/>
        </w:rPr>
        <w:t>des</w:t>
      </w:r>
      <w:r>
        <w:rPr>
          <w:spacing w:val="49"/>
          <w:sz w:val="24"/>
        </w:rPr>
        <w:t> </w:t>
      </w:r>
      <w:r>
        <w:rPr>
          <w:spacing w:val="-2"/>
          <w:sz w:val="24"/>
        </w:rPr>
        <w:t>figures</w:t>
      </w:r>
    </w:p>
    <w:p>
      <w:pPr>
        <w:pStyle w:val="BodyText"/>
        <w:spacing w:line="275" w:lineRule="exact" w:before="0"/>
        <w:ind w:left="2355" w:firstLine="0"/>
        <w:jc w:val="left"/>
      </w:pPr>
      <w:r>
        <w:rPr/>
        <w:t>publiques</w:t>
      </w:r>
      <w:r>
        <w:rPr>
          <w:spacing w:val="-6"/>
        </w:rPr>
        <w:t> </w:t>
      </w:r>
      <w:r>
        <w:rPr/>
        <w:t>et</w:t>
      </w:r>
      <w:r>
        <w:rPr>
          <w:spacing w:val="-5"/>
        </w:rPr>
        <w:t> </w:t>
      </w:r>
      <w:r>
        <w:rPr/>
        <w:t>de</w:t>
      </w:r>
      <w:r>
        <w:rPr>
          <w:spacing w:val="-5"/>
        </w:rPr>
        <w:t> </w:t>
      </w:r>
      <w:r>
        <w:rPr/>
        <w:t>l’administration</w:t>
      </w:r>
      <w:r>
        <w:rPr>
          <w:spacing w:val="-4"/>
        </w:rPr>
        <w:t> </w:t>
      </w:r>
      <w:r>
        <w:rPr>
          <w:spacing w:val="-10"/>
        </w:rPr>
        <w:t>;</w:t>
      </w:r>
    </w:p>
    <w:p>
      <w:pPr>
        <w:pStyle w:val="ListParagraph"/>
        <w:numPr>
          <w:ilvl w:val="0"/>
          <w:numId w:val="9"/>
        </w:numPr>
        <w:tabs>
          <w:tab w:pos="2355" w:val="left" w:leader="none"/>
        </w:tabs>
        <w:spacing w:line="240" w:lineRule="auto" w:before="183" w:after="0"/>
        <w:ind w:left="2355" w:right="1139" w:hanging="360"/>
        <w:jc w:val="both"/>
        <w:rPr>
          <w:sz w:val="24"/>
        </w:rPr>
      </w:pPr>
      <w:r>
        <w:rPr>
          <w:sz w:val="24"/>
        </w:rPr>
        <w:t>Le changement intégral du système éducatif pour favoriser l’émergence d’un citoyen bien éduqué, responsable, porteur de valeurs morales et ayant les compétences pour naviguer dans ce monde complexe ;</w:t>
      </w:r>
    </w:p>
    <w:p>
      <w:pPr>
        <w:pStyle w:val="ListParagraph"/>
        <w:numPr>
          <w:ilvl w:val="0"/>
          <w:numId w:val="9"/>
        </w:numPr>
        <w:tabs>
          <w:tab w:pos="2355" w:val="left" w:leader="none"/>
        </w:tabs>
        <w:spacing w:line="240" w:lineRule="auto" w:before="274" w:after="0"/>
        <w:ind w:left="2355" w:right="1139" w:hanging="360"/>
        <w:jc w:val="both"/>
        <w:rPr>
          <w:sz w:val="24"/>
        </w:rPr>
      </w:pPr>
      <w:r>
        <w:rPr>
          <w:sz w:val="24"/>
        </w:rPr>
        <w:t>Le changement d’approche sur les questions de population, qui seront désormais considérées comme une opportunité et avec un accent particulier sur le rôle primordial de</w:t>
      </w:r>
      <w:r>
        <w:rPr>
          <w:spacing w:val="40"/>
          <w:sz w:val="24"/>
        </w:rPr>
        <w:t> </w:t>
      </w:r>
      <w:r>
        <w:rPr>
          <w:sz w:val="24"/>
        </w:rPr>
        <w:t>la jeunesse et des femmes ;</w:t>
      </w:r>
    </w:p>
    <w:p>
      <w:pPr>
        <w:pStyle w:val="ListParagraph"/>
        <w:numPr>
          <w:ilvl w:val="0"/>
          <w:numId w:val="9"/>
        </w:numPr>
        <w:tabs>
          <w:tab w:pos="2355" w:val="left" w:leader="none"/>
        </w:tabs>
        <w:spacing w:line="240" w:lineRule="auto" w:before="274" w:after="0"/>
        <w:ind w:left="2355" w:right="1135" w:hanging="360"/>
        <w:jc w:val="both"/>
        <w:rPr>
          <w:sz w:val="24"/>
        </w:rPr>
      </w:pPr>
      <w:r>
        <w:rPr>
          <w:sz w:val="24"/>
        </w:rPr>
        <w:t>L’affirmation de la souveraineté du pays vis-à-vis des</w:t>
      </w:r>
      <w:r>
        <w:rPr>
          <w:spacing w:val="-1"/>
          <w:sz w:val="24"/>
        </w:rPr>
        <w:t> </w:t>
      </w:r>
      <w:r>
        <w:rPr>
          <w:sz w:val="24"/>
        </w:rPr>
        <w:t>partenaires</w:t>
      </w:r>
      <w:r>
        <w:rPr>
          <w:spacing w:val="-1"/>
          <w:sz w:val="24"/>
        </w:rPr>
        <w:t> </w:t>
      </w:r>
      <w:r>
        <w:rPr>
          <w:sz w:val="24"/>
        </w:rPr>
        <w:t>extérieurs</w:t>
      </w:r>
      <w:r>
        <w:rPr>
          <w:spacing w:val="-2"/>
          <w:sz w:val="24"/>
        </w:rPr>
        <w:t> </w:t>
      </w:r>
      <w:r>
        <w:rPr>
          <w:sz w:val="24"/>
        </w:rPr>
        <w:t>et surtout dans l’exploitation et le partage des rentes des ressources minérales afin de financer son </w:t>
      </w:r>
      <w:r>
        <w:rPr>
          <w:spacing w:val="-2"/>
          <w:sz w:val="24"/>
        </w:rPr>
        <w:t>développement.</w:t>
      </w:r>
    </w:p>
    <w:p>
      <w:pPr>
        <w:pStyle w:val="ListParagraph"/>
        <w:spacing w:after="0" w:line="240" w:lineRule="auto"/>
        <w:jc w:val="both"/>
        <w:rPr>
          <w:sz w:val="24"/>
        </w:rPr>
        <w:sectPr>
          <w:pgSz w:w="11910" w:h="16840"/>
          <w:pgMar w:header="0" w:footer="680" w:top="1320" w:bottom="960" w:left="283" w:right="141"/>
        </w:sectPr>
      </w:pPr>
    </w:p>
    <w:p>
      <w:pPr>
        <w:pStyle w:val="ListParagraph"/>
        <w:numPr>
          <w:ilvl w:val="0"/>
          <w:numId w:val="9"/>
        </w:numPr>
        <w:tabs>
          <w:tab w:pos="2354" w:val="left" w:leader="none"/>
        </w:tabs>
        <w:spacing w:line="293" w:lineRule="exact" w:before="81" w:after="0"/>
        <w:ind w:left="2354" w:right="0" w:hanging="359"/>
        <w:jc w:val="left"/>
        <w:rPr>
          <w:sz w:val="24"/>
        </w:rPr>
      </w:pPr>
      <w:r>
        <w:rPr>
          <w:sz w:val="24"/>
        </w:rPr>
        <w:t>L’accompagnement</w:t>
      </w:r>
      <w:r>
        <w:rPr>
          <w:spacing w:val="63"/>
          <w:sz w:val="24"/>
        </w:rPr>
        <w:t> </w:t>
      </w:r>
      <w:r>
        <w:rPr>
          <w:sz w:val="24"/>
        </w:rPr>
        <w:t>et</w:t>
      </w:r>
      <w:r>
        <w:rPr>
          <w:spacing w:val="64"/>
          <w:sz w:val="24"/>
        </w:rPr>
        <w:t> </w:t>
      </w:r>
      <w:r>
        <w:rPr>
          <w:sz w:val="24"/>
        </w:rPr>
        <w:t>le</w:t>
      </w:r>
      <w:r>
        <w:rPr>
          <w:spacing w:val="63"/>
          <w:sz w:val="24"/>
        </w:rPr>
        <w:t> </w:t>
      </w:r>
      <w:r>
        <w:rPr>
          <w:sz w:val="24"/>
        </w:rPr>
        <w:t>soutien</w:t>
      </w:r>
      <w:r>
        <w:rPr>
          <w:spacing w:val="66"/>
          <w:sz w:val="24"/>
        </w:rPr>
        <w:t> </w:t>
      </w:r>
      <w:r>
        <w:rPr>
          <w:sz w:val="24"/>
        </w:rPr>
        <w:t>au</w:t>
      </w:r>
      <w:r>
        <w:rPr>
          <w:spacing w:val="65"/>
          <w:sz w:val="24"/>
        </w:rPr>
        <w:t> </w:t>
      </w:r>
      <w:r>
        <w:rPr>
          <w:sz w:val="24"/>
        </w:rPr>
        <w:t>secteur</w:t>
      </w:r>
      <w:r>
        <w:rPr>
          <w:spacing w:val="63"/>
          <w:sz w:val="24"/>
        </w:rPr>
        <w:t> </w:t>
      </w:r>
      <w:r>
        <w:rPr>
          <w:sz w:val="24"/>
        </w:rPr>
        <w:t>privé</w:t>
      </w:r>
      <w:r>
        <w:rPr>
          <w:spacing w:val="63"/>
          <w:sz w:val="24"/>
        </w:rPr>
        <w:t> </w:t>
      </w:r>
      <w:r>
        <w:rPr>
          <w:sz w:val="24"/>
        </w:rPr>
        <w:t>productif</w:t>
      </w:r>
      <w:r>
        <w:rPr>
          <w:spacing w:val="64"/>
          <w:sz w:val="24"/>
        </w:rPr>
        <w:t> </w:t>
      </w:r>
      <w:r>
        <w:rPr>
          <w:sz w:val="24"/>
        </w:rPr>
        <w:t>comme</w:t>
      </w:r>
      <w:r>
        <w:rPr>
          <w:spacing w:val="65"/>
          <w:sz w:val="24"/>
        </w:rPr>
        <w:t> </w:t>
      </w:r>
      <w:r>
        <w:rPr>
          <w:sz w:val="24"/>
        </w:rPr>
        <w:t>catalyseur</w:t>
      </w:r>
      <w:r>
        <w:rPr>
          <w:spacing w:val="65"/>
          <w:sz w:val="24"/>
        </w:rPr>
        <w:t> </w:t>
      </w:r>
      <w:r>
        <w:rPr>
          <w:sz w:val="24"/>
        </w:rPr>
        <w:t>de</w:t>
      </w:r>
      <w:r>
        <w:rPr>
          <w:spacing w:val="64"/>
          <w:sz w:val="24"/>
        </w:rPr>
        <w:t> </w:t>
      </w:r>
      <w:r>
        <w:rPr>
          <w:spacing w:val="-5"/>
          <w:sz w:val="24"/>
        </w:rPr>
        <w:t>la</w:t>
      </w:r>
    </w:p>
    <w:p>
      <w:pPr>
        <w:pStyle w:val="BodyText"/>
        <w:spacing w:line="275" w:lineRule="exact" w:before="0"/>
        <w:ind w:left="2355" w:firstLine="0"/>
        <w:jc w:val="left"/>
      </w:pPr>
      <w:r>
        <w:rPr/>
        <w:t>croissance</w:t>
      </w:r>
      <w:r>
        <w:rPr>
          <w:spacing w:val="-8"/>
        </w:rPr>
        <w:t> </w:t>
      </w:r>
      <w:r>
        <w:rPr>
          <w:spacing w:val="-10"/>
        </w:rPr>
        <w:t>;</w:t>
      </w:r>
    </w:p>
    <w:p>
      <w:pPr>
        <w:pStyle w:val="ListParagraph"/>
        <w:numPr>
          <w:ilvl w:val="0"/>
          <w:numId w:val="9"/>
        </w:numPr>
        <w:tabs>
          <w:tab w:pos="2355" w:val="left" w:leader="none"/>
        </w:tabs>
        <w:spacing w:line="240" w:lineRule="auto" w:before="184" w:after="0"/>
        <w:ind w:left="2355" w:right="1143" w:hanging="360"/>
        <w:jc w:val="left"/>
        <w:rPr>
          <w:sz w:val="24"/>
        </w:rPr>
      </w:pPr>
      <w:r>
        <w:rPr>
          <w:sz w:val="24"/>
        </w:rPr>
        <w:t>Une meilleure</w:t>
      </w:r>
      <w:r>
        <w:rPr>
          <w:spacing w:val="-1"/>
          <w:sz w:val="24"/>
        </w:rPr>
        <w:t> </w:t>
      </w:r>
      <w:r>
        <w:rPr>
          <w:sz w:val="24"/>
        </w:rPr>
        <w:t>justice sociale à travers une distribution</w:t>
      </w:r>
      <w:r>
        <w:rPr>
          <w:spacing w:val="-2"/>
          <w:sz w:val="24"/>
        </w:rPr>
        <w:t> </w:t>
      </w:r>
      <w:r>
        <w:rPr>
          <w:sz w:val="24"/>
        </w:rPr>
        <w:t>et une rétribution équitable</w:t>
      </w:r>
      <w:r>
        <w:rPr>
          <w:spacing w:val="-3"/>
          <w:sz w:val="24"/>
        </w:rPr>
        <w:t> </w:t>
      </w:r>
      <w:r>
        <w:rPr>
          <w:sz w:val="24"/>
        </w:rPr>
        <w:t>des</w:t>
      </w:r>
      <w:r>
        <w:rPr>
          <w:spacing w:val="-1"/>
          <w:sz w:val="24"/>
        </w:rPr>
        <w:t> </w:t>
      </w:r>
      <w:r>
        <w:rPr>
          <w:sz w:val="24"/>
        </w:rPr>
        <w:t>fruits de la croissance.</w:t>
      </w:r>
    </w:p>
    <w:p>
      <w:pPr>
        <w:pStyle w:val="Heading3"/>
        <w:numPr>
          <w:ilvl w:val="1"/>
          <w:numId w:val="8"/>
        </w:numPr>
        <w:tabs>
          <w:tab w:pos="1514" w:val="left" w:leader="none"/>
        </w:tabs>
        <w:spacing w:line="240" w:lineRule="auto" w:before="181" w:after="0"/>
        <w:ind w:left="1514" w:right="0" w:hanging="381"/>
        <w:jc w:val="both"/>
      </w:pPr>
      <w:bookmarkStart w:name="_bookmark14" w:id="15"/>
      <w:bookmarkEnd w:id="15"/>
      <w:r>
        <w:rPr>
          <w:b w:val="0"/>
        </w:rPr>
      </w:r>
      <w:r>
        <w:rPr>
          <w:color w:val="2E5395"/>
        </w:rPr>
        <w:t>Stratégies</w:t>
      </w:r>
      <w:r>
        <w:rPr>
          <w:color w:val="2E5395"/>
          <w:spacing w:val="-8"/>
        </w:rPr>
        <w:t> </w:t>
      </w:r>
      <w:r>
        <w:rPr>
          <w:color w:val="2E5395"/>
          <w:spacing w:val="-2"/>
        </w:rPr>
        <w:t>d'Opérationnalisation</w:t>
      </w:r>
    </w:p>
    <w:p>
      <w:pPr>
        <w:pStyle w:val="ListParagraph"/>
        <w:numPr>
          <w:ilvl w:val="1"/>
          <w:numId w:val="1"/>
        </w:numPr>
        <w:tabs>
          <w:tab w:pos="1488" w:val="left" w:leader="none"/>
          <w:tab w:pos="1491" w:val="left" w:leader="none"/>
        </w:tabs>
        <w:spacing w:line="240" w:lineRule="auto" w:before="121" w:after="0"/>
        <w:ind w:left="1491" w:right="1125" w:hanging="358"/>
        <w:jc w:val="both"/>
        <w:rPr>
          <w:sz w:val="24"/>
        </w:rPr>
      </w:pPr>
      <w:r>
        <w:rPr>
          <w:sz w:val="24"/>
        </w:rPr>
        <w:t>L’opérationnalisation de cette Vision s’articule autour : du Renforcement du rôle de l’Etat ;</w:t>
      </w:r>
      <w:r>
        <w:rPr>
          <w:spacing w:val="40"/>
          <w:sz w:val="24"/>
        </w:rPr>
        <w:t> </w:t>
      </w:r>
      <w:r>
        <w:rPr>
          <w:sz w:val="24"/>
        </w:rPr>
        <w:t>de la Consolidation de la confiance aux institutions et de la libération du potentiel communautaire ; du Renforcement du leadership des fonctions de prospective et de planification stratégique ; du renforcement du rôle du secteur privé dans le développement économique, du renforcement du système de planification et du système statistique ; de la mise en place d’un dispositif dynamique de suivi-évaluation ; de la Stratégie nationale de communication pour améliorer la participation des parties prenantes et attirer des partenaires financiers ; de la mobilisation de fonds intérieurs et extérieurs pour financer les projets structurants et intégrateurs et d’un système de suivi </w:t>
      </w:r>
      <w:r>
        <w:rPr>
          <w:spacing w:val="-2"/>
          <w:sz w:val="24"/>
        </w:rPr>
        <w:t>cartographique.</w:t>
      </w:r>
    </w:p>
    <w:p>
      <w:pPr>
        <w:pStyle w:val="BodyText"/>
        <w:spacing w:before="1"/>
        <w:ind w:left="0" w:firstLine="0"/>
        <w:jc w:val="left"/>
      </w:pPr>
    </w:p>
    <w:p>
      <w:pPr>
        <w:pStyle w:val="Heading3"/>
        <w:numPr>
          <w:ilvl w:val="1"/>
          <w:numId w:val="8"/>
        </w:numPr>
        <w:tabs>
          <w:tab w:pos="1516" w:val="left" w:leader="none"/>
        </w:tabs>
        <w:spacing w:line="240" w:lineRule="auto" w:before="1" w:after="0"/>
        <w:ind w:left="1516" w:right="0" w:hanging="383"/>
        <w:jc w:val="both"/>
      </w:pPr>
      <w:bookmarkStart w:name="_bookmark15" w:id="16"/>
      <w:bookmarkEnd w:id="16"/>
      <w:r>
        <w:rPr>
          <w:b w:val="0"/>
        </w:rPr>
      </w:r>
      <w:r>
        <w:rPr>
          <w:color w:val="2E5395"/>
        </w:rPr>
        <w:t>Cibles</w:t>
      </w:r>
      <w:r>
        <w:rPr>
          <w:color w:val="2E5395"/>
          <w:spacing w:val="-3"/>
        </w:rPr>
        <w:t> </w:t>
      </w:r>
      <w:r>
        <w:rPr>
          <w:color w:val="2E5395"/>
        </w:rPr>
        <w:t>de</w:t>
      </w:r>
      <w:r>
        <w:rPr>
          <w:color w:val="2E5395"/>
          <w:spacing w:val="-3"/>
        </w:rPr>
        <w:t> </w:t>
      </w:r>
      <w:r>
        <w:rPr>
          <w:color w:val="2E5395"/>
        </w:rPr>
        <w:t>la</w:t>
      </w:r>
      <w:r>
        <w:rPr>
          <w:color w:val="2E5395"/>
          <w:spacing w:val="-2"/>
        </w:rPr>
        <w:t> </w:t>
      </w:r>
      <w:r>
        <w:rPr>
          <w:color w:val="2E5395"/>
        </w:rPr>
        <w:t>Vison</w:t>
      </w:r>
      <w:r>
        <w:rPr>
          <w:color w:val="2E5395"/>
          <w:spacing w:val="-3"/>
        </w:rPr>
        <w:t> </w:t>
      </w:r>
      <w:r>
        <w:rPr>
          <w:color w:val="2E5395"/>
        </w:rPr>
        <w:t>Mali</w:t>
      </w:r>
      <w:r>
        <w:rPr>
          <w:color w:val="2E5395"/>
          <w:spacing w:val="-2"/>
        </w:rPr>
        <w:t> </w:t>
      </w:r>
      <w:r>
        <w:rPr>
          <w:color w:val="2E5395"/>
          <w:spacing w:val="-4"/>
        </w:rPr>
        <w:t>2063</w:t>
      </w:r>
    </w:p>
    <w:p>
      <w:pPr>
        <w:pStyle w:val="ListParagraph"/>
        <w:numPr>
          <w:ilvl w:val="1"/>
          <w:numId w:val="1"/>
        </w:numPr>
        <w:tabs>
          <w:tab w:pos="1488" w:val="left" w:leader="none"/>
          <w:tab w:pos="1491" w:val="left" w:leader="none"/>
        </w:tabs>
        <w:spacing w:line="240" w:lineRule="auto" w:before="118" w:after="0"/>
        <w:ind w:left="1491" w:right="1138" w:hanging="358"/>
        <w:jc w:val="both"/>
        <w:rPr>
          <w:sz w:val="24"/>
        </w:rPr>
      </w:pPr>
      <w:r>
        <w:rPr>
          <w:sz w:val="24"/>
        </w:rPr>
        <w:t>Avec une approche volontariste, le choix de certaines cibles est basé sur les données récentes de trois pays émergents caractérisés par une forte dynamique économique : l’Afrique du Sud, l’Île Maurice et le Maroc. L’Afrique du Sud, membre des BRICS, et l’Île Maurice sont des pays émergents qui peuvent servir de référence pour le Mali dans son objectif de devenir un pays émergent et industrialisé d’ici 2063. Aussi, il s’agit de deux pays de la région Subsaharienne dont la trajectoire de développement peut valoir également pour le Mali.</w:t>
      </w:r>
    </w:p>
    <w:p>
      <w:pPr>
        <w:pStyle w:val="ListParagraph"/>
        <w:numPr>
          <w:ilvl w:val="1"/>
          <w:numId w:val="1"/>
        </w:numPr>
        <w:tabs>
          <w:tab w:pos="1488" w:val="left" w:leader="none"/>
          <w:tab w:pos="1491" w:val="left" w:leader="none"/>
        </w:tabs>
        <w:spacing w:line="240" w:lineRule="auto" w:before="121" w:after="0"/>
        <w:ind w:left="1491" w:right="1138" w:hanging="358"/>
        <w:jc w:val="both"/>
        <w:rPr>
          <w:sz w:val="24"/>
        </w:rPr>
      </w:pPr>
      <w:r>
        <w:rPr>
          <w:sz w:val="24"/>
        </w:rPr>
        <w:t>En outre, le Vietnam et le Rwanda constituent une référence en termes de politiques et de stratégies de résilience après-guerre.</w:t>
      </w:r>
      <w:r>
        <w:rPr>
          <w:spacing w:val="-1"/>
          <w:sz w:val="24"/>
        </w:rPr>
        <w:t> </w:t>
      </w:r>
      <w:r>
        <w:rPr>
          <w:sz w:val="24"/>
        </w:rPr>
        <w:t>Compte tenu des similitudes historiques, géographiques et économiques, le Vietnam peut être considéré comme un exemple pertinent de comparaison pour le Mali. Au cours des 40 dernières années, le Vietnam a connu une transformation économique spectaculaire, passant d'un pays pauvre à une économie en développement dynamique. Cette croissance a été favorisée par des politiques d'ouverture économique, d'investissement dans l'éducation et la santé, et de promotion des exportations.</w:t>
      </w:r>
    </w:p>
    <w:p>
      <w:pPr>
        <w:pStyle w:val="ListParagraph"/>
        <w:numPr>
          <w:ilvl w:val="1"/>
          <w:numId w:val="1"/>
        </w:numPr>
        <w:tabs>
          <w:tab w:pos="1488" w:val="left" w:leader="none"/>
          <w:tab w:pos="1491" w:val="left" w:leader="none"/>
        </w:tabs>
        <w:spacing w:line="240" w:lineRule="auto" w:before="120" w:after="0"/>
        <w:ind w:left="1491" w:right="1130" w:hanging="358"/>
        <w:jc w:val="both"/>
        <w:rPr>
          <w:sz w:val="24"/>
        </w:rPr>
      </w:pPr>
      <w:r>
        <w:rPr>
          <w:sz w:val="24"/>
        </w:rPr>
        <w:t>En plus de ces pays, des objectifs ambitieux de l’Agenda 2063 de l’Union Africaine pour la décennie 2033 ont servi également de référence pour certains indicateurs de notre Vision à l’horizon de la même décennie.</w:t>
      </w:r>
    </w:p>
    <w:p>
      <w:pPr>
        <w:pStyle w:val="BodyText"/>
        <w:spacing w:before="31"/>
        <w:ind w:left="0" w:firstLine="0"/>
        <w:jc w:val="left"/>
      </w:pPr>
    </w:p>
    <w:p>
      <w:pPr>
        <w:spacing w:before="1"/>
        <w:ind w:left="1186" w:right="0" w:firstLine="0"/>
        <w:jc w:val="left"/>
        <w:rPr>
          <w:sz w:val="24"/>
        </w:rPr>
      </w:pPr>
      <w:r>
        <w:rPr>
          <w:b/>
          <w:sz w:val="24"/>
        </w:rPr>
        <w:t>Tableau</w:t>
      </w:r>
      <w:r>
        <w:rPr>
          <w:b/>
          <w:spacing w:val="-7"/>
          <w:sz w:val="24"/>
        </w:rPr>
        <w:t> </w:t>
      </w:r>
      <w:r>
        <w:rPr>
          <w:b/>
          <w:sz w:val="24"/>
        </w:rPr>
        <w:t>:</w:t>
      </w:r>
      <w:r>
        <w:rPr>
          <w:b/>
          <w:spacing w:val="-9"/>
          <w:sz w:val="24"/>
        </w:rPr>
        <w:t> </w:t>
      </w:r>
      <w:r>
        <w:rPr>
          <w:sz w:val="24"/>
        </w:rPr>
        <w:t>Récapitulatif</w:t>
      </w:r>
      <w:r>
        <w:rPr>
          <w:spacing w:val="-6"/>
          <w:sz w:val="24"/>
        </w:rPr>
        <w:t> </w:t>
      </w:r>
      <w:r>
        <w:rPr>
          <w:sz w:val="24"/>
        </w:rPr>
        <w:t>des</w:t>
      </w:r>
      <w:r>
        <w:rPr>
          <w:spacing w:val="-9"/>
          <w:sz w:val="24"/>
        </w:rPr>
        <w:t> </w:t>
      </w:r>
      <w:r>
        <w:rPr>
          <w:sz w:val="24"/>
        </w:rPr>
        <w:t>cibles</w:t>
      </w:r>
      <w:r>
        <w:rPr>
          <w:spacing w:val="-4"/>
          <w:sz w:val="24"/>
        </w:rPr>
        <w:t> </w:t>
      </w:r>
      <w:r>
        <w:rPr>
          <w:sz w:val="24"/>
        </w:rPr>
        <w:t>de</w:t>
      </w:r>
      <w:r>
        <w:rPr>
          <w:spacing w:val="-6"/>
          <w:sz w:val="24"/>
        </w:rPr>
        <w:t> </w:t>
      </w:r>
      <w:r>
        <w:rPr>
          <w:sz w:val="24"/>
        </w:rPr>
        <w:t>la</w:t>
      </w:r>
      <w:r>
        <w:rPr>
          <w:spacing w:val="-3"/>
          <w:sz w:val="24"/>
        </w:rPr>
        <w:t> </w:t>
      </w:r>
      <w:r>
        <w:rPr>
          <w:spacing w:val="-2"/>
          <w:sz w:val="24"/>
        </w:rPr>
        <w:t>Vision</w:t>
      </w:r>
    </w:p>
    <w:p>
      <w:pPr>
        <w:pStyle w:val="BodyText"/>
        <w:spacing w:before="10"/>
        <w:ind w:left="0" w:firstLine="0"/>
        <w:jc w:val="left"/>
        <w:rPr>
          <w:sz w:val="15"/>
        </w:rPr>
      </w:pPr>
    </w:p>
    <w:tbl>
      <w:tblPr>
        <w:tblW w:w="0" w:type="auto"/>
        <w:jc w:val="left"/>
        <w:tblInd w:w="1132" w:type="dxa"/>
        <w:tblBorders>
          <w:top w:val="single" w:sz="18" w:space="0" w:color="221F1F"/>
          <w:left w:val="single" w:sz="18" w:space="0" w:color="221F1F"/>
          <w:bottom w:val="single" w:sz="18" w:space="0" w:color="221F1F"/>
          <w:right w:val="single" w:sz="18" w:space="0" w:color="221F1F"/>
          <w:insideH w:val="single" w:sz="18" w:space="0" w:color="221F1F"/>
          <w:insideV w:val="single" w:sz="18" w:space="0" w:color="221F1F"/>
        </w:tblBorders>
        <w:tblLayout w:type="fixed"/>
        <w:tblCellMar>
          <w:top w:w="0" w:type="dxa"/>
          <w:left w:w="0" w:type="dxa"/>
          <w:bottom w:w="0" w:type="dxa"/>
          <w:right w:w="0" w:type="dxa"/>
        </w:tblCellMar>
        <w:tblLook w:val="01E0"/>
      </w:tblPr>
      <w:tblGrid>
        <w:gridCol w:w="362"/>
        <w:gridCol w:w="2151"/>
        <w:gridCol w:w="890"/>
        <w:gridCol w:w="768"/>
        <w:gridCol w:w="725"/>
        <w:gridCol w:w="777"/>
        <w:gridCol w:w="806"/>
        <w:gridCol w:w="1224"/>
        <w:gridCol w:w="1557"/>
      </w:tblGrid>
      <w:tr>
        <w:trPr>
          <w:trHeight w:val="634" w:hRule="atLeast"/>
        </w:trPr>
        <w:tc>
          <w:tcPr>
            <w:tcW w:w="362" w:type="dxa"/>
            <w:vMerge w:val="restart"/>
            <w:tcBorders>
              <w:bottom w:val="single" w:sz="8" w:space="0" w:color="221F1F"/>
              <w:right w:val="single" w:sz="8" w:space="0" w:color="221F1F"/>
            </w:tcBorders>
            <w:shd w:val="clear" w:color="auto" w:fill="BED7EB"/>
          </w:tcPr>
          <w:p>
            <w:pPr>
              <w:pStyle w:val="TableParagraph"/>
              <w:spacing w:before="147"/>
              <w:rPr>
                <w:sz w:val="22"/>
              </w:rPr>
            </w:pPr>
          </w:p>
          <w:p>
            <w:pPr>
              <w:pStyle w:val="TableParagraph"/>
              <w:ind w:left="126" w:right="-15"/>
              <w:rPr>
                <w:b/>
                <w:sz w:val="22"/>
              </w:rPr>
            </w:pPr>
            <w:r>
              <w:rPr>
                <w:b/>
                <w:color w:val="221F1F"/>
                <w:spacing w:val="-5"/>
                <w:sz w:val="22"/>
              </w:rPr>
              <w:t>N°</w:t>
            </w:r>
          </w:p>
        </w:tc>
        <w:tc>
          <w:tcPr>
            <w:tcW w:w="2151"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47"/>
              <w:rPr>
                <w:sz w:val="22"/>
              </w:rPr>
            </w:pPr>
          </w:p>
          <w:p>
            <w:pPr>
              <w:pStyle w:val="TableParagraph"/>
              <w:ind w:left="278"/>
              <w:rPr>
                <w:b/>
                <w:sz w:val="22"/>
              </w:rPr>
            </w:pPr>
            <w:r>
              <w:rPr>
                <w:b/>
                <w:color w:val="FFFFFF"/>
                <w:w w:val="80"/>
                <w:sz w:val="22"/>
              </w:rPr>
              <w:t>Intitulé</w:t>
            </w:r>
            <w:r>
              <w:rPr>
                <w:b/>
                <w:color w:val="FFFFFF"/>
                <w:spacing w:val="-9"/>
                <w:sz w:val="22"/>
              </w:rPr>
              <w:t> </w:t>
            </w:r>
            <w:r>
              <w:rPr>
                <w:b/>
                <w:color w:val="FFFFFF"/>
                <w:w w:val="80"/>
                <w:sz w:val="22"/>
              </w:rPr>
              <w:t>de</w:t>
            </w:r>
            <w:r>
              <w:rPr>
                <w:b/>
                <w:color w:val="FFFFFF"/>
                <w:spacing w:val="-9"/>
                <w:sz w:val="22"/>
              </w:rPr>
              <w:t> </w:t>
            </w:r>
            <w:r>
              <w:rPr>
                <w:b/>
                <w:color w:val="FFFFFF"/>
                <w:spacing w:val="-2"/>
                <w:w w:val="80"/>
                <w:sz w:val="22"/>
              </w:rPr>
              <w:t>l’indicateur</w:t>
            </w:r>
          </w:p>
        </w:tc>
        <w:tc>
          <w:tcPr>
            <w:tcW w:w="89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5"/>
              <w:rPr>
                <w:sz w:val="22"/>
              </w:rPr>
            </w:pPr>
          </w:p>
          <w:p>
            <w:pPr>
              <w:pStyle w:val="TableParagraph"/>
              <w:spacing w:line="254" w:lineRule="auto"/>
              <w:ind w:left="112" w:right="25" w:firstLine="228"/>
              <w:rPr>
                <w:b/>
                <w:sz w:val="22"/>
              </w:rPr>
            </w:pPr>
            <w:r>
              <w:rPr>
                <w:b/>
                <w:color w:val="FFFFFF"/>
                <w:spacing w:val="-2"/>
                <w:w w:val="90"/>
                <w:sz w:val="22"/>
              </w:rPr>
              <w:t>Valeur </w:t>
            </w:r>
            <w:r>
              <w:rPr>
                <w:b/>
                <w:color w:val="FFFFFF"/>
                <w:spacing w:val="-6"/>
                <w:w w:val="95"/>
                <w:sz w:val="22"/>
              </w:rPr>
              <w:t>de </w:t>
            </w:r>
            <w:r>
              <w:rPr>
                <w:b/>
                <w:color w:val="FFFFFF"/>
                <w:spacing w:val="-2"/>
                <w:w w:val="85"/>
                <w:sz w:val="22"/>
              </w:rPr>
              <w:t>référence</w:t>
            </w:r>
          </w:p>
          <w:p>
            <w:pPr>
              <w:pStyle w:val="TableParagraph"/>
              <w:spacing w:line="242" w:lineRule="exact"/>
              <w:ind w:left="112"/>
              <w:rPr>
                <w:b/>
                <w:sz w:val="22"/>
              </w:rPr>
            </w:pPr>
            <w:r>
              <w:rPr>
                <w:b/>
                <w:color w:val="FFFFFF"/>
                <w:spacing w:val="-4"/>
                <w:w w:val="90"/>
                <w:sz w:val="22"/>
              </w:rPr>
              <w:t>2022</w:t>
            </w:r>
          </w:p>
        </w:tc>
        <w:tc>
          <w:tcPr>
            <w:tcW w:w="3076" w:type="dxa"/>
            <w:gridSpan w:val="4"/>
            <w:tcBorders>
              <w:left w:val="single" w:sz="8" w:space="0" w:color="221F1F"/>
              <w:bottom w:val="single" w:sz="8" w:space="0" w:color="221F1F"/>
              <w:right w:val="single" w:sz="8" w:space="0" w:color="221F1F"/>
            </w:tcBorders>
            <w:shd w:val="clear" w:color="auto" w:fill="0066B3"/>
          </w:tcPr>
          <w:p>
            <w:pPr>
              <w:pStyle w:val="TableParagraph"/>
              <w:spacing w:before="189"/>
              <w:ind w:right="167"/>
              <w:jc w:val="center"/>
              <w:rPr>
                <w:b/>
                <w:sz w:val="22"/>
              </w:rPr>
            </w:pPr>
            <w:r>
              <w:rPr>
                <w:b/>
                <w:color w:val="FFFFFF"/>
                <w:w w:val="75"/>
                <w:sz w:val="22"/>
              </w:rPr>
              <w:t>Valeur</w:t>
            </w:r>
            <w:r>
              <w:rPr>
                <w:b/>
                <w:color w:val="FFFFFF"/>
                <w:spacing w:val="14"/>
                <w:sz w:val="22"/>
              </w:rPr>
              <w:t> </w:t>
            </w:r>
            <w:r>
              <w:rPr>
                <w:b/>
                <w:color w:val="FFFFFF"/>
                <w:spacing w:val="-4"/>
                <w:w w:val="95"/>
                <w:sz w:val="22"/>
              </w:rPr>
              <w:t>cible</w:t>
            </w:r>
          </w:p>
        </w:tc>
        <w:tc>
          <w:tcPr>
            <w:tcW w:w="1224"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5"/>
              <w:rPr>
                <w:sz w:val="22"/>
              </w:rPr>
            </w:pPr>
          </w:p>
          <w:p>
            <w:pPr>
              <w:pStyle w:val="TableParagraph"/>
              <w:spacing w:line="252" w:lineRule="auto"/>
              <w:ind w:left="179" w:right="229" w:firstLine="55"/>
              <w:rPr>
                <w:b/>
                <w:sz w:val="22"/>
              </w:rPr>
            </w:pPr>
            <w:r>
              <w:rPr>
                <w:b/>
                <w:color w:val="FFFFFF"/>
                <w:spacing w:val="-2"/>
                <w:w w:val="85"/>
                <w:sz w:val="22"/>
              </w:rPr>
              <w:t>Source</w:t>
            </w:r>
            <w:r>
              <w:rPr>
                <w:b/>
                <w:color w:val="FFFFFF"/>
                <w:spacing w:val="-5"/>
                <w:w w:val="85"/>
                <w:sz w:val="22"/>
              </w:rPr>
              <w:t> </w:t>
            </w:r>
            <w:r>
              <w:rPr>
                <w:b/>
                <w:color w:val="FFFFFF"/>
                <w:spacing w:val="-2"/>
                <w:w w:val="85"/>
                <w:sz w:val="22"/>
              </w:rPr>
              <w:t>de </w:t>
            </w:r>
            <w:r>
              <w:rPr>
                <w:b/>
                <w:color w:val="FFFFFF"/>
                <w:spacing w:val="-2"/>
                <w:w w:val="80"/>
                <w:sz w:val="22"/>
              </w:rPr>
              <w:t>Vérification</w:t>
            </w:r>
          </w:p>
        </w:tc>
        <w:tc>
          <w:tcPr>
            <w:tcW w:w="1557" w:type="dxa"/>
            <w:vMerge w:val="restart"/>
            <w:tcBorders>
              <w:left w:val="single" w:sz="8" w:space="0" w:color="221F1F"/>
              <w:bottom w:val="single" w:sz="8" w:space="0" w:color="221F1F"/>
            </w:tcBorders>
            <w:shd w:val="clear" w:color="auto" w:fill="0066B3"/>
          </w:tcPr>
          <w:p>
            <w:pPr>
              <w:pStyle w:val="TableParagraph"/>
              <w:spacing w:before="15"/>
              <w:rPr>
                <w:sz w:val="22"/>
              </w:rPr>
            </w:pPr>
          </w:p>
          <w:p>
            <w:pPr>
              <w:pStyle w:val="TableParagraph"/>
              <w:spacing w:line="252" w:lineRule="auto"/>
              <w:ind w:left="215" w:firstLine="129"/>
              <w:rPr>
                <w:b/>
                <w:sz w:val="22"/>
              </w:rPr>
            </w:pPr>
            <w:r>
              <w:rPr>
                <w:b/>
                <w:color w:val="FFFFFF"/>
                <w:spacing w:val="-4"/>
                <w:w w:val="90"/>
                <w:sz w:val="22"/>
              </w:rPr>
              <w:t>Structure </w:t>
            </w:r>
            <w:r>
              <w:rPr>
                <w:b/>
                <w:color w:val="FFFFFF"/>
                <w:spacing w:val="-2"/>
                <w:w w:val="75"/>
                <w:sz w:val="22"/>
              </w:rPr>
              <w:t>responsable</w:t>
            </w:r>
          </w:p>
        </w:tc>
      </w:tr>
      <w:tr>
        <w:trPr>
          <w:trHeight w:val="678" w:hRule="atLeast"/>
        </w:trPr>
        <w:tc>
          <w:tcPr>
            <w:tcW w:w="362" w:type="dxa"/>
            <w:vMerge/>
            <w:tcBorders>
              <w:top w:val="nil"/>
              <w:bottom w:val="single" w:sz="8" w:space="0" w:color="221F1F"/>
              <w:right w:val="single" w:sz="8" w:space="0" w:color="221F1F"/>
            </w:tcBorders>
            <w:shd w:val="clear" w:color="auto" w:fill="BED7EB"/>
          </w:tcPr>
          <w:p>
            <w:pPr>
              <w:rPr>
                <w:sz w:val="2"/>
                <w:szCs w:val="2"/>
              </w:rPr>
            </w:pPr>
          </w:p>
        </w:tc>
        <w:tc>
          <w:tcPr>
            <w:tcW w:w="2151"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89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768"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78"/>
              <w:jc w:val="center"/>
              <w:rPr>
                <w:b/>
                <w:sz w:val="22"/>
              </w:rPr>
            </w:pPr>
            <w:r>
              <w:rPr>
                <w:b/>
                <w:color w:val="FFFFFF"/>
                <w:spacing w:val="-4"/>
                <w:sz w:val="22"/>
              </w:rPr>
              <w:t>2033</w:t>
            </w:r>
          </w:p>
        </w:tc>
        <w:tc>
          <w:tcPr>
            <w:tcW w:w="725"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142" w:right="60"/>
              <w:jc w:val="center"/>
              <w:rPr>
                <w:b/>
                <w:sz w:val="22"/>
              </w:rPr>
            </w:pPr>
            <w:r>
              <w:rPr>
                <w:b/>
                <w:color w:val="FFFFFF"/>
                <w:spacing w:val="-4"/>
                <w:sz w:val="22"/>
              </w:rPr>
              <w:t>2043</w:t>
            </w:r>
          </w:p>
        </w:tc>
        <w:tc>
          <w:tcPr>
            <w:tcW w:w="777"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84"/>
              <w:jc w:val="center"/>
              <w:rPr>
                <w:b/>
                <w:sz w:val="22"/>
              </w:rPr>
            </w:pPr>
            <w:r>
              <w:rPr>
                <w:b/>
                <w:color w:val="FFFFFF"/>
                <w:spacing w:val="-4"/>
                <w:sz w:val="22"/>
              </w:rPr>
              <w:t>2053</w:t>
            </w:r>
          </w:p>
        </w:tc>
        <w:tc>
          <w:tcPr>
            <w:tcW w:w="806"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154" w:right="65"/>
              <w:jc w:val="center"/>
              <w:rPr>
                <w:b/>
                <w:sz w:val="22"/>
              </w:rPr>
            </w:pPr>
            <w:r>
              <w:rPr>
                <w:b/>
                <w:color w:val="FFFFFF"/>
                <w:spacing w:val="-4"/>
                <w:sz w:val="22"/>
              </w:rPr>
              <w:t>2063</w:t>
            </w:r>
          </w:p>
        </w:tc>
        <w:tc>
          <w:tcPr>
            <w:tcW w:w="1224"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557" w:type="dxa"/>
            <w:vMerge/>
            <w:tcBorders>
              <w:top w:val="nil"/>
              <w:left w:val="single" w:sz="8" w:space="0" w:color="221F1F"/>
              <w:bottom w:val="single" w:sz="8" w:space="0" w:color="221F1F"/>
            </w:tcBorders>
            <w:shd w:val="clear" w:color="auto" w:fill="0066B3"/>
          </w:tcPr>
          <w:p>
            <w:pPr>
              <w:rPr>
                <w:sz w:val="2"/>
                <w:szCs w:val="2"/>
              </w:rPr>
            </w:pPr>
          </w:p>
        </w:tc>
      </w:tr>
      <w:tr>
        <w:trPr>
          <w:trHeight w:val="596"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72"/>
              <w:ind w:left="89"/>
              <w:jc w:val="center"/>
              <w:rPr>
                <w:b/>
                <w:sz w:val="22"/>
              </w:rPr>
            </w:pPr>
            <w:r>
              <w:rPr>
                <w:b/>
                <w:color w:val="221F1F"/>
                <w:spacing w:val="-10"/>
                <w:sz w:val="22"/>
              </w:rPr>
              <w:t>1</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64" w:lineRule="auto" w:before="12"/>
              <w:ind w:left="98"/>
              <w:rPr>
                <w:sz w:val="22"/>
              </w:rPr>
            </w:pPr>
            <w:r>
              <w:rPr>
                <w:color w:val="221F1F"/>
                <w:w w:val="80"/>
                <w:sz w:val="22"/>
              </w:rPr>
              <w:t>Part</w:t>
            </w:r>
            <w:r>
              <w:rPr>
                <w:color w:val="221F1F"/>
                <w:spacing w:val="-3"/>
                <w:w w:val="80"/>
                <w:sz w:val="22"/>
              </w:rPr>
              <w:t> </w:t>
            </w:r>
            <w:r>
              <w:rPr>
                <w:color w:val="221F1F"/>
                <w:w w:val="80"/>
                <w:sz w:val="22"/>
              </w:rPr>
              <w:t>du</w:t>
            </w:r>
            <w:r>
              <w:rPr>
                <w:color w:val="221F1F"/>
                <w:spacing w:val="-3"/>
                <w:w w:val="80"/>
                <w:sz w:val="22"/>
              </w:rPr>
              <w:t> </w:t>
            </w:r>
            <w:r>
              <w:rPr>
                <w:color w:val="221F1F"/>
                <w:w w:val="80"/>
                <w:sz w:val="22"/>
              </w:rPr>
              <w:t>secteur</w:t>
            </w:r>
            <w:r>
              <w:rPr>
                <w:color w:val="221F1F"/>
                <w:spacing w:val="-2"/>
                <w:w w:val="80"/>
                <w:sz w:val="22"/>
              </w:rPr>
              <w:t> </w:t>
            </w:r>
            <w:r>
              <w:rPr>
                <w:color w:val="221F1F"/>
                <w:w w:val="80"/>
                <w:sz w:val="22"/>
              </w:rPr>
              <w:t>Manufacturier</w:t>
            </w:r>
            <w:r>
              <w:rPr>
                <w:color w:val="221F1F"/>
                <w:w w:val="95"/>
                <w:sz w:val="22"/>
              </w:rPr>
              <w:t> dans le PIB (%)</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247"/>
              <w:ind w:left="79"/>
              <w:jc w:val="center"/>
              <w:rPr>
                <w:sz w:val="22"/>
              </w:rPr>
            </w:pPr>
            <w:r>
              <w:rPr>
                <w:color w:val="221F1F"/>
                <w:spacing w:val="-4"/>
                <w:sz w:val="22"/>
              </w:rPr>
              <w:t>6,44</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247"/>
              <w:ind w:left="82"/>
              <w:jc w:val="center"/>
              <w:rPr>
                <w:sz w:val="22"/>
              </w:rPr>
            </w:pPr>
            <w:r>
              <w:rPr>
                <w:color w:val="221F1F"/>
                <w:spacing w:val="-2"/>
                <w:sz w:val="22"/>
              </w:rPr>
              <w:t>11,44</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247"/>
              <w:ind w:left="142" w:right="60"/>
              <w:jc w:val="center"/>
              <w:rPr>
                <w:sz w:val="22"/>
              </w:rPr>
            </w:pPr>
            <w:r>
              <w:rPr>
                <w:color w:val="221F1F"/>
                <w:spacing w:val="-2"/>
                <w:sz w:val="22"/>
              </w:rPr>
              <w:t>16,44</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247"/>
              <w:ind w:left="88"/>
              <w:jc w:val="center"/>
              <w:rPr>
                <w:sz w:val="22"/>
              </w:rPr>
            </w:pPr>
            <w:r>
              <w:rPr>
                <w:color w:val="221F1F"/>
                <w:spacing w:val="-2"/>
                <w:sz w:val="22"/>
              </w:rPr>
              <w:t>21,44</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247"/>
              <w:ind w:left="154" w:right="60"/>
              <w:jc w:val="center"/>
              <w:rPr>
                <w:sz w:val="22"/>
              </w:rPr>
            </w:pPr>
            <w:r>
              <w:rPr>
                <w:color w:val="221F1F"/>
                <w:spacing w:val="-2"/>
                <w:sz w:val="22"/>
              </w:rPr>
              <w:t>26,44</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51"/>
              <w:ind w:left="143" w:right="52"/>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151"/>
              <w:ind w:left="143" w:right="59"/>
              <w:jc w:val="center"/>
              <w:rPr>
                <w:sz w:val="22"/>
              </w:rPr>
            </w:pPr>
            <w:r>
              <w:rPr>
                <w:color w:val="221F1F"/>
                <w:spacing w:val="-2"/>
                <w:sz w:val="22"/>
              </w:rPr>
              <w:t>INSTAT</w:t>
            </w:r>
          </w:p>
        </w:tc>
      </w:tr>
      <w:tr>
        <w:trPr>
          <w:trHeight w:val="654"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201"/>
              <w:ind w:left="89" w:right="8"/>
              <w:jc w:val="center"/>
              <w:rPr>
                <w:b/>
                <w:sz w:val="22"/>
              </w:rPr>
            </w:pPr>
            <w:r>
              <w:rPr>
                <w:b/>
                <w:spacing w:val="-10"/>
                <w:sz w:val="22"/>
              </w:rPr>
              <w:t>2</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68" w:lineRule="auto" w:before="38"/>
              <w:ind w:left="98"/>
              <w:rPr>
                <w:sz w:val="22"/>
              </w:rPr>
            </w:pPr>
            <w:r>
              <w:rPr>
                <w:color w:val="221F1F"/>
                <w:w w:val="80"/>
                <w:sz w:val="22"/>
              </w:rPr>
              <w:t>Crédit</w:t>
            </w:r>
            <w:r>
              <w:rPr>
                <w:color w:val="221F1F"/>
                <w:spacing w:val="-3"/>
                <w:w w:val="80"/>
                <w:sz w:val="22"/>
              </w:rPr>
              <w:t> </w:t>
            </w:r>
            <w:r>
              <w:rPr>
                <w:color w:val="221F1F"/>
                <w:w w:val="80"/>
                <w:sz w:val="22"/>
              </w:rPr>
              <w:t>à</w:t>
            </w:r>
            <w:r>
              <w:rPr>
                <w:color w:val="221F1F"/>
                <w:spacing w:val="-3"/>
                <w:w w:val="80"/>
                <w:sz w:val="22"/>
              </w:rPr>
              <w:t> </w:t>
            </w:r>
            <w:r>
              <w:rPr>
                <w:color w:val="221F1F"/>
                <w:w w:val="80"/>
                <w:sz w:val="22"/>
              </w:rPr>
              <w:t>l’économie</w:t>
            </w:r>
            <w:r>
              <w:rPr>
                <w:color w:val="221F1F"/>
                <w:spacing w:val="-2"/>
                <w:w w:val="80"/>
                <w:sz w:val="22"/>
              </w:rPr>
              <w:t> </w:t>
            </w:r>
            <w:r>
              <w:rPr>
                <w:color w:val="221F1F"/>
                <w:w w:val="80"/>
                <w:sz w:val="22"/>
              </w:rPr>
              <w:t>(en</w:t>
            </w:r>
            <w:r>
              <w:rPr>
                <w:color w:val="221F1F"/>
                <w:spacing w:val="-3"/>
                <w:w w:val="80"/>
                <w:sz w:val="22"/>
              </w:rPr>
              <w:t> </w:t>
            </w:r>
            <w:r>
              <w:rPr>
                <w:color w:val="221F1F"/>
                <w:w w:val="80"/>
                <w:sz w:val="22"/>
              </w:rPr>
              <w:t>%</w:t>
            </w:r>
            <w:r>
              <w:rPr>
                <w:color w:val="221F1F"/>
                <w:spacing w:val="-2"/>
                <w:w w:val="80"/>
                <w:sz w:val="22"/>
              </w:rPr>
              <w:t> </w:t>
            </w:r>
            <w:r>
              <w:rPr>
                <w:color w:val="221F1F"/>
                <w:w w:val="80"/>
                <w:sz w:val="22"/>
              </w:rPr>
              <w:t>du</w:t>
            </w:r>
            <w:r>
              <w:rPr>
                <w:color w:val="221F1F"/>
                <w:w w:val="90"/>
                <w:sz w:val="22"/>
              </w:rPr>
              <w:t> </w:t>
            </w:r>
            <w:r>
              <w:rPr>
                <w:color w:val="221F1F"/>
                <w:spacing w:val="-4"/>
                <w:w w:val="90"/>
                <w:sz w:val="22"/>
              </w:rPr>
              <w:t>PIB)</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38"/>
              <w:rPr>
                <w:sz w:val="22"/>
              </w:rPr>
            </w:pPr>
          </w:p>
          <w:p>
            <w:pPr>
              <w:pStyle w:val="TableParagraph"/>
              <w:ind w:left="79"/>
              <w:jc w:val="center"/>
              <w:rPr>
                <w:sz w:val="22"/>
              </w:rPr>
            </w:pPr>
            <w:r>
              <w:rPr>
                <w:color w:val="221F1F"/>
                <w:spacing w:val="-4"/>
                <w:sz w:val="22"/>
              </w:rPr>
              <w:t>31.7</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38"/>
              <w:rPr>
                <w:sz w:val="22"/>
              </w:rPr>
            </w:pPr>
          </w:p>
          <w:p>
            <w:pPr>
              <w:pStyle w:val="TableParagraph"/>
              <w:ind w:left="82"/>
              <w:jc w:val="center"/>
              <w:rPr>
                <w:sz w:val="22"/>
              </w:rPr>
            </w:pPr>
            <w:r>
              <w:rPr>
                <w:color w:val="221F1F"/>
                <w:spacing w:val="-4"/>
                <w:sz w:val="22"/>
              </w:rPr>
              <w:t>55.6</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38"/>
              <w:rPr>
                <w:sz w:val="22"/>
              </w:rPr>
            </w:pPr>
          </w:p>
          <w:p>
            <w:pPr>
              <w:pStyle w:val="TableParagraph"/>
              <w:ind w:left="142" w:right="60"/>
              <w:jc w:val="center"/>
              <w:rPr>
                <w:sz w:val="22"/>
              </w:rPr>
            </w:pPr>
            <w:r>
              <w:rPr>
                <w:color w:val="221F1F"/>
                <w:spacing w:val="-4"/>
                <w:sz w:val="22"/>
              </w:rPr>
              <w:t>69,2</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38"/>
              <w:rPr>
                <w:sz w:val="22"/>
              </w:rPr>
            </w:pPr>
          </w:p>
          <w:p>
            <w:pPr>
              <w:pStyle w:val="TableParagraph"/>
              <w:ind w:left="88"/>
              <w:jc w:val="center"/>
              <w:rPr>
                <w:sz w:val="22"/>
              </w:rPr>
            </w:pPr>
            <w:r>
              <w:rPr>
                <w:color w:val="221F1F"/>
                <w:spacing w:val="-4"/>
                <w:sz w:val="22"/>
              </w:rPr>
              <w:t>70,4</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38"/>
              <w:rPr>
                <w:sz w:val="22"/>
              </w:rPr>
            </w:pPr>
          </w:p>
          <w:p>
            <w:pPr>
              <w:pStyle w:val="TableParagraph"/>
              <w:ind w:left="154" w:right="60"/>
              <w:jc w:val="center"/>
              <w:rPr>
                <w:sz w:val="22"/>
              </w:rPr>
            </w:pPr>
            <w:r>
              <w:rPr>
                <w:color w:val="221F1F"/>
                <w:spacing w:val="-4"/>
                <w:sz w:val="22"/>
              </w:rPr>
              <w:t>80,5</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77"/>
              <w:ind w:left="143" w:right="52"/>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177"/>
              <w:ind w:left="143" w:right="59"/>
              <w:jc w:val="center"/>
              <w:rPr>
                <w:sz w:val="22"/>
              </w:rPr>
            </w:pPr>
            <w:r>
              <w:rPr>
                <w:color w:val="221F1F"/>
                <w:spacing w:val="-2"/>
                <w:sz w:val="22"/>
              </w:rPr>
              <w:t>INSTAT</w:t>
            </w:r>
          </w:p>
        </w:tc>
      </w:tr>
      <w:tr>
        <w:trPr>
          <w:trHeight w:val="616"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82"/>
              <w:ind w:left="89" w:right="8"/>
              <w:jc w:val="center"/>
              <w:rPr>
                <w:b/>
                <w:sz w:val="22"/>
              </w:rPr>
            </w:pPr>
            <w:r>
              <w:rPr>
                <w:b/>
                <w:spacing w:val="-10"/>
                <w:sz w:val="22"/>
              </w:rPr>
              <w:t>3</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19"/>
              <w:ind w:left="98" w:right="757"/>
              <w:rPr>
                <w:sz w:val="22"/>
              </w:rPr>
            </w:pPr>
            <w:r>
              <w:rPr>
                <w:color w:val="221F1F"/>
                <w:w w:val="80"/>
                <w:sz w:val="22"/>
              </w:rPr>
              <w:t>Volume</w:t>
            </w:r>
            <w:r>
              <w:rPr>
                <w:color w:val="221F1F"/>
                <w:spacing w:val="-5"/>
                <w:w w:val="80"/>
                <w:sz w:val="22"/>
              </w:rPr>
              <w:t> </w:t>
            </w:r>
            <w:r>
              <w:rPr>
                <w:color w:val="221F1F"/>
                <w:w w:val="80"/>
                <w:sz w:val="22"/>
              </w:rPr>
              <w:t>des</w:t>
            </w:r>
            <w:r>
              <w:rPr>
                <w:color w:val="221F1F"/>
                <w:sz w:val="22"/>
              </w:rPr>
              <w:t> </w:t>
            </w:r>
            <w:r>
              <w:rPr>
                <w:color w:val="221F1F"/>
                <w:w w:val="80"/>
                <w:sz w:val="22"/>
              </w:rPr>
              <w:t>IDE</w:t>
            </w:r>
            <w:r>
              <w:rPr>
                <w:color w:val="221F1F"/>
                <w:w w:val="95"/>
                <w:sz w:val="22"/>
              </w:rPr>
              <w:t> (en milliards)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9"/>
              <w:rPr>
                <w:sz w:val="22"/>
              </w:rPr>
            </w:pPr>
          </w:p>
          <w:p>
            <w:pPr>
              <w:pStyle w:val="TableParagraph"/>
              <w:ind w:left="79"/>
              <w:jc w:val="center"/>
              <w:rPr>
                <w:sz w:val="22"/>
              </w:rPr>
            </w:pPr>
            <w:r>
              <w:rPr>
                <w:color w:val="221F1F"/>
                <w:spacing w:val="-2"/>
                <w:sz w:val="22"/>
              </w:rPr>
              <w:t>303.2</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9"/>
              <w:rPr>
                <w:sz w:val="22"/>
              </w:rPr>
            </w:pPr>
          </w:p>
          <w:p>
            <w:pPr>
              <w:pStyle w:val="TableParagraph"/>
              <w:ind w:left="82"/>
              <w:jc w:val="center"/>
              <w:rPr>
                <w:sz w:val="22"/>
              </w:rPr>
            </w:pPr>
            <w:r>
              <w:rPr>
                <w:spacing w:val="-2"/>
                <w:sz w:val="22"/>
              </w:rPr>
              <w:t>606,4</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9"/>
              <w:rPr>
                <w:sz w:val="22"/>
              </w:rPr>
            </w:pPr>
          </w:p>
          <w:p>
            <w:pPr>
              <w:pStyle w:val="TableParagraph"/>
              <w:ind w:left="142" w:right="62"/>
              <w:jc w:val="center"/>
              <w:rPr>
                <w:sz w:val="22"/>
              </w:rPr>
            </w:pPr>
            <w:r>
              <w:rPr>
                <w:spacing w:val="-4"/>
                <w:sz w:val="22"/>
              </w:rPr>
              <w:t>1000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9"/>
              <w:rPr>
                <w:sz w:val="22"/>
              </w:rPr>
            </w:pPr>
          </w:p>
          <w:p>
            <w:pPr>
              <w:pStyle w:val="TableParagraph"/>
              <w:ind w:left="85"/>
              <w:jc w:val="center"/>
              <w:rPr>
                <w:sz w:val="22"/>
              </w:rPr>
            </w:pPr>
            <w:r>
              <w:rPr>
                <w:spacing w:val="-4"/>
                <w:sz w:val="22"/>
              </w:rPr>
              <w:t>1500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9"/>
              <w:rPr>
                <w:sz w:val="22"/>
              </w:rPr>
            </w:pPr>
          </w:p>
          <w:p>
            <w:pPr>
              <w:pStyle w:val="TableParagraph"/>
              <w:ind w:left="154" w:right="64"/>
              <w:jc w:val="center"/>
              <w:rPr>
                <w:sz w:val="22"/>
              </w:rPr>
            </w:pPr>
            <w:r>
              <w:rPr>
                <w:spacing w:val="-4"/>
                <w:w w:val="95"/>
                <w:sz w:val="22"/>
              </w:rPr>
              <w:t>2500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58"/>
              <w:ind w:left="143" w:right="52"/>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158"/>
              <w:ind w:left="143" w:right="62"/>
              <w:jc w:val="center"/>
              <w:rPr>
                <w:sz w:val="22"/>
              </w:rPr>
            </w:pPr>
            <w:r>
              <w:rPr>
                <w:color w:val="221F1F"/>
                <w:spacing w:val="-2"/>
                <w:sz w:val="22"/>
              </w:rPr>
              <w:t>CPS/CI</w:t>
            </w:r>
          </w:p>
        </w:tc>
      </w:tr>
    </w:tbl>
    <w:p>
      <w:pPr>
        <w:pStyle w:val="TableParagraph"/>
        <w:spacing w:after="0"/>
        <w:jc w:val="center"/>
        <w:rPr>
          <w:sz w:val="22"/>
        </w:rPr>
        <w:sectPr>
          <w:pgSz w:w="11910" w:h="16840"/>
          <w:pgMar w:header="0" w:footer="680" w:top="1500" w:bottom="1158" w:left="283" w:right="141"/>
        </w:sectPr>
      </w:pPr>
    </w:p>
    <w:tbl>
      <w:tblPr>
        <w:tblW w:w="0" w:type="auto"/>
        <w:jc w:val="left"/>
        <w:tblInd w:w="1132" w:type="dxa"/>
        <w:tblBorders>
          <w:top w:val="single" w:sz="18" w:space="0" w:color="221F1F"/>
          <w:left w:val="single" w:sz="18" w:space="0" w:color="221F1F"/>
          <w:bottom w:val="single" w:sz="18" w:space="0" w:color="221F1F"/>
          <w:right w:val="single" w:sz="18" w:space="0" w:color="221F1F"/>
          <w:insideH w:val="single" w:sz="18" w:space="0" w:color="221F1F"/>
          <w:insideV w:val="single" w:sz="18" w:space="0" w:color="221F1F"/>
        </w:tblBorders>
        <w:tblLayout w:type="fixed"/>
        <w:tblCellMar>
          <w:top w:w="0" w:type="dxa"/>
          <w:left w:w="0" w:type="dxa"/>
          <w:bottom w:w="0" w:type="dxa"/>
          <w:right w:w="0" w:type="dxa"/>
        </w:tblCellMar>
        <w:tblLook w:val="01E0"/>
      </w:tblPr>
      <w:tblGrid>
        <w:gridCol w:w="362"/>
        <w:gridCol w:w="2151"/>
        <w:gridCol w:w="890"/>
        <w:gridCol w:w="768"/>
        <w:gridCol w:w="725"/>
        <w:gridCol w:w="777"/>
        <w:gridCol w:w="806"/>
        <w:gridCol w:w="1224"/>
        <w:gridCol w:w="1557"/>
      </w:tblGrid>
      <w:tr>
        <w:trPr>
          <w:trHeight w:val="635" w:hRule="atLeast"/>
        </w:trPr>
        <w:tc>
          <w:tcPr>
            <w:tcW w:w="362" w:type="dxa"/>
            <w:vMerge w:val="restart"/>
            <w:tcBorders>
              <w:bottom w:val="single" w:sz="8" w:space="0" w:color="221F1F"/>
              <w:right w:val="single" w:sz="8" w:space="0" w:color="221F1F"/>
            </w:tcBorders>
            <w:shd w:val="clear" w:color="auto" w:fill="BED7EB"/>
          </w:tcPr>
          <w:p>
            <w:pPr>
              <w:pStyle w:val="TableParagraph"/>
              <w:spacing w:before="150"/>
              <w:rPr>
                <w:sz w:val="22"/>
              </w:rPr>
            </w:pPr>
          </w:p>
          <w:p>
            <w:pPr>
              <w:pStyle w:val="TableParagraph"/>
              <w:ind w:left="126" w:right="-15"/>
              <w:rPr>
                <w:b/>
                <w:sz w:val="22"/>
              </w:rPr>
            </w:pPr>
            <w:r>
              <w:rPr>
                <w:b/>
                <w:color w:val="221F1F"/>
                <w:spacing w:val="-5"/>
                <w:sz w:val="22"/>
              </w:rPr>
              <w:t>N°</w:t>
            </w:r>
          </w:p>
        </w:tc>
        <w:tc>
          <w:tcPr>
            <w:tcW w:w="2151"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50"/>
              <w:rPr>
                <w:sz w:val="22"/>
              </w:rPr>
            </w:pPr>
          </w:p>
          <w:p>
            <w:pPr>
              <w:pStyle w:val="TableParagraph"/>
              <w:ind w:left="278"/>
              <w:rPr>
                <w:b/>
                <w:sz w:val="22"/>
              </w:rPr>
            </w:pPr>
            <w:r>
              <w:rPr>
                <w:b/>
                <w:color w:val="FFFFFF"/>
                <w:w w:val="80"/>
                <w:sz w:val="22"/>
              </w:rPr>
              <w:t>Intitulé</w:t>
            </w:r>
            <w:r>
              <w:rPr>
                <w:b/>
                <w:color w:val="FFFFFF"/>
                <w:spacing w:val="-9"/>
                <w:sz w:val="22"/>
              </w:rPr>
              <w:t> </w:t>
            </w:r>
            <w:r>
              <w:rPr>
                <w:b/>
                <w:color w:val="FFFFFF"/>
                <w:w w:val="80"/>
                <w:sz w:val="22"/>
              </w:rPr>
              <w:t>de</w:t>
            </w:r>
            <w:r>
              <w:rPr>
                <w:b/>
                <w:color w:val="FFFFFF"/>
                <w:spacing w:val="-9"/>
                <w:sz w:val="22"/>
              </w:rPr>
              <w:t> </w:t>
            </w:r>
            <w:r>
              <w:rPr>
                <w:b/>
                <w:color w:val="FFFFFF"/>
                <w:spacing w:val="-2"/>
                <w:w w:val="80"/>
                <w:sz w:val="22"/>
              </w:rPr>
              <w:t>l’indicateur</w:t>
            </w:r>
          </w:p>
        </w:tc>
        <w:tc>
          <w:tcPr>
            <w:tcW w:w="89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sz w:val="22"/>
              </w:rPr>
            </w:pPr>
          </w:p>
          <w:p>
            <w:pPr>
              <w:pStyle w:val="TableParagraph"/>
              <w:spacing w:line="254" w:lineRule="auto"/>
              <w:ind w:left="112" w:right="25" w:firstLine="228"/>
              <w:rPr>
                <w:b/>
                <w:sz w:val="22"/>
              </w:rPr>
            </w:pPr>
            <w:r>
              <w:rPr>
                <w:b/>
                <w:color w:val="FFFFFF"/>
                <w:spacing w:val="-2"/>
                <w:w w:val="90"/>
                <w:sz w:val="22"/>
              </w:rPr>
              <w:t>Valeur </w:t>
            </w:r>
            <w:r>
              <w:rPr>
                <w:b/>
                <w:color w:val="FFFFFF"/>
                <w:spacing w:val="-6"/>
                <w:w w:val="95"/>
                <w:sz w:val="22"/>
              </w:rPr>
              <w:t>de </w:t>
            </w:r>
            <w:r>
              <w:rPr>
                <w:b/>
                <w:color w:val="FFFFFF"/>
                <w:spacing w:val="-2"/>
                <w:w w:val="85"/>
                <w:sz w:val="22"/>
              </w:rPr>
              <w:t>référence</w:t>
            </w:r>
          </w:p>
          <w:p>
            <w:pPr>
              <w:pStyle w:val="TableParagraph"/>
              <w:spacing w:line="245" w:lineRule="exact"/>
              <w:ind w:left="112"/>
              <w:rPr>
                <w:b/>
                <w:sz w:val="22"/>
              </w:rPr>
            </w:pPr>
            <w:r>
              <w:rPr>
                <w:b/>
                <w:color w:val="FFFFFF"/>
                <w:spacing w:val="-4"/>
                <w:w w:val="90"/>
                <w:sz w:val="22"/>
              </w:rPr>
              <w:t>2022</w:t>
            </w:r>
          </w:p>
        </w:tc>
        <w:tc>
          <w:tcPr>
            <w:tcW w:w="3076" w:type="dxa"/>
            <w:gridSpan w:val="4"/>
            <w:tcBorders>
              <w:left w:val="single" w:sz="8" w:space="0" w:color="221F1F"/>
              <w:bottom w:val="single" w:sz="8" w:space="0" w:color="221F1F"/>
              <w:right w:val="single" w:sz="8" w:space="0" w:color="221F1F"/>
            </w:tcBorders>
            <w:shd w:val="clear" w:color="auto" w:fill="0066B3"/>
          </w:tcPr>
          <w:p>
            <w:pPr>
              <w:pStyle w:val="TableParagraph"/>
              <w:spacing w:before="191"/>
              <w:ind w:right="167"/>
              <w:jc w:val="center"/>
              <w:rPr>
                <w:b/>
                <w:sz w:val="22"/>
              </w:rPr>
            </w:pPr>
            <w:r>
              <w:rPr>
                <w:b/>
                <w:color w:val="FFFFFF"/>
                <w:w w:val="75"/>
                <w:sz w:val="22"/>
              </w:rPr>
              <w:t>Valeur</w:t>
            </w:r>
            <w:r>
              <w:rPr>
                <w:b/>
                <w:color w:val="FFFFFF"/>
                <w:spacing w:val="14"/>
                <w:sz w:val="22"/>
              </w:rPr>
              <w:t> </w:t>
            </w:r>
            <w:r>
              <w:rPr>
                <w:b/>
                <w:color w:val="FFFFFF"/>
                <w:spacing w:val="-4"/>
                <w:w w:val="95"/>
                <w:sz w:val="22"/>
              </w:rPr>
              <w:t>cible</w:t>
            </w:r>
          </w:p>
        </w:tc>
        <w:tc>
          <w:tcPr>
            <w:tcW w:w="1224"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sz w:val="22"/>
              </w:rPr>
            </w:pPr>
          </w:p>
          <w:p>
            <w:pPr>
              <w:pStyle w:val="TableParagraph"/>
              <w:spacing w:line="254" w:lineRule="auto"/>
              <w:ind w:left="179" w:right="229" w:firstLine="55"/>
              <w:rPr>
                <w:b/>
                <w:sz w:val="22"/>
              </w:rPr>
            </w:pPr>
            <w:r>
              <w:rPr>
                <w:b/>
                <w:color w:val="FFFFFF"/>
                <w:spacing w:val="-2"/>
                <w:w w:val="85"/>
                <w:sz w:val="22"/>
              </w:rPr>
              <w:t>Source</w:t>
            </w:r>
            <w:r>
              <w:rPr>
                <w:b/>
                <w:color w:val="FFFFFF"/>
                <w:spacing w:val="-5"/>
                <w:w w:val="85"/>
                <w:sz w:val="22"/>
              </w:rPr>
              <w:t> </w:t>
            </w:r>
            <w:r>
              <w:rPr>
                <w:b/>
                <w:color w:val="FFFFFF"/>
                <w:spacing w:val="-2"/>
                <w:w w:val="85"/>
                <w:sz w:val="22"/>
              </w:rPr>
              <w:t>de </w:t>
            </w:r>
            <w:r>
              <w:rPr>
                <w:b/>
                <w:color w:val="FFFFFF"/>
                <w:spacing w:val="-2"/>
                <w:w w:val="80"/>
                <w:sz w:val="22"/>
              </w:rPr>
              <w:t>Vérification</w:t>
            </w:r>
          </w:p>
        </w:tc>
        <w:tc>
          <w:tcPr>
            <w:tcW w:w="1557" w:type="dxa"/>
            <w:vMerge w:val="restart"/>
            <w:tcBorders>
              <w:left w:val="single" w:sz="8" w:space="0" w:color="221F1F"/>
              <w:bottom w:val="single" w:sz="8" w:space="0" w:color="221F1F"/>
            </w:tcBorders>
            <w:shd w:val="clear" w:color="auto" w:fill="0066B3"/>
          </w:tcPr>
          <w:p>
            <w:pPr>
              <w:pStyle w:val="TableParagraph"/>
              <w:spacing w:before="16"/>
              <w:rPr>
                <w:sz w:val="22"/>
              </w:rPr>
            </w:pPr>
          </w:p>
          <w:p>
            <w:pPr>
              <w:pStyle w:val="TableParagraph"/>
              <w:spacing w:line="254" w:lineRule="auto"/>
              <w:ind w:left="215" w:firstLine="129"/>
              <w:rPr>
                <w:b/>
                <w:sz w:val="22"/>
              </w:rPr>
            </w:pPr>
            <w:r>
              <w:rPr>
                <w:b/>
                <w:color w:val="FFFFFF"/>
                <w:spacing w:val="-4"/>
                <w:w w:val="90"/>
                <w:sz w:val="22"/>
              </w:rPr>
              <w:t>Structure </w:t>
            </w:r>
            <w:r>
              <w:rPr>
                <w:b/>
                <w:color w:val="FFFFFF"/>
                <w:spacing w:val="-2"/>
                <w:w w:val="75"/>
                <w:sz w:val="22"/>
              </w:rPr>
              <w:t>responsable</w:t>
            </w:r>
          </w:p>
        </w:tc>
      </w:tr>
      <w:tr>
        <w:trPr>
          <w:trHeight w:val="680" w:hRule="atLeast"/>
        </w:trPr>
        <w:tc>
          <w:tcPr>
            <w:tcW w:w="362" w:type="dxa"/>
            <w:vMerge/>
            <w:tcBorders>
              <w:top w:val="nil"/>
              <w:bottom w:val="single" w:sz="8" w:space="0" w:color="221F1F"/>
              <w:right w:val="single" w:sz="8" w:space="0" w:color="221F1F"/>
            </w:tcBorders>
            <w:shd w:val="clear" w:color="auto" w:fill="BED7EB"/>
          </w:tcPr>
          <w:p>
            <w:pPr>
              <w:rPr>
                <w:sz w:val="2"/>
                <w:szCs w:val="2"/>
              </w:rPr>
            </w:pPr>
          </w:p>
        </w:tc>
        <w:tc>
          <w:tcPr>
            <w:tcW w:w="2151"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89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768"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6"/>
              <w:ind w:left="78"/>
              <w:jc w:val="center"/>
              <w:rPr>
                <w:b/>
                <w:sz w:val="22"/>
              </w:rPr>
            </w:pPr>
            <w:r>
              <w:rPr>
                <w:b/>
                <w:color w:val="FFFFFF"/>
                <w:spacing w:val="-4"/>
                <w:sz w:val="22"/>
              </w:rPr>
              <w:t>2033</w:t>
            </w:r>
          </w:p>
        </w:tc>
        <w:tc>
          <w:tcPr>
            <w:tcW w:w="725"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6"/>
              <w:ind w:left="221"/>
              <w:rPr>
                <w:b/>
                <w:sz w:val="22"/>
              </w:rPr>
            </w:pPr>
            <w:r>
              <w:rPr>
                <w:b/>
                <w:color w:val="FFFFFF"/>
                <w:spacing w:val="-4"/>
                <w:sz w:val="22"/>
              </w:rPr>
              <w:t>2043</w:t>
            </w:r>
          </w:p>
        </w:tc>
        <w:tc>
          <w:tcPr>
            <w:tcW w:w="777"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6"/>
              <w:ind w:left="84"/>
              <w:jc w:val="center"/>
              <w:rPr>
                <w:b/>
                <w:sz w:val="22"/>
              </w:rPr>
            </w:pPr>
            <w:r>
              <w:rPr>
                <w:b/>
                <w:color w:val="FFFFFF"/>
                <w:spacing w:val="-4"/>
                <w:sz w:val="22"/>
              </w:rPr>
              <w:t>2053</w:t>
            </w:r>
          </w:p>
        </w:tc>
        <w:tc>
          <w:tcPr>
            <w:tcW w:w="806"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6"/>
              <w:ind w:left="265"/>
              <w:rPr>
                <w:b/>
                <w:sz w:val="22"/>
              </w:rPr>
            </w:pPr>
            <w:r>
              <w:rPr>
                <w:b/>
                <w:color w:val="FFFFFF"/>
                <w:spacing w:val="-4"/>
                <w:sz w:val="22"/>
              </w:rPr>
              <w:t>2063</w:t>
            </w:r>
          </w:p>
        </w:tc>
        <w:tc>
          <w:tcPr>
            <w:tcW w:w="1224"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557" w:type="dxa"/>
            <w:vMerge/>
            <w:tcBorders>
              <w:top w:val="nil"/>
              <w:left w:val="single" w:sz="8" w:space="0" w:color="221F1F"/>
              <w:bottom w:val="single" w:sz="8" w:space="0" w:color="221F1F"/>
            </w:tcBorders>
            <w:shd w:val="clear" w:color="auto" w:fill="0066B3"/>
          </w:tcPr>
          <w:p>
            <w:pPr>
              <w:rPr>
                <w:sz w:val="2"/>
                <w:szCs w:val="2"/>
              </w:rPr>
            </w:pPr>
          </w:p>
        </w:tc>
      </w:tr>
      <w:tr>
        <w:trPr>
          <w:trHeight w:val="575"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60"/>
              <w:ind w:right="71"/>
              <w:jc w:val="right"/>
              <w:rPr>
                <w:b/>
                <w:sz w:val="22"/>
              </w:rPr>
            </w:pPr>
            <w:r>
              <w:rPr>
                <w:b/>
                <w:spacing w:val="-10"/>
                <w:sz w:val="22"/>
              </w:rPr>
              <w:t>4</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47" w:lineRule="exact"/>
              <w:ind w:left="98"/>
              <w:rPr>
                <w:sz w:val="22"/>
              </w:rPr>
            </w:pPr>
            <w:r>
              <w:rPr>
                <w:color w:val="221F1F"/>
                <w:w w:val="75"/>
                <w:sz w:val="22"/>
              </w:rPr>
              <w:t>Proportion</w:t>
            </w:r>
            <w:r>
              <w:rPr>
                <w:color w:val="221F1F"/>
                <w:spacing w:val="16"/>
                <w:sz w:val="22"/>
              </w:rPr>
              <w:t> </w:t>
            </w:r>
            <w:r>
              <w:rPr>
                <w:color w:val="221F1F"/>
                <w:w w:val="75"/>
                <w:sz w:val="22"/>
              </w:rPr>
              <w:t>du</w:t>
            </w:r>
            <w:r>
              <w:rPr>
                <w:color w:val="221F1F"/>
                <w:spacing w:val="15"/>
                <w:sz w:val="22"/>
              </w:rPr>
              <w:t> </w:t>
            </w:r>
            <w:r>
              <w:rPr>
                <w:color w:val="221F1F"/>
                <w:w w:val="75"/>
                <w:sz w:val="22"/>
              </w:rPr>
              <w:t>réseau</w:t>
            </w:r>
            <w:r>
              <w:rPr>
                <w:color w:val="221F1F"/>
                <w:spacing w:val="16"/>
                <w:sz w:val="22"/>
              </w:rPr>
              <w:t> </w:t>
            </w:r>
            <w:r>
              <w:rPr>
                <w:color w:val="221F1F"/>
                <w:spacing w:val="-2"/>
                <w:w w:val="75"/>
                <w:sz w:val="22"/>
              </w:rPr>
              <w:t>routier</w:t>
            </w:r>
          </w:p>
          <w:p>
            <w:pPr>
              <w:pStyle w:val="TableParagraph"/>
              <w:spacing w:before="33"/>
              <w:ind w:left="98"/>
              <w:rPr>
                <w:sz w:val="22"/>
              </w:rPr>
            </w:pPr>
            <w:r>
              <w:rPr>
                <w:color w:val="221F1F"/>
                <w:w w:val="80"/>
                <w:sz w:val="22"/>
              </w:rPr>
              <w:t>bitumé</w:t>
            </w:r>
            <w:r>
              <w:rPr>
                <w:color w:val="221F1F"/>
                <w:spacing w:val="-1"/>
                <w:w w:val="80"/>
                <w:sz w:val="22"/>
              </w:rPr>
              <w:t> </w:t>
            </w:r>
            <w:r>
              <w:rPr>
                <w:color w:val="221F1F"/>
                <w:spacing w:val="-5"/>
                <w:w w:val="90"/>
                <w:sz w:val="22"/>
              </w:rPr>
              <w:t>(%)</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232"/>
              <w:ind w:left="79"/>
              <w:jc w:val="center"/>
              <w:rPr>
                <w:sz w:val="22"/>
              </w:rPr>
            </w:pPr>
            <w:r>
              <w:rPr>
                <w:color w:val="221F1F"/>
                <w:spacing w:val="-4"/>
                <w:sz w:val="22"/>
              </w:rPr>
              <w:t>4.02</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232"/>
              <w:ind w:left="80"/>
              <w:jc w:val="center"/>
              <w:rPr>
                <w:sz w:val="22"/>
              </w:rPr>
            </w:pPr>
            <w:r>
              <w:rPr>
                <w:color w:val="221F1F"/>
                <w:spacing w:val="-5"/>
                <w:sz w:val="22"/>
              </w:rPr>
              <w:t>8.5</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232"/>
              <w:ind w:left="307"/>
              <w:rPr>
                <w:sz w:val="22"/>
              </w:rPr>
            </w:pPr>
            <w:r>
              <w:rPr>
                <w:color w:val="221F1F"/>
                <w:spacing w:val="-5"/>
                <w:sz w:val="22"/>
              </w:rPr>
              <w:t>16</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232"/>
              <w:ind w:left="84"/>
              <w:jc w:val="center"/>
              <w:rPr>
                <w:sz w:val="22"/>
              </w:rPr>
            </w:pPr>
            <w:r>
              <w:rPr>
                <w:color w:val="221F1F"/>
                <w:spacing w:val="-5"/>
                <w:sz w:val="22"/>
              </w:rPr>
              <w:t>32</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232"/>
              <w:ind w:left="154" w:right="65"/>
              <w:jc w:val="center"/>
              <w:rPr>
                <w:sz w:val="22"/>
              </w:rPr>
            </w:pPr>
            <w:r>
              <w:rPr>
                <w:color w:val="221F1F"/>
                <w:spacing w:val="-5"/>
                <w:sz w:val="22"/>
              </w:rPr>
              <w:t>64</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39"/>
              <w:ind w:left="143" w:right="54"/>
              <w:jc w:val="center"/>
              <w:rPr>
                <w:sz w:val="22"/>
              </w:rPr>
            </w:pPr>
            <w:r>
              <w:rPr>
                <w:color w:val="221F1F"/>
                <w:w w:val="80"/>
                <w:sz w:val="22"/>
              </w:rPr>
              <w:t>Rapport</w:t>
            </w:r>
            <w:r>
              <w:rPr>
                <w:color w:val="221F1F"/>
                <w:spacing w:val="-1"/>
                <w:w w:val="90"/>
                <w:sz w:val="22"/>
              </w:rPr>
              <w:t> </w:t>
            </w:r>
            <w:r>
              <w:rPr>
                <w:color w:val="221F1F"/>
                <w:spacing w:val="-5"/>
                <w:w w:val="90"/>
                <w:sz w:val="22"/>
              </w:rPr>
              <w:t>DGR</w:t>
            </w:r>
          </w:p>
        </w:tc>
        <w:tc>
          <w:tcPr>
            <w:tcW w:w="1557" w:type="dxa"/>
            <w:tcBorders>
              <w:top w:val="single" w:sz="8" w:space="0" w:color="221F1F"/>
              <w:left w:val="single" w:sz="8" w:space="0" w:color="221F1F"/>
              <w:bottom w:val="single" w:sz="8" w:space="0" w:color="221F1F"/>
            </w:tcBorders>
          </w:tcPr>
          <w:p>
            <w:pPr>
              <w:pStyle w:val="TableParagraph"/>
              <w:spacing w:before="139"/>
              <w:ind w:left="143" w:right="59"/>
              <w:jc w:val="center"/>
              <w:rPr>
                <w:sz w:val="22"/>
              </w:rPr>
            </w:pPr>
            <w:r>
              <w:rPr>
                <w:color w:val="221F1F"/>
                <w:spacing w:val="-2"/>
                <w:sz w:val="22"/>
              </w:rPr>
              <w:t>DGR/CPS/ETC</w:t>
            </w:r>
          </w:p>
        </w:tc>
      </w:tr>
      <w:tr>
        <w:trPr>
          <w:trHeight w:val="577"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63"/>
              <w:ind w:right="71"/>
              <w:jc w:val="right"/>
              <w:rPr>
                <w:b/>
                <w:sz w:val="22"/>
              </w:rPr>
            </w:pPr>
            <w:r>
              <w:rPr>
                <w:b/>
                <w:spacing w:val="-10"/>
                <w:sz w:val="22"/>
              </w:rPr>
              <w:t>5</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ind w:left="21"/>
              <w:rPr>
                <w:sz w:val="22"/>
              </w:rPr>
            </w:pPr>
            <w:r>
              <w:rPr>
                <w:color w:val="221F1F"/>
                <w:spacing w:val="-2"/>
                <w:w w:val="80"/>
                <w:sz w:val="22"/>
              </w:rPr>
              <w:t>Linéaire</w:t>
            </w:r>
            <w:r>
              <w:rPr>
                <w:color w:val="221F1F"/>
                <w:spacing w:val="-7"/>
                <w:sz w:val="22"/>
              </w:rPr>
              <w:t> </w:t>
            </w:r>
            <w:r>
              <w:rPr>
                <w:color w:val="221F1F"/>
                <w:spacing w:val="-2"/>
                <w:w w:val="80"/>
                <w:sz w:val="22"/>
              </w:rPr>
              <w:t>additionnel</w:t>
            </w:r>
            <w:r>
              <w:rPr>
                <w:color w:val="221F1F"/>
                <w:spacing w:val="-7"/>
                <w:sz w:val="22"/>
              </w:rPr>
              <w:t> </w:t>
            </w:r>
            <w:r>
              <w:rPr>
                <w:color w:val="221F1F"/>
                <w:spacing w:val="-2"/>
                <w:w w:val="80"/>
                <w:sz w:val="22"/>
              </w:rPr>
              <w:t>de</w:t>
            </w:r>
            <w:r>
              <w:rPr>
                <w:color w:val="221F1F"/>
                <w:spacing w:val="-7"/>
                <w:sz w:val="22"/>
              </w:rPr>
              <w:t> </w:t>
            </w:r>
            <w:r>
              <w:rPr>
                <w:color w:val="221F1F"/>
                <w:spacing w:val="-2"/>
                <w:w w:val="80"/>
                <w:sz w:val="22"/>
              </w:rPr>
              <w:t>routes</w:t>
            </w:r>
            <w:r>
              <w:rPr>
                <w:color w:val="221F1F"/>
                <w:spacing w:val="-2"/>
                <w:w w:val="90"/>
                <w:sz w:val="22"/>
              </w:rPr>
              <w:t> </w:t>
            </w:r>
            <w:r>
              <w:rPr>
                <w:color w:val="221F1F"/>
                <w:w w:val="90"/>
                <w:sz w:val="22"/>
              </w:rPr>
              <w:t>bitumées (en KM)</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232"/>
              <w:ind w:left="80"/>
              <w:jc w:val="center"/>
              <w:rPr>
                <w:sz w:val="22"/>
              </w:rPr>
            </w:pPr>
            <w:r>
              <w:rPr>
                <w:color w:val="221F1F"/>
                <w:spacing w:val="-5"/>
                <w:sz w:val="22"/>
              </w:rPr>
              <w:t>40</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232"/>
              <w:ind w:left="80"/>
              <w:jc w:val="center"/>
              <w:rPr>
                <w:sz w:val="22"/>
              </w:rPr>
            </w:pPr>
            <w:r>
              <w:rPr>
                <w:color w:val="221F1F"/>
                <w:spacing w:val="-4"/>
                <w:sz w:val="22"/>
              </w:rPr>
              <w:t>1000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232"/>
              <w:ind w:left="223"/>
              <w:rPr>
                <w:sz w:val="22"/>
              </w:rPr>
            </w:pPr>
            <w:r>
              <w:rPr>
                <w:color w:val="221F1F"/>
                <w:spacing w:val="-4"/>
                <w:sz w:val="22"/>
              </w:rPr>
              <w:t>1000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232"/>
              <w:ind w:left="86"/>
              <w:jc w:val="center"/>
              <w:rPr>
                <w:sz w:val="22"/>
              </w:rPr>
            </w:pPr>
            <w:r>
              <w:rPr>
                <w:color w:val="221F1F"/>
                <w:spacing w:val="-4"/>
                <w:sz w:val="22"/>
              </w:rPr>
              <w:t>1000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232"/>
              <w:ind w:left="267"/>
              <w:rPr>
                <w:sz w:val="22"/>
              </w:rPr>
            </w:pPr>
            <w:r>
              <w:rPr>
                <w:color w:val="221F1F"/>
                <w:spacing w:val="-4"/>
                <w:sz w:val="22"/>
              </w:rPr>
              <w:t>1000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39"/>
              <w:ind w:left="143" w:right="54"/>
              <w:jc w:val="center"/>
              <w:rPr>
                <w:sz w:val="22"/>
              </w:rPr>
            </w:pPr>
            <w:r>
              <w:rPr>
                <w:color w:val="221F1F"/>
                <w:w w:val="80"/>
                <w:sz w:val="22"/>
              </w:rPr>
              <w:t>Rapport</w:t>
            </w:r>
            <w:r>
              <w:rPr>
                <w:color w:val="221F1F"/>
                <w:spacing w:val="-1"/>
                <w:w w:val="90"/>
                <w:sz w:val="22"/>
              </w:rPr>
              <w:t> </w:t>
            </w:r>
            <w:r>
              <w:rPr>
                <w:color w:val="221F1F"/>
                <w:spacing w:val="-5"/>
                <w:w w:val="90"/>
                <w:sz w:val="22"/>
              </w:rPr>
              <w:t>DGR</w:t>
            </w:r>
          </w:p>
        </w:tc>
        <w:tc>
          <w:tcPr>
            <w:tcW w:w="1557" w:type="dxa"/>
            <w:tcBorders>
              <w:top w:val="single" w:sz="8" w:space="0" w:color="221F1F"/>
              <w:left w:val="single" w:sz="8" w:space="0" w:color="221F1F"/>
              <w:bottom w:val="single" w:sz="8" w:space="0" w:color="221F1F"/>
            </w:tcBorders>
          </w:tcPr>
          <w:p>
            <w:pPr>
              <w:pStyle w:val="TableParagraph"/>
              <w:spacing w:before="139"/>
              <w:ind w:left="143" w:right="59"/>
              <w:jc w:val="center"/>
              <w:rPr>
                <w:sz w:val="22"/>
              </w:rPr>
            </w:pPr>
            <w:r>
              <w:rPr>
                <w:color w:val="221F1F"/>
                <w:spacing w:val="-2"/>
                <w:sz w:val="22"/>
              </w:rPr>
              <w:t>DGR/CPS/ETC</w:t>
            </w:r>
          </w:p>
        </w:tc>
      </w:tr>
      <w:tr>
        <w:trPr>
          <w:trHeight w:val="575"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60"/>
              <w:ind w:right="75"/>
              <w:jc w:val="right"/>
              <w:rPr>
                <w:b/>
                <w:sz w:val="22"/>
              </w:rPr>
            </w:pPr>
            <w:r>
              <w:rPr>
                <w:b/>
                <w:color w:val="221F1F"/>
                <w:spacing w:val="-10"/>
                <w:sz w:val="22"/>
              </w:rPr>
              <w:t>6</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47" w:lineRule="exact"/>
              <w:ind w:left="98"/>
              <w:rPr>
                <w:sz w:val="22"/>
              </w:rPr>
            </w:pPr>
            <w:r>
              <w:rPr>
                <w:color w:val="221F1F"/>
                <w:w w:val="75"/>
                <w:sz w:val="22"/>
              </w:rPr>
              <w:t>Linéaire</w:t>
            </w:r>
            <w:r>
              <w:rPr>
                <w:color w:val="221F1F"/>
                <w:spacing w:val="5"/>
                <w:sz w:val="22"/>
              </w:rPr>
              <w:t> </w:t>
            </w:r>
            <w:r>
              <w:rPr>
                <w:color w:val="221F1F"/>
                <w:w w:val="75"/>
                <w:sz w:val="22"/>
              </w:rPr>
              <w:t>de</w:t>
            </w:r>
            <w:r>
              <w:rPr>
                <w:color w:val="221F1F"/>
                <w:spacing w:val="8"/>
                <w:sz w:val="22"/>
              </w:rPr>
              <w:t> </w:t>
            </w:r>
            <w:r>
              <w:rPr>
                <w:color w:val="221F1F"/>
                <w:w w:val="75"/>
                <w:sz w:val="22"/>
              </w:rPr>
              <w:t>voies</w:t>
            </w:r>
            <w:r>
              <w:rPr>
                <w:color w:val="221F1F"/>
                <w:spacing w:val="9"/>
                <w:sz w:val="22"/>
              </w:rPr>
              <w:t> </w:t>
            </w:r>
            <w:r>
              <w:rPr>
                <w:color w:val="221F1F"/>
                <w:spacing w:val="-2"/>
                <w:w w:val="75"/>
                <w:sz w:val="22"/>
              </w:rPr>
              <w:t>ferrées</w:t>
            </w:r>
          </w:p>
          <w:p>
            <w:pPr>
              <w:pStyle w:val="TableParagraph"/>
              <w:spacing w:before="30"/>
              <w:ind w:left="98"/>
              <w:rPr>
                <w:sz w:val="22"/>
              </w:rPr>
            </w:pPr>
            <w:r>
              <w:rPr>
                <w:color w:val="221F1F"/>
                <w:w w:val="80"/>
                <w:sz w:val="22"/>
              </w:rPr>
              <w:t>construites</w:t>
            </w:r>
            <w:r>
              <w:rPr>
                <w:color w:val="221F1F"/>
                <w:spacing w:val="-1"/>
                <w:w w:val="90"/>
                <w:sz w:val="22"/>
              </w:rPr>
              <w:t> </w:t>
            </w:r>
            <w:r>
              <w:rPr>
                <w:color w:val="221F1F"/>
                <w:spacing w:val="-4"/>
                <w:w w:val="90"/>
                <w:sz w:val="22"/>
              </w:rPr>
              <w:t>(km)</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230"/>
              <w:ind w:left="77"/>
              <w:jc w:val="center"/>
              <w:rPr>
                <w:sz w:val="22"/>
              </w:rPr>
            </w:pPr>
            <w:r>
              <w:rPr>
                <w:color w:val="221F1F"/>
                <w:spacing w:val="-5"/>
                <w:sz w:val="22"/>
              </w:rPr>
              <w:t>643</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230"/>
              <w:ind w:left="78"/>
              <w:jc w:val="center"/>
              <w:rPr>
                <w:sz w:val="22"/>
              </w:rPr>
            </w:pPr>
            <w:r>
              <w:rPr>
                <w:color w:val="221F1F"/>
                <w:spacing w:val="-4"/>
                <w:sz w:val="22"/>
              </w:rPr>
              <w:t>1200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230"/>
              <w:ind w:left="221"/>
              <w:rPr>
                <w:sz w:val="22"/>
              </w:rPr>
            </w:pPr>
            <w:r>
              <w:rPr>
                <w:color w:val="221F1F"/>
                <w:spacing w:val="-4"/>
                <w:sz w:val="22"/>
              </w:rPr>
              <w:t>1800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230"/>
              <w:ind w:left="84"/>
              <w:jc w:val="center"/>
              <w:rPr>
                <w:sz w:val="22"/>
              </w:rPr>
            </w:pPr>
            <w:r>
              <w:rPr>
                <w:color w:val="221F1F"/>
                <w:spacing w:val="-4"/>
                <w:sz w:val="22"/>
              </w:rPr>
              <w:t>2100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230"/>
              <w:ind w:left="265"/>
              <w:rPr>
                <w:sz w:val="22"/>
              </w:rPr>
            </w:pPr>
            <w:r>
              <w:rPr>
                <w:color w:val="221F1F"/>
                <w:spacing w:val="-4"/>
                <w:sz w:val="22"/>
              </w:rPr>
              <w:t>3000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line="247" w:lineRule="exact"/>
              <w:ind w:left="349"/>
              <w:rPr>
                <w:sz w:val="22"/>
              </w:rPr>
            </w:pPr>
            <w:r>
              <w:rPr>
                <w:color w:val="221F1F"/>
                <w:spacing w:val="-2"/>
                <w:sz w:val="22"/>
              </w:rPr>
              <w:t>Rapport</w:t>
            </w:r>
          </w:p>
          <w:p>
            <w:pPr>
              <w:pStyle w:val="TableParagraph"/>
              <w:spacing w:before="30"/>
              <w:ind w:left="246"/>
              <w:rPr>
                <w:sz w:val="22"/>
              </w:rPr>
            </w:pPr>
            <w:r>
              <w:rPr>
                <w:color w:val="221F1F"/>
                <w:spacing w:val="-2"/>
                <w:sz w:val="22"/>
              </w:rPr>
              <w:t>SOPAFER</w:t>
            </w:r>
          </w:p>
        </w:tc>
        <w:tc>
          <w:tcPr>
            <w:tcW w:w="1557" w:type="dxa"/>
            <w:tcBorders>
              <w:top w:val="single" w:sz="8" w:space="0" w:color="221F1F"/>
              <w:left w:val="single" w:sz="8" w:space="0" w:color="221F1F"/>
              <w:bottom w:val="single" w:sz="8" w:space="0" w:color="221F1F"/>
            </w:tcBorders>
          </w:tcPr>
          <w:p>
            <w:pPr>
              <w:pStyle w:val="TableParagraph"/>
              <w:spacing w:before="139"/>
              <w:ind w:left="143" w:right="58"/>
              <w:jc w:val="center"/>
              <w:rPr>
                <w:sz w:val="22"/>
              </w:rPr>
            </w:pPr>
            <w:r>
              <w:rPr>
                <w:color w:val="221F1F"/>
                <w:spacing w:val="-2"/>
                <w:w w:val="95"/>
                <w:sz w:val="22"/>
              </w:rPr>
              <w:t>SOPAFER/ETC</w:t>
            </w:r>
          </w:p>
        </w:tc>
      </w:tr>
      <w:tr>
        <w:trPr>
          <w:trHeight w:val="566"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56"/>
              <w:ind w:right="75"/>
              <w:jc w:val="right"/>
              <w:rPr>
                <w:b/>
                <w:sz w:val="22"/>
              </w:rPr>
            </w:pPr>
            <w:r>
              <w:rPr>
                <w:b/>
                <w:color w:val="221F1F"/>
                <w:spacing w:val="-10"/>
                <w:sz w:val="22"/>
              </w:rPr>
              <w:t>7</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46" w:lineRule="exact"/>
              <w:ind w:left="98"/>
              <w:rPr>
                <w:sz w:val="22"/>
              </w:rPr>
            </w:pPr>
            <w:r>
              <w:rPr>
                <w:color w:val="221F1F"/>
                <w:spacing w:val="-2"/>
                <w:w w:val="80"/>
                <w:sz w:val="22"/>
              </w:rPr>
              <w:t>Linéaire</w:t>
            </w:r>
            <w:r>
              <w:rPr>
                <w:color w:val="221F1F"/>
                <w:spacing w:val="-6"/>
                <w:sz w:val="22"/>
              </w:rPr>
              <w:t> </w:t>
            </w:r>
            <w:r>
              <w:rPr>
                <w:color w:val="221F1F"/>
                <w:spacing w:val="-2"/>
                <w:w w:val="80"/>
                <w:sz w:val="22"/>
              </w:rPr>
              <w:t>de</w:t>
            </w:r>
            <w:r>
              <w:rPr>
                <w:color w:val="221F1F"/>
                <w:spacing w:val="-3"/>
                <w:sz w:val="22"/>
              </w:rPr>
              <w:t> </w:t>
            </w:r>
            <w:r>
              <w:rPr>
                <w:color w:val="221F1F"/>
                <w:spacing w:val="-2"/>
                <w:w w:val="80"/>
                <w:sz w:val="22"/>
              </w:rPr>
              <w:t>voies</w:t>
            </w:r>
            <w:r>
              <w:rPr>
                <w:color w:val="221F1F"/>
                <w:spacing w:val="1"/>
                <w:sz w:val="22"/>
              </w:rPr>
              <w:t> </w:t>
            </w:r>
            <w:r>
              <w:rPr>
                <w:color w:val="221F1F"/>
                <w:spacing w:val="-2"/>
                <w:w w:val="80"/>
                <w:sz w:val="22"/>
              </w:rPr>
              <w:t>navigables</w:t>
            </w:r>
          </w:p>
          <w:p>
            <w:pPr>
              <w:pStyle w:val="TableParagraph"/>
              <w:spacing w:before="30"/>
              <w:ind w:left="98"/>
              <w:rPr>
                <w:sz w:val="22"/>
              </w:rPr>
            </w:pPr>
            <w:r>
              <w:rPr>
                <w:color w:val="221F1F"/>
                <w:spacing w:val="-4"/>
                <w:sz w:val="22"/>
              </w:rPr>
              <w:t>(km)</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226"/>
              <w:ind w:left="80"/>
              <w:jc w:val="center"/>
              <w:rPr>
                <w:sz w:val="22"/>
              </w:rPr>
            </w:pPr>
            <w:r>
              <w:rPr>
                <w:color w:val="221F1F"/>
                <w:spacing w:val="-4"/>
                <w:sz w:val="22"/>
              </w:rPr>
              <w:t>1308</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226"/>
              <w:ind w:left="78"/>
              <w:jc w:val="center"/>
              <w:rPr>
                <w:sz w:val="22"/>
              </w:rPr>
            </w:pPr>
            <w:r>
              <w:rPr>
                <w:spacing w:val="-4"/>
                <w:sz w:val="22"/>
              </w:rPr>
              <w:t>1600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226"/>
              <w:ind w:left="221"/>
              <w:rPr>
                <w:sz w:val="22"/>
              </w:rPr>
            </w:pPr>
            <w:r>
              <w:rPr>
                <w:spacing w:val="-4"/>
                <w:sz w:val="22"/>
              </w:rPr>
              <w:t>1800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226"/>
              <w:ind w:left="84"/>
              <w:jc w:val="center"/>
              <w:rPr>
                <w:sz w:val="22"/>
              </w:rPr>
            </w:pPr>
            <w:r>
              <w:rPr>
                <w:spacing w:val="-4"/>
                <w:sz w:val="22"/>
              </w:rPr>
              <w:t>2000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226"/>
              <w:ind w:left="265"/>
              <w:rPr>
                <w:sz w:val="22"/>
              </w:rPr>
            </w:pPr>
            <w:r>
              <w:rPr>
                <w:spacing w:val="-4"/>
                <w:sz w:val="22"/>
              </w:rPr>
              <w:t>2334</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line="246" w:lineRule="exact"/>
              <w:ind w:left="366"/>
              <w:rPr>
                <w:sz w:val="22"/>
              </w:rPr>
            </w:pPr>
            <w:r>
              <w:rPr>
                <w:color w:val="221F1F"/>
                <w:spacing w:val="-2"/>
                <w:sz w:val="22"/>
              </w:rPr>
              <w:t>Rapport</w:t>
            </w:r>
          </w:p>
          <w:p>
            <w:pPr>
              <w:pStyle w:val="TableParagraph"/>
              <w:spacing w:before="30"/>
              <w:ind w:left="248"/>
              <w:rPr>
                <w:sz w:val="22"/>
              </w:rPr>
            </w:pPr>
            <w:r>
              <w:rPr>
                <w:color w:val="221F1F"/>
                <w:spacing w:val="-2"/>
                <w:sz w:val="22"/>
              </w:rPr>
              <w:t>COMANAF</w:t>
            </w:r>
          </w:p>
        </w:tc>
        <w:tc>
          <w:tcPr>
            <w:tcW w:w="1557" w:type="dxa"/>
            <w:tcBorders>
              <w:top w:val="single" w:sz="8" w:space="0" w:color="221F1F"/>
              <w:left w:val="single" w:sz="8" w:space="0" w:color="221F1F"/>
              <w:bottom w:val="single" w:sz="8" w:space="0" w:color="221F1F"/>
            </w:tcBorders>
          </w:tcPr>
          <w:p>
            <w:pPr>
              <w:pStyle w:val="TableParagraph"/>
              <w:spacing w:before="135"/>
              <w:ind w:left="143" w:right="58"/>
              <w:jc w:val="center"/>
              <w:rPr>
                <w:sz w:val="22"/>
              </w:rPr>
            </w:pPr>
            <w:r>
              <w:rPr>
                <w:color w:val="221F1F"/>
                <w:spacing w:val="-2"/>
                <w:w w:val="95"/>
                <w:sz w:val="22"/>
              </w:rPr>
              <w:t>COMANAF/ETC</w:t>
            </w:r>
          </w:p>
        </w:tc>
      </w:tr>
      <w:tr>
        <w:trPr>
          <w:trHeight w:val="855"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82"/>
              <w:ind w:right="75"/>
              <w:jc w:val="right"/>
              <w:rPr>
                <w:b/>
                <w:sz w:val="22"/>
              </w:rPr>
            </w:pPr>
            <w:r>
              <w:rPr>
                <w:b/>
                <w:color w:val="221F1F"/>
                <w:spacing w:val="-10"/>
                <w:sz w:val="22"/>
              </w:rPr>
              <w:t>8</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64" w:lineRule="auto" w:before="21"/>
              <w:ind w:left="98" w:right="449"/>
              <w:rPr>
                <w:sz w:val="22"/>
              </w:rPr>
            </w:pPr>
            <w:r>
              <w:rPr>
                <w:color w:val="221F1F"/>
                <w:w w:val="85"/>
                <w:sz w:val="22"/>
              </w:rPr>
              <w:t>Quantité</w:t>
            </w:r>
            <w:r>
              <w:rPr>
                <w:color w:val="221F1F"/>
                <w:spacing w:val="-6"/>
                <w:w w:val="85"/>
                <w:sz w:val="22"/>
              </w:rPr>
              <w:t> </w:t>
            </w:r>
            <w:r>
              <w:rPr>
                <w:color w:val="221F1F"/>
                <w:w w:val="85"/>
                <w:sz w:val="22"/>
              </w:rPr>
              <w:t>de</w:t>
            </w:r>
            <w:r>
              <w:rPr>
                <w:color w:val="221F1F"/>
                <w:spacing w:val="-5"/>
                <w:w w:val="85"/>
                <w:sz w:val="22"/>
              </w:rPr>
              <w:t> </w:t>
            </w:r>
            <w:r>
              <w:rPr>
                <w:color w:val="221F1F"/>
                <w:w w:val="85"/>
                <w:sz w:val="22"/>
              </w:rPr>
              <w:t>production </w:t>
            </w:r>
            <w:r>
              <w:rPr>
                <w:color w:val="221F1F"/>
                <w:w w:val="90"/>
                <w:sz w:val="22"/>
              </w:rPr>
              <w:t>céréalière</w:t>
            </w:r>
            <w:r>
              <w:rPr>
                <w:color w:val="221F1F"/>
                <w:spacing w:val="-8"/>
                <w:w w:val="90"/>
                <w:sz w:val="22"/>
              </w:rPr>
              <w:t> </w:t>
            </w:r>
            <w:r>
              <w:rPr>
                <w:color w:val="221F1F"/>
                <w:w w:val="90"/>
                <w:sz w:val="22"/>
              </w:rPr>
              <w:t>(en</w:t>
            </w:r>
            <w:r>
              <w:rPr>
                <w:color w:val="221F1F"/>
                <w:spacing w:val="-8"/>
                <w:w w:val="90"/>
                <w:sz w:val="22"/>
              </w:rPr>
              <w:t> </w:t>
            </w:r>
            <w:r>
              <w:rPr>
                <w:color w:val="221F1F"/>
                <w:w w:val="90"/>
                <w:sz w:val="22"/>
              </w:rPr>
              <w:t>millions</w:t>
            </w:r>
          </w:p>
          <w:p>
            <w:pPr>
              <w:pStyle w:val="TableParagraph"/>
              <w:spacing w:before="4"/>
              <w:ind w:left="98"/>
              <w:rPr>
                <w:sz w:val="22"/>
              </w:rPr>
            </w:pPr>
            <w:r>
              <w:rPr>
                <w:color w:val="221F1F"/>
                <w:spacing w:val="-2"/>
                <w:sz w:val="22"/>
              </w:rPr>
              <w:t>tonnes)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19"/>
              <w:ind w:left="154"/>
              <w:jc w:val="center"/>
              <w:rPr>
                <w:sz w:val="22"/>
              </w:rPr>
            </w:pPr>
            <w:r>
              <w:rPr>
                <w:color w:val="221F1F"/>
                <w:spacing w:val="-2"/>
                <w:w w:val="90"/>
                <w:sz w:val="22"/>
              </w:rPr>
              <w:t>10,288</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9"/>
              <w:ind w:left="159"/>
              <w:jc w:val="center"/>
              <w:rPr>
                <w:sz w:val="22"/>
              </w:rPr>
            </w:pPr>
            <w:r>
              <w:rPr>
                <w:color w:val="221F1F"/>
                <w:spacing w:val="-2"/>
                <w:w w:val="90"/>
                <w:sz w:val="22"/>
              </w:rPr>
              <w:t>15,500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9"/>
              <w:ind w:right="38"/>
              <w:jc w:val="right"/>
              <w:rPr>
                <w:sz w:val="22"/>
              </w:rPr>
            </w:pPr>
            <w:r>
              <w:rPr>
                <w:color w:val="221F1F"/>
                <w:spacing w:val="-2"/>
                <w:w w:val="95"/>
                <w:sz w:val="22"/>
              </w:rPr>
              <w:t>23,405</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9"/>
              <w:ind w:left="167"/>
              <w:jc w:val="center"/>
              <w:rPr>
                <w:sz w:val="22"/>
              </w:rPr>
            </w:pPr>
            <w:r>
              <w:rPr>
                <w:color w:val="221F1F"/>
                <w:spacing w:val="-2"/>
                <w:w w:val="95"/>
                <w:sz w:val="22"/>
              </w:rPr>
              <w:t>35,341</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9"/>
              <w:ind w:right="101"/>
              <w:jc w:val="right"/>
              <w:rPr>
                <w:sz w:val="22"/>
              </w:rPr>
            </w:pPr>
            <w:r>
              <w:rPr>
                <w:color w:val="221F1F"/>
                <w:spacing w:val="-2"/>
                <w:w w:val="95"/>
                <w:sz w:val="22"/>
              </w:rPr>
              <w:t>53,365</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58"/>
              <w:ind w:left="143" w:right="54"/>
              <w:jc w:val="center"/>
              <w:rPr>
                <w:sz w:val="22"/>
              </w:rPr>
            </w:pPr>
            <w:r>
              <w:rPr>
                <w:color w:val="221F1F"/>
                <w:w w:val="80"/>
                <w:sz w:val="22"/>
              </w:rPr>
              <w:t>Rapport</w:t>
            </w:r>
            <w:r>
              <w:rPr>
                <w:color w:val="221F1F"/>
                <w:spacing w:val="-1"/>
                <w:w w:val="90"/>
                <w:sz w:val="22"/>
              </w:rPr>
              <w:t> </w:t>
            </w:r>
            <w:r>
              <w:rPr>
                <w:color w:val="221F1F"/>
                <w:spacing w:val="-5"/>
                <w:w w:val="90"/>
                <w:sz w:val="22"/>
              </w:rPr>
              <w:t>EAC</w:t>
            </w:r>
          </w:p>
        </w:tc>
        <w:tc>
          <w:tcPr>
            <w:tcW w:w="1557" w:type="dxa"/>
            <w:tcBorders>
              <w:top w:val="single" w:sz="8" w:space="0" w:color="221F1F"/>
              <w:left w:val="single" w:sz="8" w:space="0" w:color="221F1F"/>
              <w:bottom w:val="single" w:sz="8" w:space="0" w:color="221F1F"/>
            </w:tcBorders>
          </w:tcPr>
          <w:p>
            <w:pPr>
              <w:pStyle w:val="TableParagraph"/>
              <w:spacing w:before="158"/>
              <w:ind w:left="143" w:right="60"/>
              <w:jc w:val="center"/>
              <w:rPr>
                <w:sz w:val="22"/>
              </w:rPr>
            </w:pPr>
            <w:r>
              <w:rPr>
                <w:color w:val="221F1F"/>
                <w:spacing w:val="-2"/>
                <w:sz w:val="22"/>
              </w:rPr>
              <w:t>CPS/DNA</w:t>
            </w:r>
          </w:p>
        </w:tc>
      </w:tr>
      <w:tr>
        <w:trPr>
          <w:trHeight w:val="555"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53"/>
              <w:ind w:right="71"/>
              <w:jc w:val="right"/>
              <w:rPr>
                <w:b/>
                <w:sz w:val="22"/>
              </w:rPr>
            </w:pPr>
            <w:r>
              <w:rPr>
                <w:b/>
                <w:spacing w:val="-10"/>
                <w:sz w:val="22"/>
              </w:rPr>
              <w:t>9</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28" w:lineRule="auto"/>
              <w:ind w:left="21" w:right="4"/>
              <w:rPr>
                <w:sz w:val="22"/>
              </w:rPr>
            </w:pPr>
            <w:r>
              <w:rPr>
                <w:color w:val="221F1F"/>
                <w:w w:val="80"/>
                <w:sz w:val="22"/>
              </w:rPr>
              <w:t>Nombre</w:t>
            </w:r>
            <w:r>
              <w:rPr>
                <w:color w:val="221F1F"/>
                <w:spacing w:val="-3"/>
                <w:w w:val="80"/>
                <w:sz w:val="22"/>
              </w:rPr>
              <w:t> </w:t>
            </w:r>
            <w:r>
              <w:rPr>
                <w:color w:val="221F1F"/>
                <w:w w:val="80"/>
                <w:sz w:val="22"/>
              </w:rPr>
              <w:t>d’hectares</w:t>
            </w:r>
            <w:r>
              <w:rPr>
                <w:color w:val="221F1F"/>
                <w:spacing w:val="-3"/>
                <w:w w:val="80"/>
                <w:sz w:val="22"/>
              </w:rPr>
              <w:t> </w:t>
            </w:r>
            <w:r>
              <w:rPr>
                <w:color w:val="221F1F"/>
                <w:w w:val="80"/>
                <w:sz w:val="22"/>
              </w:rPr>
              <w:t>aménagés</w:t>
            </w:r>
            <w:r>
              <w:rPr>
                <w:color w:val="221F1F"/>
                <w:spacing w:val="-2"/>
                <w:w w:val="80"/>
                <w:sz w:val="22"/>
              </w:rPr>
              <w:t> </w:t>
            </w:r>
            <w:r>
              <w:rPr>
                <w:color w:val="221F1F"/>
                <w:w w:val="80"/>
                <w:sz w:val="22"/>
              </w:rPr>
              <w:t>et</w:t>
            </w:r>
            <w:r>
              <w:rPr>
                <w:color w:val="221F1F"/>
                <w:w w:val="90"/>
                <w:sz w:val="22"/>
              </w:rPr>
              <w:t> </w:t>
            </w:r>
            <w:r>
              <w:rPr>
                <w:color w:val="221F1F"/>
                <w:spacing w:val="-2"/>
                <w:w w:val="90"/>
                <w:sz w:val="22"/>
              </w:rPr>
              <w:t>équipés</w:t>
            </w:r>
            <w:r>
              <w:rPr>
                <w:color w:val="221F1F"/>
                <w:spacing w:val="-8"/>
                <w:w w:val="90"/>
                <w:sz w:val="22"/>
              </w:rPr>
              <w:t> </w:t>
            </w:r>
            <w:r>
              <w:rPr>
                <w:color w:val="221F1F"/>
                <w:spacing w:val="-2"/>
                <w:w w:val="90"/>
                <w:sz w:val="22"/>
              </w:rPr>
              <w:t>(en</w:t>
            </w:r>
            <w:r>
              <w:rPr>
                <w:color w:val="221F1F"/>
                <w:spacing w:val="-9"/>
                <w:w w:val="90"/>
                <w:sz w:val="22"/>
              </w:rPr>
              <w:t> </w:t>
            </w:r>
            <w:r>
              <w:rPr>
                <w:color w:val="221F1F"/>
                <w:spacing w:val="-2"/>
                <w:w w:val="90"/>
                <w:sz w:val="22"/>
              </w:rPr>
              <w:t>milliers)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132"/>
              <w:ind w:left="77"/>
              <w:jc w:val="center"/>
              <w:rPr>
                <w:sz w:val="22"/>
              </w:rPr>
            </w:pPr>
            <w:r>
              <w:rPr>
                <w:color w:val="221F1F"/>
                <w:spacing w:val="-2"/>
                <w:w w:val="90"/>
                <w:sz w:val="22"/>
              </w:rPr>
              <w:t>531,0</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32"/>
              <w:ind w:left="80"/>
              <w:jc w:val="center"/>
              <w:rPr>
                <w:sz w:val="22"/>
              </w:rPr>
            </w:pPr>
            <w:r>
              <w:rPr>
                <w:color w:val="221F1F"/>
                <w:spacing w:val="-2"/>
                <w:w w:val="90"/>
                <w:sz w:val="22"/>
              </w:rPr>
              <w:t>671,0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32"/>
              <w:ind w:left="211"/>
              <w:rPr>
                <w:sz w:val="22"/>
              </w:rPr>
            </w:pPr>
            <w:r>
              <w:rPr>
                <w:color w:val="221F1F"/>
                <w:spacing w:val="-2"/>
                <w:w w:val="90"/>
                <w:sz w:val="22"/>
              </w:rPr>
              <w:t>885,0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32"/>
              <w:ind w:left="86"/>
              <w:jc w:val="center"/>
              <w:rPr>
                <w:sz w:val="22"/>
              </w:rPr>
            </w:pPr>
            <w:r>
              <w:rPr>
                <w:color w:val="221F1F"/>
                <w:spacing w:val="-2"/>
                <w:w w:val="90"/>
                <w:sz w:val="22"/>
              </w:rPr>
              <w:t>961,0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line="240" w:lineRule="exact"/>
              <w:ind w:left="313"/>
              <w:rPr>
                <w:sz w:val="22"/>
              </w:rPr>
            </w:pPr>
            <w:r>
              <w:rPr>
                <w:color w:val="221F1F"/>
                <w:spacing w:val="-4"/>
                <w:w w:val="95"/>
                <w:sz w:val="22"/>
              </w:rPr>
              <w:t>1111</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line="240" w:lineRule="exact"/>
              <w:ind w:left="349"/>
              <w:rPr>
                <w:sz w:val="22"/>
              </w:rPr>
            </w:pPr>
            <w:r>
              <w:rPr>
                <w:color w:val="221F1F"/>
                <w:spacing w:val="-2"/>
                <w:sz w:val="22"/>
              </w:rPr>
              <w:t>Rapport</w:t>
            </w:r>
          </w:p>
          <w:p>
            <w:pPr>
              <w:pStyle w:val="TableParagraph"/>
              <w:spacing w:before="30"/>
              <w:ind w:left="404"/>
              <w:rPr>
                <w:sz w:val="22"/>
              </w:rPr>
            </w:pPr>
            <w:r>
              <w:rPr>
                <w:color w:val="221F1F"/>
                <w:spacing w:val="-4"/>
                <w:sz w:val="22"/>
              </w:rPr>
              <w:t>DNGR</w:t>
            </w:r>
          </w:p>
        </w:tc>
        <w:tc>
          <w:tcPr>
            <w:tcW w:w="1557" w:type="dxa"/>
            <w:tcBorders>
              <w:top w:val="single" w:sz="8" w:space="0" w:color="221F1F"/>
              <w:left w:val="single" w:sz="8" w:space="0" w:color="221F1F"/>
              <w:bottom w:val="single" w:sz="8" w:space="0" w:color="221F1F"/>
            </w:tcBorders>
          </w:tcPr>
          <w:p>
            <w:pPr>
              <w:pStyle w:val="TableParagraph"/>
              <w:spacing w:before="132"/>
              <w:ind w:left="143" w:right="58"/>
              <w:jc w:val="center"/>
              <w:rPr>
                <w:sz w:val="22"/>
              </w:rPr>
            </w:pPr>
            <w:r>
              <w:rPr>
                <w:color w:val="221F1F"/>
                <w:spacing w:val="-2"/>
                <w:sz w:val="22"/>
              </w:rPr>
              <w:t>DNGR/CPS</w:t>
            </w:r>
          </w:p>
        </w:tc>
      </w:tr>
      <w:tr>
        <w:trPr>
          <w:trHeight w:val="868"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94"/>
              <w:ind w:right="21"/>
              <w:jc w:val="right"/>
              <w:rPr>
                <w:b/>
                <w:sz w:val="22"/>
              </w:rPr>
            </w:pPr>
            <w:r>
              <w:rPr>
                <w:b/>
                <w:spacing w:val="-5"/>
                <w:sz w:val="22"/>
              </w:rPr>
              <w:t>10</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3"/>
              <w:ind w:left="98"/>
              <w:rPr>
                <w:sz w:val="22"/>
              </w:rPr>
            </w:pPr>
            <w:r>
              <w:rPr>
                <w:color w:val="221F1F"/>
                <w:spacing w:val="-2"/>
                <w:w w:val="80"/>
                <w:sz w:val="22"/>
              </w:rPr>
              <w:t>Quantités</w:t>
            </w:r>
            <w:r>
              <w:rPr>
                <w:color w:val="221F1F"/>
                <w:spacing w:val="-10"/>
                <w:sz w:val="22"/>
              </w:rPr>
              <w:t> </w:t>
            </w:r>
            <w:r>
              <w:rPr>
                <w:color w:val="221F1F"/>
                <w:spacing w:val="-2"/>
                <w:w w:val="80"/>
                <w:sz w:val="22"/>
              </w:rPr>
              <w:t>de</w:t>
            </w:r>
            <w:r>
              <w:rPr>
                <w:color w:val="221F1F"/>
                <w:spacing w:val="-10"/>
                <w:sz w:val="22"/>
              </w:rPr>
              <w:t> </w:t>
            </w:r>
            <w:r>
              <w:rPr>
                <w:color w:val="221F1F"/>
                <w:spacing w:val="-2"/>
                <w:w w:val="80"/>
                <w:sz w:val="22"/>
              </w:rPr>
              <w:t>coton</w:t>
            </w:r>
            <w:r>
              <w:rPr>
                <w:color w:val="221F1F"/>
                <w:spacing w:val="-10"/>
                <w:sz w:val="22"/>
              </w:rPr>
              <w:t> </w:t>
            </w:r>
            <w:r>
              <w:rPr>
                <w:color w:val="221F1F"/>
                <w:spacing w:val="-2"/>
                <w:w w:val="80"/>
                <w:sz w:val="22"/>
              </w:rPr>
              <w:t>graines</w:t>
            </w:r>
            <w:r>
              <w:rPr>
                <w:color w:val="221F1F"/>
                <w:spacing w:val="-2"/>
                <w:w w:val="95"/>
                <w:sz w:val="22"/>
              </w:rPr>
              <w:t> </w:t>
            </w:r>
            <w:r>
              <w:rPr>
                <w:color w:val="221F1F"/>
                <w:w w:val="95"/>
                <w:sz w:val="22"/>
              </w:rPr>
              <w:t>produites (en milliers </w:t>
            </w:r>
            <w:r>
              <w:rPr>
                <w:color w:val="221F1F"/>
                <w:spacing w:val="-2"/>
                <w:w w:val="95"/>
                <w:sz w:val="22"/>
              </w:rPr>
              <w:t>tonnes)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31"/>
              <w:ind w:left="235"/>
              <w:jc w:val="center"/>
              <w:rPr>
                <w:sz w:val="22"/>
              </w:rPr>
            </w:pPr>
            <w:r>
              <w:rPr>
                <w:color w:val="221F1F"/>
                <w:w w:val="85"/>
                <w:sz w:val="22"/>
              </w:rPr>
              <w:t>690,</w:t>
            </w:r>
            <w:r>
              <w:rPr>
                <w:color w:val="221F1F"/>
                <w:spacing w:val="-4"/>
                <w:w w:val="85"/>
                <w:sz w:val="22"/>
              </w:rPr>
              <w:t> </w:t>
            </w:r>
            <w:r>
              <w:rPr>
                <w:color w:val="221F1F"/>
                <w:spacing w:val="-10"/>
                <w:sz w:val="22"/>
              </w:rPr>
              <w:t>0</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31"/>
              <w:ind w:left="236"/>
              <w:jc w:val="center"/>
              <w:rPr>
                <w:sz w:val="22"/>
              </w:rPr>
            </w:pPr>
            <w:r>
              <w:rPr>
                <w:color w:val="221F1F"/>
                <w:spacing w:val="-4"/>
                <w:sz w:val="22"/>
              </w:rPr>
              <w:t>1570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31"/>
              <w:ind w:right="38"/>
              <w:jc w:val="right"/>
              <w:rPr>
                <w:sz w:val="22"/>
              </w:rPr>
            </w:pPr>
            <w:r>
              <w:rPr>
                <w:color w:val="221F1F"/>
                <w:w w:val="85"/>
                <w:sz w:val="22"/>
              </w:rPr>
              <w:t>1</w:t>
            </w:r>
            <w:r>
              <w:rPr>
                <w:color w:val="221F1F"/>
                <w:spacing w:val="-2"/>
                <w:w w:val="85"/>
                <w:sz w:val="22"/>
              </w:rPr>
              <w:t> </w:t>
            </w:r>
            <w:r>
              <w:rPr>
                <w:color w:val="221F1F"/>
                <w:spacing w:val="-5"/>
                <w:sz w:val="22"/>
              </w:rPr>
              <w:t>670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31"/>
              <w:ind w:left="237"/>
              <w:jc w:val="center"/>
              <w:rPr>
                <w:sz w:val="22"/>
              </w:rPr>
            </w:pPr>
            <w:r>
              <w:rPr>
                <w:color w:val="221F1F"/>
                <w:spacing w:val="-4"/>
                <w:sz w:val="22"/>
              </w:rPr>
              <w:t>1850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31"/>
              <w:ind w:right="98"/>
              <w:jc w:val="right"/>
              <w:rPr>
                <w:sz w:val="22"/>
              </w:rPr>
            </w:pPr>
            <w:r>
              <w:rPr>
                <w:color w:val="221F1F"/>
                <w:spacing w:val="-4"/>
                <w:sz w:val="22"/>
              </w:rPr>
              <w:t>2000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31"/>
              <w:ind w:left="404" w:right="336" w:hanging="56"/>
              <w:rPr>
                <w:sz w:val="22"/>
              </w:rPr>
            </w:pPr>
            <w:r>
              <w:rPr>
                <w:color w:val="221F1F"/>
                <w:spacing w:val="-2"/>
                <w:w w:val="80"/>
                <w:sz w:val="22"/>
              </w:rPr>
              <w:t>Rapport</w:t>
            </w:r>
            <w:r>
              <w:rPr>
                <w:color w:val="221F1F"/>
                <w:spacing w:val="-2"/>
                <w:w w:val="85"/>
                <w:sz w:val="22"/>
              </w:rPr>
              <w:t> </w:t>
            </w:r>
            <w:r>
              <w:rPr>
                <w:color w:val="221F1F"/>
                <w:spacing w:val="-4"/>
                <w:w w:val="85"/>
                <w:sz w:val="22"/>
              </w:rPr>
              <w:t>CMDT</w:t>
            </w:r>
          </w:p>
        </w:tc>
        <w:tc>
          <w:tcPr>
            <w:tcW w:w="1557" w:type="dxa"/>
            <w:tcBorders>
              <w:top w:val="single" w:sz="8" w:space="0" w:color="221F1F"/>
              <w:left w:val="single" w:sz="8" w:space="0" w:color="221F1F"/>
              <w:bottom w:val="single" w:sz="8" w:space="0" w:color="221F1F"/>
            </w:tcBorders>
          </w:tcPr>
          <w:p>
            <w:pPr>
              <w:pStyle w:val="TableParagraph"/>
              <w:spacing w:before="170"/>
              <w:ind w:left="143" w:right="59"/>
              <w:jc w:val="center"/>
              <w:rPr>
                <w:sz w:val="22"/>
              </w:rPr>
            </w:pPr>
            <w:r>
              <w:rPr>
                <w:color w:val="221F1F"/>
                <w:spacing w:val="-4"/>
                <w:sz w:val="22"/>
              </w:rPr>
              <w:t>CMDT</w:t>
            </w:r>
          </w:p>
        </w:tc>
      </w:tr>
      <w:tr>
        <w:trPr>
          <w:trHeight w:val="532"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39"/>
              <w:ind w:right="21"/>
              <w:jc w:val="right"/>
              <w:rPr>
                <w:b/>
                <w:sz w:val="22"/>
              </w:rPr>
            </w:pPr>
            <w:r>
              <w:rPr>
                <w:b/>
                <w:spacing w:val="-5"/>
                <w:sz w:val="22"/>
              </w:rPr>
              <w:t>11</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117"/>
              <w:ind w:left="98"/>
              <w:rPr>
                <w:sz w:val="22"/>
              </w:rPr>
            </w:pPr>
            <w:r>
              <w:rPr>
                <w:color w:val="221F1F"/>
                <w:w w:val="75"/>
                <w:sz w:val="22"/>
              </w:rPr>
              <w:t>Taux</w:t>
            </w:r>
            <w:r>
              <w:rPr>
                <w:color w:val="221F1F"/>
                <w:spacing w:val="1"/>
                <w:sz w:val="22"/>
              </w:rPr>
              <w:t> </w:t>
            </w:r>
            <w:r>
              <w:rPr>
                <w:color w:val="221F1F"/>
                <w:w w:val="75"/>
                <w:sz w:val="22"/>
              </w:rPr>
              <w:t>d’accès</w:t>
            </w:r>
            <w:r>
              <w:rPr>
                <w:color w:val="221F1F"/>
                <w:spacing w:val="6"/>
                <w:sz w:val="22"/>
              </w:rPr>
              <w:t> </w:t>
            </w:r>
            <w:r>
              <w:rPr>
                <w:color w:val="221F1F"/>
                <w:w w:val="75"/>
                <w:sz w:val="22"/>
              </w:rPr>
              <w:t>à</w:t>
            </w:r>
            <w:r>
              <w:rPr>
                <w:color w:val="221F1F"/>
                <w:spacing w:val="4"/>
                <w:sz w:val="22"/>
              </w:rPr>
              <w:t> </w:t>
            </w:r>
            <w:r>
              <w:rPr>
                <w:color w:val="221F1F"/>
                <w:spacing w:val="-2"/>
                <w:w w:val="75"/>
                <w:sz w:val="22"/>
              </w:rPr>
              <w:t>l’électricité</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199"/>
              <w:ind w:left="79"/>
              <w:jc w:val="center"/>
              <w:rPr>
                <w:sz w:val="22"/>
              </w:rPr>
            </w:pPr>
            <w:r>
              <w:rPr>
                <w:color w:val="221F1F"/>
                <w:spacing w:val="-4"/>
                <w:sz w:val="22"/>
              </w:rPr>
              <w:t>55,8</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99"/>
              <w:ind w:left="78"/>
              <w:jc w:val="center"/>
              <w:rPr>
                <w:sz w:val="22"/>
              </w:rPr>
            </w:pPr>
            <w:r>
              <w:rPr>
                <w:color w:val="221F1F"/>
                <w:spacing w:val="-5"/>
                <w:sz w:val="22"/>
              </w:rPr>
              <w:t>82</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99"/>
              <w:ind w:left="307"/>
              <w:rPr>
                <w:sz w:val="22"/>
              </w:rPr>
            </w:pPr>
            <w:r>
              <w:rPr>
                <w:color w:val="221F1F"/>
                <w:spacing w:val="-5"/>
                <w:sz w:val="22"/>
              </w:rPr>
              <w:t>90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99"/>
              <w:ind w:left="81"/>
              <w:jc w:val="center"/>
              <w:rPr>
                <w:sz w:val="22"/>
              </w:rPr>
            </w:pPr>
            <w:r>
              <w:rPr>
                <w:color w:val="221F1F"/>
                <w:spacing w:val="-5"/>
                <w:sz w:val="22"/>
              </w:rPr>
              <w:t>100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99"/>
              <w:ind w:left="310"/>
              <w:rPr>
                <w:sz w:val="22"/>
              </w:rPr>
            </w:pPr>
            <w:r>
              <w:rPr>
                <w:color w:val="221F1F"/>
                <w:spacing w:val="-5"/>
                <w:sz w:val="22"/>
              </w:rPr>
              <w:t>100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17"/>
              <w:ind w:left="143" w:right="52"/>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28"/>
              <w:ind w:left="143" w:right="63"/>
              <w:jc w:val="center"/>
              <w:rPr>
                <w:sz w:val="22"/>
              </w:rPr>
            </w:pPr>
            <w:r>
              <w:rPr>
                <w:color w:val="221F1F"/>
                <w:spacing w:val="-2"/>
                <w:sz w:val="22"/>
              </w:rPr>
              <w:t>CPS/MEE</w:t>
            </w:r>
          </w:p>
        </w:tc>
      </w:tr>
      <w:tr>
        <w:trPr>
          <w:trHeight w:val="735"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39"/>
              <w:ind w:right="21"/>
              <w:jc w:val="right"/>
              <w:rPr>
                <w:b/>
                <w:sz w:val="22"/>
              </w:rPr>
            </w:pPr>
            <w:r>
              <w:rPr>
                <w:b/>
                <w:spacing w:val="-5"/>
                <w:sz w:val="22"/>
              </w:rPr>
              <w:t>12</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117"/>
              <w:ind w:left="98" w:right="-15"/>
              <w:rPr>
                <w:sz w:val="22"/>
              </w:rPr>
            </w:pPr>
            <w:r>
              <w:rPr>
                <w:color w:val="221F1F"/>
                <w:w w:val="75"/>
                <w:sz w:val="22"/>
              </w:rPr>
              <w:t>Production</w:t>
            </w:r>
            <w:r>
              <w:rPr>
                <w:color w:val="221F1F"/>
                <w:spacing w:val="18"/>
                <w:sz w:val="22"/>
              </w:rPr>
              <w:t> </w:t>
            </w:r>
            <w:r>
              <w:rPr>
                <w:color w:val="221F1F"/>
                <w:w w:val="75"/>
                <w:sz w:val="22"/>
              </w:rPr>
              <w:t>d’électricité</w:t>
            </w:r>
            <w:r>
              <w:rPr>
                <w:color w:val="221F1F"/>
                <w:spacing w:val="18"/>
                <w:sz w:val="22"/>
              </w:rPr>
              <w:t> </w:t>
            </w:r>
            <w:r>
              <w:rPr>
                <w:color w:val="221F1F"/>
                <w:w w:val="75"/>
                <w:sz w:val="22"/>
              </w:rPr>
              <w:t>(en</w:t>
            </w:r>
            <w:r>
              <w:rPr>
                <w:color w:val="221F1F"/>
                <w:spacing w:val="19"/>
                <w:sz w:val="22"/>
              </w:rPr>
              <w:t> </w:t>
            </w:r>
            <w:r>
              <w:rPr>
                <w:color w:val="221F1F"/>
                <w:spacing w:val="-5"/>
                <w:w w:val="75"/>
                <w:sz w:val="22"/>
              </w:rPr>
              <w:t>MW)</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117"/>
              <w:ind w:left="77"/>
              <w:jc w:val="center"/>
              <w:rPr>
                <w:sz w:val="22"/>
              </w:rPr>
            </w:pPr>
            <w:r>
              <w:rPr>
                <w:color w:val="221F1F"/>
                <w:spacing w:val="-5"/>
                <w:sz w:val="22"/>
              </w:rPr>
              <w:t>587</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17"/>
              <w:ind w:left="85"/>
              <w:jc w:val="center"/>
              <w:rPr>
                <w:sz w:val="22"/>
              </w:rPr>
            </w:pPr>
            <w:r>
              <w:rPr>
                <w:color w:val="221F1F"/>
                <w:spacing w:val="-2"/>
                <w:sz w:val="22"/>
              </w:rPr>
              <w:t>2397,1</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17"/>
              <w:ind w:right="74"/>
              <w:jc w:val="right"/>
              <w:rPr>
                <w:sz w:val="22"/>
              </w:rPr>
            </w:pPr>
            <w:r>
              <w:rPr>
                <w:color w:val="221F1F"/>
                <w:spacing w:val="-2"/>
                <w:sz w:val="22"/>
              </w:rPr>
              <w:t>5862,1</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17"/>
              <w:ind w:left="60" w:right="-29"/>
              <w:jc w:val="center"/>
              <w:rPr>
                <w:sz w:val="22"/>
              </w:rPr>
            </w:pPr>
            <w:r>
              <w:rPr>
                <w:color w:val="221F1F"/>
                <w:spacing w:val="-2"/>
                <w:w w:val="85"/>
                <w:sz w:val="22"/>
              </w:rPr>
              <w:t>8677,4992</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17"/>
              <w:ind w:right="70"/>
              <w:jc w:val="right"/>
              <w:rPr>
                <w:sz w:val="22"/>
              </w:rPr>
            </w:pPr>
            <w:r>
              <w:rPr>
                <w:color w:val="221F1F"/>
                <w:spacing w:val="-2"/>
                <w:sz w:val="22"/>
              </w:rPr>
              <w:t>12844,7</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17"/>
              <w:ind w:left="143" w:right="52"/>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line="228" w:lineRule="exact"/>
              <w:ind w:left="143" w:right="63"/>
              <w:jc w:val="center"/>
              <w:rPr>
                <w:sz w:val="22"/>
              </w:rPr>
            </w:pPr>
            <w:r>
              <w:rPr>
                <w:color w:val="221F1F"/>
                <w:spacing w:val="-2"/>
                <w:sz w:val="22"/>
              </w:rPr>
              <w:t>CPS/MEE</w:t>
            </w:r>
          </w:p>
        </w:tc>
      </w:tr>
      <w:tr>
        <w:trPr>
          <w:trHeight w:val="752"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ind w:right="21"/>
              <w:jc w:val="right"/>
              <w:rPr>
                <w:b/>
                <w:sz w:val="22"/>
              </w:rPr>
            </w:pPr>
            <w:r>
              <w:rPr>
                <w:b/>
                <w:spacing w:val="-5"/>
                <w:sz w:val="22"/>
              </w:rPr>
              <w:t>14</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2"/>
              <w:ind w:left="98"/>
              <w:rPr>
                <w:sz w:val="22"/>
              </w:rPr>
            </w:pPr>
            <w:r>
              <w:rPr>
                <w:color w:val="221F1F"/>
                <w:w w:val="75"/>
                <w:sz w:val="22"/>
              </w:rPr>
              <w:t>Dont</w:t>
            </w:r>
            <w:r>
              <w:rPr>
                <w:color w:val="221F1F"/>
                <w:spacing w:val="10"/>
                <w:sz w:val="22"/>
              </w:rPr>
              <w:t> </w:t>
            </w:r>
            <w:r>
              <w:rPr>
                <w:color w:val="221F1F"/>
                <w:w w:val="75"/>
                <w:sz w:val="22"/>
              </w:rPr>
              <w:t>énergie</w:t>
            </w:r>
            <w:r>
              <w:rPr>
                <w:color w:val="221F1F"/>
                <w:spacing w:val="10"/>
                <w:sz w:val="22"/>
              </w:rPr>
              <w:t> </w:t>
            </w:r>
            <w:r>
              <w:rPr>
                <w:color w:val="221F1F"/>
                <w:spacing w:val="-2"/>
                <w:w w:val="75"/>
                <w:sz w:val="22"/>
              </w:rPr>
              <w:t>solaire</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117"/>
              <w:ind w:left="77"/>
              <w:jc w:val="center"/>
              <w:rPr>
                <w:sz w:val="22"/>
              </w:rPr>
            </w:pPr>
            <w:r>
              <w:rPr>
                <w:color w:val="221F1F"/>
                <w:spacing w:val="-4"/>
                <w:sz w:val="22"/>
              </w:rPr>
              <w:t>7,2%</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17"/>
              <w:ind w:left="49"/>
              <w:jc w:val="center"/>
              <w:rPr>
                <w:sz w:val="22"/>
              </w:rPr>
            </w:pPr>
            <w:r>
              <w:rPr>
                <w:color w:val="221F1F"/>
                <w:spacing w:val="-2"/>
                <w:sz w:val="22"/>
              </w:rPr>
              <w:t>59,9%</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17"/>
              <w:ind w:right="93"/>
              <w:jc w:val="right"/>
              <w:rPr>
                <w:sz w:val="22"/>
              </w:rPr>
            </w:pPr>
            <w:r>
              <w:rPr>
                <w:color w:val="221F1F"/>
                <w:spacing w:val="-2"/>
                <w:sz w:val="22"/>
              </w:rPr>
              <w:t>59,9%</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17"/>
              <w:ind w:left="83"/>
              <w:jc w:val="center"/>
              <w:rPr>
                <w:sz w:val="22"/>
              </w:rPr>
            </w:pPr>
            <w:r>
              <w:rPr>
                <w:color w:val="221F1F"/>
                <w:spacing w:val="-2"/>
                <w:sz w:val="22"/>
              </w:rPr>
              <w:t>59,9%</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17"/>
              <w:ind w:left="200"/>
              <w:rPr>
                <w:sz w:val="22"/>
              </w:rPr>
            </w:pPr>
            <w:r>
              <w:rPr>
                <w:color w:val="221F1F"/>
                <w:spacing w:val="-2"/>
                <w:sz w:val="22"/>
              </w:rPr>
              <w:t>59,9%</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ind w:left="143" w:right="5"/>
              <w:jc w:val="center"/>
              <w:rPr>
                <w:sz w:val="22"/>
              </w:rPr>
            </w:pPr>
            <w:r>
              <w:rPr>
                <w:color w:val="221F1F"/>
                <w:spacing w:val="-2"/>
                <w:sz w:val="22"/>
              </w:rPr>
              <w:t>CPS/MEE</w:t>
            </w:r>
          </w:p>
        </w:tc>
      </w:tr>
      <w:tr>
        <w:trPr>
          <w:trHeight w:val="316"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ind w:right="21"/>
              <w:jc w:val="right"/>
              <w:rPr>
                <w:sz w:val="22"/>
              </w:rPr>
            </w:pPr>
            <w:r>
              <w:rPr>
                <w:spacing w:val="-5"/>
                <w:sz w:val="22"/>
              </w:rPr>
              <w:t>15</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2"/>
              <w:ind w:left="98"/>
              <w:rPr>
                <w:sz w:val="22"/>
              </w:rPr>
            </w:pPr>
            <w:r>
              <w:rPr>
                <w:color w:val="221F1F"/>
                <w:w w:val="75"/>
                <w:sz w:val="22"/>
              </w:rPr>
              <w:t>Lignes</w:t>
            </w:r>
            <w:r>
              <w:rPr>
                <w:color w:val="221F1F"/>
                <w:spacing w:val="12"/>
                <w:sz w:val="22"/>
              </w:rPr>
              <w:t> </w:t>
            </w:r>
            <w:r>
              <w:rPr>
                <w:color w:val="221F1F"/>
                <w:w w:val="75"/>
                <w:sz w:val="22"/>
              </w:rPr>
              <w:t>électriques</w:t>
            </w:r>
            <w:r>
              <w:rPr>
                <w:color w:val="221F1F"/>
                <w:spacing w:val="12"/>
                <w:sz w:val="22"/>
              </w:rPr>
              <w:t> </w:t>
            </w:r>
            <w:r>
              <w:rPr>
                <w:color w:val="221F1F"/>
                <w:w w:val="75"/>
                <w:sz w:val="22"/>
              </w:rPr>
              <w:t>(en</w:t>
            </w:r>
            <w:r>
              <w:rPr>
                <w:color w:val="221F1F"/>
                <w:spacing w:val="12"/>
                <w:sz w:val="22"/>
              </w:rPr>
              <w:t> </w:t>
            </w:r>
            <w:r>
              <w:rPr>
                <w:color w:val="221F1F"/>
                <w:spacing w:val="-5"/>
                <w:w w:val="75"/>
                <w:sz w:val="22"/>
              </w:rPr>
              <w:t>KM)</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ind w:left="137"/>
              <w:jc w:val="center"/>
              <w:rPr>
                <w:sz w:val="22"/>
              </w:rPr>
            </w:pPr>
            <w:r>
              <w:rPr>
                <w:spacing w:val="-2"/>
                <w:sz w:val="22"/>
              </w:rPr>
              <w:t>10943</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ind w:left="51"/>
              <w:jc w:val="center"/>
              <w:rPr>
                <w:sz w:val="22"/>
              </w:rPr>
            </w:pPr>
            <w:r>
              <w:rPr>
                <w:sz w:val="22"/>
              </w:rPr>
              <w:t>12 </w:t>
            </w:r>
            <w:r>
              <w:rPr>
                <w:spacing w:val="-5"/>
                <w:sz w:val="22"/>
              </w:rPr>
              <w:t>943</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ind w:right="49"/>
              <w:jc w:val="right"/>
              <w:rPr>
                <w:sz w:val="22"/>
              </w:rPr>
            </w:pPr>
            <w:r>
              <w:rPr>
                <w:sz w:val="22"/>
              </w:rPr>
              <w:t>14 </w:t>
            </w:r>
            <w:r>
              <w:rPr>
                <w:spacing w:val="-5"/>
                <w:sz w:val="22"/>
              </w:rPr>
              <w:t>943</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ind w:left="50"/>
              <w:jc w:val="center"/>
              <w:rPr>
                <w:sz w:val="22"/>
              </w:rPr>
            </w:pPr>
            <w:r>
              <w:rPr>
                <w:spacing w:val="-2"/>
                <w:sz w:val="22"/>
              </w:rPr>
              <w:t>16943</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ind w:right="113"/>
              <w:jc w:val="right"/>
              <w:rPr>
                <w:sz w:val="22"/>
              </w:rPr>
            </w:pPr>
            <w:r>
              <w:rPr>
                <w:spacing w:val="-2"/>
                <w:sz w:val="22"/>
              </w:rPr>
              <w:t>20000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ind w:left="143" w:right="5"/>
              <w:jc w:val="center"/>
              <w:rPr>
                <w:sz w:val="22"/>
              </w:rPr>
            </w:pPr>
            <w:r>
              <w:rPr>
                <w:color w:val="221F1F"/>
                <w:spacing w:val="-2"/>
                <w:sz w:val="22"/>
              </w:rPr>
              <w:t>CPS/MEE</w:t>
            </w:r>
          </w:p>
        </w:tc>
      </w:tr>
      <w:tr>
        <w:trPr>
          <w:trHeight w:val="603"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206"/>
              <w:ind w:right="40"/>
              <w:jc w:val="right"/>
              <w:rPr>
                <w:b/>
                <w:sz w:val="22"/>
              </w:rPr>
            </w:pPr>
            <w:r>
              <w:rPr>
                <w:b/>
                <w:color w:val="221F1F"/>
                <w:spacing w:val="-5"/>
                <w:sz w:val="22"/>
              </w:rPr>
              <w:t>16</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18"/>
              <w:ind w:left="98"/>
              <w:rPr>
                <w:sz w:val="22"/>
              </w:rPr>
            </w:pPr>
            <w:r>
              <w:rPr>
                <w:color w:val="221F1F"/>
                <w:spacing w:val="-2"/>
                <w:w w:val="80"/>
                <w:sz w:val="22"/>
              </w:rPr>
              <w:t>Nombre</w:t>
            </w:r>
            <w:r>
              <w:rPr>
                <w:color w:val="221F1F"/>
                <w:spacing w:val="-8"/>
                <w:sz w:val="22"/>
              </w:rPr>
              <w:t> </w:t>
            </w:r>
            <w:r>
              <w:rPr>
                <w:color w:val="221F1F"/>
                <w:spacing w:val="-2"/>
                <w:w w:val="80"/>
                <w:sz w:val="22"/>
              </w:rPr>
              <w:t>de</w:t>
            </w:r>
            <w:r>
              <w:rPr>
                <w:color w:val="221F1F"/>
                <w:spacing w:val="-8"/>
                <w:sz w:val="22"/>
              </w:rPr>
              <w:t> </w:t>
            </w:r>
            <w:r>
              <w:rPr>
                <w:color w:val="221F1F"/>
                <w:spacing w:val="-2"/>
                <w:w w:val="80"/>
                <w:sz w:val="22"/>
              </w:rPr>
              <w:t>classes</w:t>
            </w:r>
            <w:r>
              <w:rPr>
                <w:color w:val="221F1F"/>
                <w:spacing w:val="-8"/>
                <w:sz w:val="22"/>
              </w:rPr>
              <w:t> </w:t>
            </w:r>
            <w:r>
              <w:rPr>
                <w:color w:val="221F1F"/>
                <w:spacing w:val="-2"/>
                <w:w w:val="80"/>
                <w:sz w:val="22"/>
              </w:rPr>
              <w:t>construites</w:t>
            </w:r>
            <w:r>
              <w:rPr>
                <w:color w:val="221F1F"/>
                <w:spacing w:val="-2"/>
                <w:w w:val="90"/>
                <w:sz w:val="22"/>
              </w:rPr>
              <w:t> </w:t>
            </w:r>
            <w:r>
              <w:rPr>
                <w:color w:val="221F1F"/>
                <w:w w:val="90"/>
                <w:sz w:val="22"/>
              </w:rPr>
              <w:t>(en</w:t>
            </w:r>
            <w:r>
              <w:rPr>
                <w:color w:val="221F1F"/>
                <w:spacing w:val="-6"/>
                <w:w w:val="90"/>
                <w:sz w:val="22"/>
              </w:rPr>
              <w:t> </w:t>
            </w:r>
            <w:r>
              <w:rPr>
                <w:color w:val="221F1F"/>
                <w:w w:val="90"/>
                <w:sz w:val="22"/>
              </w:rPr>
              <w:t>milliers)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84"/>
              <w:ind w:left="135"/>
              <w:jc w:val="center"/>
              <w:rPr>
                <w:sz w:val="22"/>
              </w:rPr>
            </w:pPr>
            <w:r>
              <w:rPr>
                <w:color w:val="221F1F"/>
                <w:spacing w:val="-5"/>
                <w:sz w:val="22"/>
              </w:rPr>
              <w:t>50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84"/>
              <w:ind w:left="293"/>
              <w:rPr>
                <w:sz w:val="22"/>
              </w:rPr>
            </w:pPr>
            <w:r>
              <w:rPr>
                <w:color w:val="221F1F"/>
                <w:spacing w:val="-5"/>
                <w:sz w:val="22"/>
              </w:rPr>
              <w:t>100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84"/>
              <w:ind w:left="141"/>
              <w:jc w:val="center"/>
              <w:rPr>
                <w:sz w:val="22"/>
              </w:rPr>
            </w:pPr>
            <w:r>
              <w:rPr>
                <w:color w:val="221F1F"/>
                <w:spacing w:val="-5"/>
                <w:sz w:val="22"/>
              </w:rPr>
              <w:t>150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84"/>
              <w:ind w:left="334"/>
              <w:rPr>
                <w:sz w:val="22"/>
              </w:rPr>
            </w:pPr>
            <w:r>
              <w:rPr>
                <w:color w:val="221F1F"/>
                <w:spacing w:val="-5"/>
                <w:sz w:val="22"/>
              </w:rPr>
              <w:t>200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84"/>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184"/>
              <w:ind w:left="143" w:right="4"/>
              <w:jc w:val="center"/>
              <w:rPr>
                <w:sz w:val="22"/>
              </w:rPr>
            </w:pPr>
            <w:r>
              <w:rPr>
                <w:color w:val="221F1F"/>
                <w:spacing w:val="-2"/>
                <w:sz w:val="22"/>
              </w:rPr>
              <w:t>CPS/MEN</w:t>
            </w:r>
          </w:p>
        </w:tc>
      </w:tr>
      <w:tr>
        <w:trPr>
          <w:trHeight w:val="532"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206"/>
              <w:ind w:right="21"/>
              <w:jc w:val="right"/>
              <w:rPr>
                <w:b/>
                <w:sz w:val="22"/>
              </w:rPr>
            </w:pPr>
            <w:r>
              <w:rPr>
                <w:b/>
                <w:spacing w:val="-5"/>
                <w:sz w:val="22"/>
              </w:rPr>
              <w:t>17</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45"/>
              <w:ind w:left="98"/>
              <w:rPr>
                <w:sz w:val="22"/>
              </w:rPr>
            </w:pPr>
            <w:r>
              <w:rPr>
                <w:color w:val="221F1F"/>
                <w:w w:val="75"/>
                <w:sz w:val="22"/>
              </w:rPr>
              <w:t>Nombre</w:t>
            </w:r>
            <w:r>
              <w:rPr>
                <w:color w:val="221F1F"/>
                <w:spacing w:val="16"/>
                <w:sz w:val="22"/>
              </w:rPr>
              <w:t> </w:t>
            </w:r>
            <w:r>
              <w:rPr>
                <w:color w:val="221F1F"/>
                <w:spacing w:val="-2"/>
                <w:w w:val="90"/>
                <w:sz w:val="22"/>
              </w:rPr>
              <w:t>d’universités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232"/>
              <w:ind w:left="137"/>
              <w:jc w:val="center"/>
              <w:rPr>
                <w:sz w:val="22"/>
              </w:rPr>
            </w:pPr>
            <w:r>
              <w:rPr>
                <w:color w:val="221F1F"/>
                <w:spacing w:val="-10"/>
                <w:sz w:val="22"/>
              </w:rPr>
              <w:t>5</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232"/>
              <w:ind w:left="142"/>
              <w:jc w:val="center"/>
              <w:rPr>
                <w:sz w:val="22"/>
              </w:rPr>
            </w:pPr>
            <w:r>
              <w:rPr>
                <w:color w:val="221F1F"/>
                <w:spacing w:val="-10"/>
                <w:sz w:val="22"/>
              </w:rPr>
              <w:t>2</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232"/>
              <w:ind w:left="143"/>
              <w:jc w:val="center"/>
              <w:rPr>
                <w:sz w:val="22"/>
              </w:rPr>
            </w:pPr>
            <w:r>
              <w:rPr>
                <w:color w:val="221F1F"/>
                <w:spacing w:val="-10"/>
                <w:sz w:val="22"/>
              </w:rPr>
              <w:t>2</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232"/>
              <w:ind w:left="154" w:right="10"/>
              <w:jc w:val="center"/>
              <w:rPr>
                <w:sz w:val="22"/>
              </w:rPr>
            </w:pPr>
            <w:r>
              <w:rPr>
                <w:color w:val="221F1F"/>
                <w:spacing w:val="-10"/>
                <w:sz w:val="22"/>
              </w:rPr>
              <w:t>2</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84"/>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184"/>
              <w:ind w:left="143" w:right="5"/>
              <w:jc w:val="center"/>
              <w:rPr>
                <w:sz w:val="22"/>
              </w:rPr>
            </w:pPr>
            <w:r>
              <w:rPr>
                <w:color w:val="221F1F"/>
                <w:spacing w:val="-2"/>
                <w:sz w:val="22"/>
              </w:rPr>
              <w:t>CPS/MESRS</w:t>
            </w:r>
          </w:p>
        </w:tc>
      </w:tr>
      <w:tr>
        <w:trPr>
          <w:trHeight w:val="602"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207"/>
              <w:ind w:right="21"/>
              <w:jc w:val="right"/>
              <w:rPr>
                <w:b/>
                <w:sz w:val="22"/>
              </w:rPr>
            </w:pPr>
            <w:r>
              <w:rPr>
                <w:b/>
                <w:spacing w:val="-5"/>
                <w:sz w:val="22"/>
              </w:rPr>
              <w:t>18</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18"/>
              <w:ind w:left="98" w:right="449"/>
              <w:rPr>
                <w:sz w:val="22"/>
              </w:rPr>
            </w:pPr>
            <w:r>
              <w:rPr>
                <w:color w:val="221F1F"/>
                <w:w w:val="75"/>
                <w:sz w:val="22"/>
              </w:rPr>
              <w:t>Taux d’incidence</w:t>
            </w:r>
            <w:r>
              <w:rPr>
                <w:color w:val="221F1F"/>
                <w:sz w:val="22"/>
              </w:rPr>
              <w:t> </w:t>
            </w:r>
            <w:r>
              <w:rPr>
                <w:color w:val="221F1F"/>
                <w:w w:val="75"/>
                <w:sz w:val="22"/>
              </w:rPr>
              <w:t>de la</w:t>
            </w:r>
            <w:r>
              <w:rPr>
                <w:color w:val="221F1F"/>
                <w:w w:val="90"/>
                <w:sz w:val="22"/>
              </w:rPr>
              <w:t> pauvreté (%)</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14"/>
              <w:rPr>
                <w:sz w:val="22"/>
              </w:rPr>
            </w:pPr>
          </w:p>
          <w:p>
            <w:pPr>
              <w:pStyle w:val="TableParagraph"/>
              <w:ind w:left="137"/>
              <w:jc w:val="center"/>
              <w:rPr>
                <w:sz w:val="22"/>
              </w:rPr>
            </w:pPr>
            <w:r>
              <w:rPr>
                <w:color w:val="221F1F"/>
                <w:spacing w:val="-4"/>
                <w:sz w:val="22"/>
              </w:rPr>
              <w:t>43,9</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4"/>
              <w:rPr>
                <w:sz w:val="22"/>
              </w:rPr>
            </w:pPr>
          </w:p>
          <w:p>
            <w:pPr>
              <w:pStyle w:val="TableParagraph"/>
              <w:ind w:left="140"/>
              <w:jc w:val="center"/>
              <w:rPr>
                <w:sz w:val="22"/>
              </w:rPr>
            </w:pPr>
            <w:r>
              <w:rPr>
                <w:color w:val="221F1F"/>
                <w:spacing w:val="-4"/>
                <w:sz w:val="22"/>
              </w:rPr>
              <w:t>32,0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4"/>
              <w:rPr>
                <w:sz w:val="22"/>
              </w:rPr>
            </w:pPr>
          </w:p>
          <w:p>
            <w:pPr>
              <w:pStyle w:val="TableParagraph"/>
              <w:ind w:left="271"/>
              <w:rPr>
                <w:sz w:val="22"/>
              </w:rPr>
            </w:pPr>
            <w:r>
              <w:rPr>
                <w:color w:val="221F1F"/>
                <w:spacing w:val="-4"/>
                <w:sz w:val="22"/>
              </w:rPr>
              <w:t>25,0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4"/>
              <w:rPr>
                <w:sz w:val="22"/>
              </w:rPr>
            </w:pPr>
          </w:p>
          <w:p>
            <w:pPr>
              <w:pStyle w:val="TableParagraph"/>
              <w:ind w:left="141"/>
              <w:jc w:val="center"/>
              <w:rPr>
                <w:sz w:val="22"/>
              </w:rPr>
            </w:pPr>
            <w:r>
              <w:rPr>
                <w:color w:val="221F1F"/>
                <w:spacing w:val="-4"/>
                <w:sz w:val="22"/>
              </w:rPr>
              <w:t>16,0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4"/>
              <w:rPr>
                <w:sz w:val="22"/>
              </w:rPr>
            </w:pPr>
          </w:p>
          <w:p>
            <w:pPr>
              <w:pStyle w:val="TableParagraph"/>
              <w:ind w:left="315"/>
              <w:rPr>
                <w:sz w:val="22"/>
              </w:rPr>
            </w:pPr>
            <w:r>
              <w:rPr>
                <w:color w:val="221F1F"/>
                <w:spacing w:val="-4"/>
                <w:sz w:val="22"/>
              </w:rPr>
              <w:t>10,0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85"/>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185"/>
              <w:ind w:left="143" w:right="1"/>
              <w:jc w:val="center"/>
              <w:rPr>
                <w:sz w:val="22"/>
              </w:rPr>
            </w:pPr>
            <w:r>
              <w:rPr>
                <w:color w:val="221F1F"/>
                <w:spacing w:val="-2"/>
                <w:sz w:val="22"/>
              </w:rPr>
              <w:t>INSTAT</w:t>
            </w:r>
          </w:p>
        </w:tc>
      </w:tr>
      <w:tr>
        <w:trPr>
          <w:trHeight w:val="589"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94"/>
              <w:ind w:right="21"/>
              <w:jc w:val="right"/>
              <w:rPr>
                <w:b/>
                <w:sz w:val="22"/>
              </w:rPr>
            </w:pPr>
            <w:r>
              <w:rPr>
                <w:b/>
                <w:spacing w:val="-5"/>
                <w:sz w:val="22"/>
              </w:rPr>
              <w:t>19</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6"/>
              <w:ind w:left="98" w:hanging="58"/>
              <w:rPr>
                <w:sz w:val="22"/>
              </w:rPr>
            </w:pPr>
            <w:r>
              <w:rPr>
                <w:color w:val="221F1F"/>
                <w:spacing w:val="-2"/>
                <w:w w:val="80"/>
                <w:sz w:val="22"/>
              </w:rPr>
              <w:t>Taux</w:t>
            </w:r>
            <w:r>
              <w:rPr>
                <w:color w:val="221F1F"/>
                <w:spacing w:val="-9"/>
                <w:sz w:val="22"/>
              </w:rPr>
              <w:t> </w:t>
            </w:r>
            <w:r>
              <w:rPr>
                <w:color w:val="221F1F"/>
                <w:spacing w:val="-2"/>
                <w:w w:val="80"/>
                <w:sz w:val="22"/>
              </w:rPr>
              <w:t>de</w:t>
            </w:r>
            <w:r>
              <w:rPr>
                <w:color w:val="221F1F"/>
                <w:spacing w:val="-10"/>
                <w:sz w:val="22"/>
              </w:rPr>
              <w:t> </w:t>
            </w:r>
            <w:r>
              <w:rPr>
                <w:color w:val="221F1F"/>
                <w:spacing w:val="-2"/>
                <w:w w:val="80"/>
                <w:sz w:val="22"/>
              </w:rPr>
              <w:t>mortalité</w:t>
            </w:r>
            <w:r>
              <w:rPr>
                <w:color w:val="221F1F"/>
                <w:spacing w:val="-10"/>
                <w:sz w:val="22"/>
              </w:rPr>
              <w:t> </w:t>
            </w:r>
            <w:r>
              <w:rPr>
                <w:color w:val="221F1F"/>
                <w:spacing w:val="-2"/>
                <w:w w:val="80"/>
                <w:sz w:val="22"/>
              </w:rPr>
              <w:t>(pour</w:t>
            </w:r>
            <w:r>
              <w:rPr>
                <w:color w:val="221F1F"/>
                <w:spacing w:val="-9"/>
                <w:sz w:val="22"/>
              </w:rPr>
              <w:t> </w:t>
            </w:r>
            <w:r>
              <w:rPr>
                <w:color w:val="221F1F"/>
                <w:spacing w:val="-2"/>
                <w:w w:val="80"/>
                <w:sz w:val="22"/>
              </w:rPr>
              <w:t>1000</w:t>
            </w:r>
            <w:r>
              <w:rPr>
                <w:color w:val="221F1F"/>
                <w:spacing w:val="-2"/>
                <w:w w:val="90"/>
                <w:sz w:val="22"/>
              </w:rPr>
              <w:t> habitants)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1"/>
              <w:rPr>
                <w:sz w:val="22"/>
              </w:rPr>
            </w:pPr>
          </w:p>
          <w:p>
            <w:pPr>
              <w:pStyle w:val="TableParagraph"/>
              <w:spacing w:before="1"/>
              <w:ind w:left="135"/>
              <w:jc w:val="center"/>
              <w:rPr>
                <w:sz w:val="22"/>
              </w:rPr>
            </w:pPr>
            <w:r>
              <w:rPr>
                <w:color w:val="221F1F"/>
                <w:spacing w:val="-5"/>
                <w:sz w:val="22"/>
              </w:rPr>
              <w:t>9,0</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
              <w:rPr>
                <w:sz w:val="22"/>
              </w:rPr>
            </w:pPr>
          </w:p>
          <w:p>
            <w:pPr>
              <w:pStyle w:val="TableParagraph"/>
              <w:spacing w:before="1"/>
              <w:ind w:left="137"/>
              <w:jc w:val="center"/>
              <w:rPr>
                <w:sz w:val="22"/>
              </w:rPr>
            </w:pPr>
            <w:r>
              <w:rPr>
                <w:color w:val="221F1F"/>
                <w:spacing w:val="-5"/>
                <w:sz w:val="22"/>
              </w:rPr>
              <w:t>5,1</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
              <w:rPr>
                <w:sz w:val="22"/>
              </w:rPr>
            </w:pPr>
          </w:p>
          <w:p>
            <w:pPr>
              <w:pStyle w:val="TableParagraph"/>
              <w:spacing w:before="1"/>
              <w:ind w:left="317"/>
              <w:rPr>
                <w:sz w:val="22"/>
              </w:rPr>
            </w:pPr>
            <w:r>
              <w:rPr>
                <w:color w:val="221F1F"/>
                <w:spacing w:val="-5"/>
                <w:sz w:val="22"/>
              </w:rPr>
              <w:t>4,8</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
              <w:rPr>
                <w:sz w:val="22"/>
              </w:rPr>
            </w:pPr>
          </w:p>
          <w:p>
            <w:pPr>
              <w:pStyle w:val="TableParagraph"/>
              <w:spacing w:before="1"/>
              <w:ind w:left="143"/>
              <w:jc w:val="center"/>
              <w:rPr>
                <w:sz w:val="22"/>
              </w:rPr>
            </w:pPr>
            <w:r>
              <w:rPr>
                <w:color w:val="221F1F"/>
                <w:spacing w:val="-5"/>
                <w:sz w:val="22"/>
              </w:rPr>
              <w:t>4,0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
              <w:rPr>
                <w:sz w:val="22"/>
              </w:rPr>
            </w:pPr>
          </w:p>
          <w:p>
            <w:pPr>
              <w:pStyle w:val="TableParagraph"/>
              <w:spacing w:before="1"/>
              <w:ind w:left="358"/>
              <w:rPr>
                <w:sz w:val="22"/>
              </w:rPr>
            </w:pPr>
            <w:r>
              <w:rPr>
                <w:color w:val="221F1F"/>
                <w:spacing w:val="-5"/>
                <w:sz w:val="22"/>
              </w:rPr>
              <w:t>3,2</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72"/>
              <w:ind w:left="143"/>
              <w:jc w:val="center"/>
              <w:rPr>
                <w:sz w:val="22"/>
              </w:rPr>
            </w:pPr>
            <w:r>
              <w:rPr>
                <w:color w:val="221F1F"/>
                <w:spacing w:val="-4"/>
                <w:sz w:val="22"/>
              </w:rPr>
              <w:t>EDSM</w:t>
            </w:r>
          </w:p>
        </w:tc>
        <w:tc>
          <w:tcPr>
            <w:tcW w:w="1557" w:type="dxa"/>
            <w:tcBorders>
              <w:top w:val="single" w:sz="8" w:space="0" w:color="221F1F"/>
              <w:left w:val="single" w:sz="8" w:space="0" w:color="221F1F"/>
              <w:bottom w:val="single" w:sz="8" w:space="0" w:color="221F1F"/>
            </w:tcBorders>
          </w:tcPr>
          <w:p>
            <w:pPr>
              <w:pStyle w:val="TableParagraph"/>
              <w:spacing w:before="172"/>
              <w:ind w:left="143" w:right="5"/>
              <w:jc w:val="center"/>
              <w:rPr>
                <w:sz w:val="22"/>
              </w:rPr>
            </w:pPr>
            <w:r>
              <w:rPr>
                <w:color w:val="221F1F"/>
                <w:spacing w:val="-2"/>
                <w:sz w:val="22"/>
              </w:rPr>
              <w:t>INSTAT/CPS</w:t>
            </w:r>
          </w:p>
        </w:tc>
      </w:tr>
      <w:tr>
        <w:trPr>
          <w:trHeight w:val="635"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237"/>
              <w:ind w:right="21"/>
              <w:jc w:val="right"/>
              <w:rPr>
                <w:b/>
                <w:sz w:val="22"/>
              </w:rPr>
            </w:pPr>
            <w:r>
              <w:rPr>
                <w:b/>
                <w:spacing w:val="-5"/>
                <w:sz w:val="22"/>
              </w:rPr>
              <w:t>20</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49"/>
              <w:ind w:left="98" w:hanging="58"/>
              <w:rPr>
                <w:sz w:val="22"/>
              </w:rPr>
            </w:pPr>
            <w:r>
              <w:rPr>
                <w:color w:val="221F1F"/>
                <w:w w:val="80"/>
                <w:sz w:val="22"/>
              </w:rPr>
              <w:t>Taux</w:t>
            </w:r>
            <w:r>
              <w:rPr>
                <w:color w:val="221F1F"/>
                <w:spacing w:val="-3"/>
                <w:w w:val="80"/>
                <w:sz w:val="22"/>
              </w:rPr>
              <w:t> </w:t>
            </w:r>
            <w:r>
              <w:rPr>
                <w:color w:val="221F1F"/>
                <w:w w:val="80"/>
                <w:sz w:val="22"/>
              </w:rPr>
              <w:t>de</w:t>
            </w:r>
            <w:r>
              <w:rPr>
                <w:color w:val="221F1F"/>
                <w:spacing w:val="-3"/>
                <w:w w:val="80"/>
                <w:sz w:val="22"/>
              </w:rPr>
              <w:t> </w:t>
            </w:r>
            <w:r>
              <w:rPr>
                <w:color w:val="221F1F"/>
                <w:w w:val="80"/>
                <w:sz w:val="22"/>
              </w:rPr>
              <w:t>mortalité</w:t>
            </w:r>
            <w:r>
              <w:rPr>
                <w:color w:val="221F1F"/>
                <w:spacing w:val="-2"/>
                <w:w w:val="80"/>
                <w:sz w:val="22"/>
              </w:rPr>
              <w:t> </w:t>
            </w:r>
            <w:r>
              <w:rPr>
                <w:color w:val="221F1F"/>
                <w:w w:val="80"/>
                <w:sz w:val="22"/>
              </w:rPr>
              <w:t>infantile</w:t>
            </w:r>
            <w:r>
              <w:rPr>
                <w:color w:val="221F1F"/>
                <w:spacing w:val="-3"/>
                <w:w w:val="80"/>
                <w:sz w:val="22"/>
              </w:rPr>
              <w:t> </w:t>
            </w:r>
            <w:r>
              <w:rPr>
                <w:color w:val="221F1F"/>
                <w:w w:val="80"/>
                <w:sz w:val="22"/>
              </w:rPr>
              <w:t>(pour</w:t>
            </w:r>
            <w:r>
              <w:rPr>
                <w:color w:val="221F1F"/>
                <w:w w:val="90"/>
                <w:sz w:val="22"/>
              </w:rPr>
              <w:t> </w:t>
            </w:r>
            <w:r>
              <w:rPr>
                <w:color w:val="221F1F"/>
                <w:spacing w:val="-4"/>
                <w:w w:val="90"/>
                <w:sz w:val="22"/>
              </w:rPr>
              <w:t>1000)</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ind w:left="133"/>
              <w:jc w:val="center"/>
              <w:rPr>
                <w:sz w:val="22"/>
              </w:rPr>
            </w:pPr>
            <w:r>
              <w:rPr>
                <w:color w:val="221F1F"/>
                <w:spacing w:val="-5"/>
                <w:sz w:val="22"/>
              </w:rPr>
              <w:t>54</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ind w:left="135"/>
              <w:jc w:val="center"/>
              <w:rPr>
                <w:sz w:val="22"/>
              </w:rPr>
            </w:pPr>
            <w:r>
              <w:rPr>
                <w:color w:val="221F1F"/>
                <w:spacing w:val="-5"/>
                <w:sz w:val="22"/>
              </w:rPr>
              <w:t>25</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ind w:left="336"/>
              <w:rPr>
                <w:sz w:val="22"/>
              </w:rPr>
            </w:pPr>
            <w:r>
              <w:rPr>
                <w:color w:val="221F1F"/>
                <w:spacing w:val="-5"/>
                <w:sz w:val="22"/>
              </w:rPr>
              <w:t>15</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ind w:left="148"/>
              <w:jc w:val="center"/>
              <w:rPr>
                <w:sz w:val="22"/>
              </w:rPr>
            </w:pPr>
            <w:r>
              <w:rPr>
                <w:color w:val="221F1F"/>
                <w:spacing w:val="-10"/>
                <w:sz w:val="22"/>
              </w:rPr>
              <w:t>9</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ind w:left="154"/>
              <w:jc w:val="center"/>
              <w:rPr>
                <w:sz w:val="22"/>
              </w:rPr>
            </w:pPr>
            <w:r>
              <w:rPr>
                <w:color w:val="221F1F"/>
                <w:spacing w:val="-10"/>
                <w:sz w:val="22"/>
              </w:rPr>
              <w:t>5</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216"/>
              <w:ind w:left="143"/>
              <w:jc w:val="center"/>
              <w:rPr>
                <w:sz w:val="22"/>
              </w:rPr>
            </w:pPr>
            <w:r>
              <w:rPr>
                <w:color w:val="221F1F"/>
                <w:spacing w:val="-4"/>
                <w:sz w:val="22"/>
              </w:rPr>
              <w:t>EDSM</w:t>
            </w:r>
          </w:p>
        </w:tc>
        <w:tc>
          <w:tcPr>
            <w:tcW w:w="1557" w:type="dxa"/>
            <w:tcBorders>
              <w:top w:val="single" w:sz="8" w:space="0" w:color="221F1F"/>
              <w:left w:val="single" w:sz="8" w:space="0" w:color="221F1F"/>
              <w:bottom w:val="single" w:sz="8" w:space="0" w:color="221F1F"/>
            </w:tcBorders>
          </w:tcPr>
          <w:p>
            <w:pPr>
              <w:pStyle w:val="TableParagraph"/>
              <w:spacing w:before="216"/>
              <w:ind w:left="143" w:right="5"/>
              <w:jc w:val="center"/>
              <w:rPr>
                <w:sz w:val="22"/>
              </w:rPr>
            </w:pPr>
            <w:r>
              <w:rPr>
                <w:color w:val="221F1F"/>
                <w:spacing w:val="-2"/>
                <w:sz w:val="22"/>
              </w:rPr>
              <w:t>INSTAT/CPS</w:t>
            </w:r>
          </w:p>
        </w:tc>
      </w:tr>
      <w:tr>
        <w:trPr>
          <w:trHeight w:val="529"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29"/>
              <w:ind w:right="21"/>
              <w:jc w:val="right"/>
              <w:rPr>
                <w:b/>
                <w:sz w:val="22"/>
              </w:rPr>
            </w:pPr>
            <w:r>
              <w:rPr>
                <w:b/>
                <w:spacing w:val="-5"/>
                <w:sz w:val="22"/>
              </w:rPr>
              <w:t>21</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108"/>
              <w:ind w:left="98"/>
              <w:rPr>
                <w:sz w:val="22"/>
              </w:rPr>
            </w:pPr>
            <w:r>
              <w:rPr>
                <w:color w:val="221F1F"/>
                <w:w w:val="80"/>
                <w:sz w:val="22"/>
              </w:rPr>
              <w:t>Ratio</w:t>
            </w:r>
            <w:r>
              <w:rPr>
                <w:color w:val="221F1F"/>
                <w:spacing w:val="-2"/>
                <w:w w:val="80"/>
                <w:sz w:val="22"/>
              </w:rPr>
              <w:t> </w:t>
            </w:r>
            <w:r>
              <w:rPr>
                <w:color w:val="221F1F"/>
                <w:spacing w:val="-2"/>
                <w:w w:val="95"/>
                <w:sz w:val="22"/>
              </w:rPr>
              <w:t>Juge/Habitants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194"/>
              <w:ind w:left="137"/>
              <w:jc w:val="center"/>
              <w:rPr>
                <w:sz w:val="22"/>
              </w:rPr>
            </w:pPr>
            <w:r>
              <w:rPr>
                <w:sz w:val="22"/>
              </w:rPr>
              <w:t>1/44 </w:t>
            </w:r>
            <w:r>
              <w:rPr>
                <w:spacing w:val="-5"/>
                <w:sz w:val="22"/>
              </w:rPr>
              <w:t>795</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94"/>
              <w:ind w:left="138"/>
              <w:jc w:val="center"/>
              <w:rPr>
                <w:sz w:val="22"/>
              </w:rPr>
            </w:pPr>
            <w:r>
              <w:rPr>
                <w:color w:val="221F1F"/>
                <w:spacing w:val="-2"/>
                <w:w w:val="90"/>
                <w:sz w:val="22"/>
              </w:rPr>
              <w:t>1/35000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94"/>
              <w:ind w:right="28"/>
              <w:jc w:val="right"/>
              <w:rPr>
                <w:sz w:val="22"/>
              </w:rPr>
            </w:pPr>
            <w:r>
              <w:rPr>
                <w:color w:val="221F1F"/>
                <w:spacing w:val="-2"/>
                <w:w w:val="90"/>
                <w:sz w:val="22"/>
              </w:rPr>
              <w:t>1/30000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94"/>
              <w:ind w:left="139"/>
              <w:jc w:val="center"/>
              <w:rPr>
                <w:sz w:val="22"/>
              </w:rPr>
            </w:pPr>
            <w:r>
              <w:rPr>
                <w:color w:val="221F1F"/>
                <w:spacing w:val="-2"/>
                <w:w w:val="90"/>
                <w:sz w:val="22"/>
              </w:rPr>
              <w:t>1/25000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24"/>
              <w:ind w:right="58"/>
              <w:jc w:val="right"/>
              <w:rPr>
                <w:sz w:val="22"/>
              </w:rPr>
            </w:pPr>
            <w:r>
              <w:rPr>
                <w:color w:val="221F1F"/>
                <w:spacing w:val="-2"/>
                <w:w w:val="90"/>
                <w:sz w:val="22"/>
              </w:rPr>
              <w:t>1/20000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08"/>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108"/>
              <w:ind w:left="143"/>
              <w:jc w:val="center"/>
              <w:rPr>
                <w:sz w:val="22"/>
              </w:rPr>
            </w:pPr>
            <w:r>
              <w:rPr>
                <w:color w:val="221F1F"/>
                <w:spacing w:val="-5"/>
                <w:sz w:val="22"/>
              </w:rPr>
              <w:t>CPS</w:t>
            </w:r>
          </w:p>
        </w:tc>
      </w:tr>
      <w:tr>
        <w:trPr>
          <w:trHeight w:val="563"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55"/>
              <w:ind w:left="23"/>
              <w:rPr>
                <w:b/>
                <w:sz w:val="22"/>
              </w:rPr>
            </w:pPr>
            <w:r>
              <w:rPr>
                <w:b/>
                <w:spacing w:val="-5"/>
                <w:sz w:val="22"/>
              </w:rPr>
              <w:t>22</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7"/>
              <w:ind w:left="98"/>
              <w:rPr>
                <w:sz w:val="22"/>
              </w:rPr>
            </w:pPr>
            <w:r>
              <w:rPr>
                <w:color w:val="221F1F"/>
                <w:w w:val="75"/>
                <w:sz w:val="22"/>
              </w:rPr>
              <w:t>Taux</w:t>
            </w:r>
            <w:r>
              <w:rPr>
                <w:color w:val="221F1F"/>
                <w:spacing w:val="5"/>
                <w:sz w:val="22"/>
              </w:rPr>
              <w:t> </w:t>
            </w:r>
            <w:r>
              <w:rPr>
                <w:color w:val="221F1F"/>
                <w:w w:val="75"/>
                <w:sz w:val="22"/>
              </w:rPr>
              <w:t>de</w:t>
            </w:r>
            <w:r>
              <w:rPr>
                <w:color w:val="221F1F"/>
                <w:spacing w:val="9"/>
                <w:sz w:val="22"/>
              </w:rPr>
              <w:t> </w:t>
            </w:r>
            <w:r>
              <w:rPr>
                <w:color w:val="221F1F"/>
                <w:w w:val="75"/>
                <w:sz w:val="22"/>
              </w:rPr>
              <w:t>satisfaction</w:t>
            </w:r>
            <w:r>
              <w:rPr>
                <w:color w:val="221F1F"/>
                <w:spacing w:val="9"/>
                <w:sz w:val="22"/>
              </w:rPr>
              <w:t> </w:t>
            </w:r>
            <w:r>
              <w:rPr>
                <w:color w:val="221F1F"/>
                <w:spacing w:val="-5"/>
                <w:w w:val="75"/>
                <w:sz w:val="22"/>
              </w:rPr>
              <w:t>des</w:t>
            </w:r>
          </w:p>
          <w:p>
            <w:pPr>
              <w:pStyle w:val="TableParagraph"/>
              <w:spacing w:before="28"/>
              <w:ind w:left="98" w:right="-15"/>
              <w:rPr>
                <w:sz w:val="22"/>
              </w:rPr>
            </w:pPr>
            <w:r>
              <w:rPr>
                <w:color w:val="221F1F"/>
                <w:w w:val="85"/>
                <w:sz w:val="22"/>
              </w:rPr>
              <w:t>usagers</w:t>
            </w:r>
            <w:r>
              <w:rPr>
                <w:color w:val="221F1F"/>
                <w:spacing w:val="2"/>
                <w:sz w:val="22"/>
              </w:rPr>
              <w:t> </w:t>
            </w:r>
            <w:r>
              <w:rPr>
                <w:color w:val="221F1F"/>
                <w:w w:val="85"/>
                <w:sz w:val="22"/>
              </w:rPr>
              <w:t>des</w:t>
            </w:r>
            <w:r>
              <w:rPr>
                <w:color w:val="221F1F"/>
                <w:spacing w:val="6"/>
                <w:sz w:val="22"/>
              </w:rPr>
              <w:t> </w:t>
            </w:r>
            <w:r>
              <w:rPr>
                <w:color w:val="221F1F"/>
                <w:w w:val="85"/>
                <w:sz w:val="22"/>
              </w:rPr>
              <w:t>services</w:t>
            </w:r>
            <w:r>
              <w:rPr>
                <w:color w:val="221F1F"/>
                <w:spacing w:val="18"/>
                <w:sz w:val="22"/>
              </w:rPr>
              <w:t> </w:t>
            </w:r>
            <w:r>
              <w:rPr>
                <w:color w:val="221F1F"/>
                <w:spacing w:val="-2"/>
                <w:w w:val="85"/>
                <w:sz w:val="22"/>
              </w:rPr>
              <w:t>publics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spacing w:line="243" w:lineRule="exact"/>
              <w:ind w:left="133"/>
              <w:jc w:val="center"/>
              <w:rPr>
                <w:sz w:val="22"/>
              </w:rPr>
            </w:pPr>
            <w:r>
              <w:rPr>
                <w:color w:val="221F1F"/>
                <w:spacing w:val="-5"/>
                <w:sz w:val="22"/>
              </w:rPr>
              <w:t>25</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spacing w:line="243" w:lineRule="exact"/>
              <w:ind w:left="135"/>
              <w:jc w:val="center"/>
              <w:rPr>
                <w:sz w:val="22"/>
              </w:rPr>
            </w:pPr>
            <w:r>
              <w:rPr>
                <w:color w:val="221F1F"/>
                <w:spacing w:val="-5"/>
                <w:sz w:val="22"/>
              </w:rPr>
              <w:t>55</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spacing w:line="243" w:lineRule="exact"/>
              <w:ind w:left="336"/>
              <w:rPr>
                <w:sz w:val="22"/>
              </w:rPr>
            </w:pPr>
            <w:r>
              <w:rPr>
                <w:color w:val="221F1F"/>
                <w:spacing w:val="-5"/>
                <w:sz w:val="22"/>
              </w:rPr>
              <w:t>70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spacing w:line="243" w:lineRule="exact"/>
              <w:ind w:left="136"/>
              <w:jc w:val="center"/>
              <w:rPr>
                <w:sz w:val="22"/>
              </w:rPr>
            </w:pPr>
            <w:r>
              <w:rPr>
                <w:color w:val="221F1F"/>
                <w:spacing w:val="-5"/>
                <w:sz w:val="22"/>
              </w:rPr>
              <w:t>80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spacing w:line="243" w:lineRule="exact"/>
              <w:ind w:left="380"/>
              <w:rPr>
                <w:sz w:val="22"/>
              </w:rPr>
            </w:pPr>
            <w:r>
              <w:rPr>
                <w:color w:val="221F1F"/>
                <w:spacing w:val="-5"/>
                <w:sz w:val="22"/>
              </w:rPr>
              <w:t>90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33"/>
              <w:rPr>
                <w:sz w:val="22"/>
              </w:rPr>
            </w:pPr>
          </w:p>
          <w:p>
            <w:pPr>
              <w:pStyle w:val="TableParagraph"/>
              <w:ind w:left="143"/>
              <w:jc w:val="center"/>
              <w:rPr>
                <w:sz w:val="22"/>
              </w:rPr>
            </w:pPr>
            <w:r>
              <w:rPr>
                <w:color w:val="221F1F"/>
                <w:spacing w:val="-5"/>
                <w:sz w:val="22"/>
              </w:rPr>
              <w:t>CPS</w:t>
            </w:r>
          </w:p>
        </w:tc>
      </w:tr>
      <w:tr>
        <w:trPr>
          <w:trHeight w:val="599"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204"/>
              <w:ind w:right="21"/>
              <w:jc w:val="right"/>
              <w:rPr>
                <w:b/>
                <w:sz w:val="22"/>
              </w:rPr>
            </w:pPr>
            <w:r>
              <w:rPr>
                <w:b/>
                <w:spacing w:val="-5"/>
                <w:sz w:val="22"/>
              </w:rPr>
              <w:t>23</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43"/>
              <w:ind w:left="98"/>
              <w:rPr>
                <w:sz w:val="22"/>
              </w:rPr>
            </w:pPr>
            <w:r>
              <w:rPr>
                <w:color w:val="221F1F"/>
                <w:w w:val="75"/>
                <w:sz w:val="22"/>
              </w:rPr>
              <w:t>Population</w:t>
            </w:r>
            <w:r>
              <w:rPr>
                <w:color w:val="221F1F"/>
                <w:spacing w:val="8"/>
                <w:sz w:val="22"/>
              </w:rPr>
              <w:t> </w:t>
            </w:r>
            <w:r>
              <w:rPr>
                <w:color w:val="221F1F"/>
                <w:w w:val="75"/>
                <w:sz w:val="22"/>
              </w:rPr>
              <w:t>ayant</w:t>
            </w:r>
            <w:r>
              <w:rPr>
                <w:color w:val="221F1F"/>
                <w:spacing w:val="10"/>
                <w:sz w:val="22"/>
              </w:rPr>
              <w:t> </w:t>
            </w:r>
            <w:r>
              <w:rPr>
                <w:color w:val="221F1F"/>
                <w:w w:val="75"/>
                <w:sz w:val="22"/>
              </w:rPr>
              <w:t>accès</w:t>
            </w:r>
            <w:r>
              <w:rPr>
                <w:color w:val="221F1F"/>
                <w:spacing w:val="9"/>
                <w:sz w:val="22"/>
              </w:rPr>
              <w:t> </w:t>
            </w:r>
            <w:r>
              <w:rPr>
                <w:color w:val="221F1F"/>
                <w:w w:val="75"/>
                <w:sz w:val="22"/>
              </w:rPr>
              <w:t>à</w:t>
            </w:r>
            <w:r>
              <w:rPr>
                <w:color w:val="221F1F"/>
                <w:spacing w:val="11"/>
                <w:sz w:val="22"/>
              </w:rPr>
              <w:t> </w:t>
            </w:r>
            <w:r>
              <w:rPr>
                <w:color w:val="221F1F"/>
                <w:spacing w:val="-2"/>
                <w:w w:val="75"/>
                <w:sz w:val="22"/>
              </w:rPr>
              <w:t>l’eau</w:t>
            </w:r>
          </w:p>
          <w:p>
            <w:pPr>
              <w:pStyle w:val="TableParagraph"/>
              <w:spacing w:before="29"/>
              <w:ind w:left="98"/>
              <w:rPr>
                <w:sz w:val="22"/>
              </w:rPr>
            </w:pPr>
            <w:r>
              <w:rPr>
                <w:color w:val="221F1F"/>
                <w:w w:val="85"/>
                <w:sz w:val="22"/>
              </w:rPr>
              <w:t>potable</w:t>
            </w:r>
            <w:r>
              <w:rPr>
                <w:color w:val="221F1F"/>
                <w:spacing w:val="16"/>
                <w:sz w:val="22"/>
              </w:rPr>
              <w:t> </w:t>
            </w:r>
            <w:r>
              <w:rPr>
                <w:color w:val="221F1F"/>
                <w:spacing w:val="-5"/>
                <w:w w:val="95"/>
                <w:sz w:val="22"/>
              </w:rPr>
              <w:t>(%)</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11"/>
              <w:rPr>
                <w:sz w:val="22"/>
              </w:rPr>
            </w:pPr>
          </w:p>
          <w:p>
            <w:pPr>
              <w:pStyle w:val="TableParagraph"/>
              <w:spacing w:before="1"/>
              <w:ind w:left="135"/>
              <w:jc w:val="center"/>
              <w:rPr>
                <w:b/>
                <w:sz w:val="22"/>
              </w:rPr>
            </w:pPr>
            <w:r>
              <w:rPr>
                <w:b/>
                <w:spacing w:val="-4"/>
                <w:sz w:val="22"/>
              </w:rPr>
              <w:t>72,1</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1"/>
              <w:rPr>
                <w:sz w:val="22"/>
              </w:rPr>
            </w:pPr>
          </w:p>
          <w:p>
            <w:pPr>
              <w:pStyle w:val="TableParagraph"/>
              <w:spacing w:before="1"/>
              <w:ind w:left="135"/>
              <w:jc w:val="center"/>
              <w:rPr>
                <w:sz w:val="22"/>
              </w:rPr>
            </w:pPr>
            <w:r>
              <w:rPr>
                <w:color w:val="221F1F"/>
                <w:spacing w:val="-5"/>
                <w:sz w:val="22"/>
              </w:rPr>
              <w:t>95</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1"/>
              <w:rPr>
                <w:sz w:val="22"/>
              </w:rPr>
            </w:pPr>
          </w:p>
          <w:p>
            <w:pPr>
              <w:pStyle w:val="TableParagraph"/>
              <w:spacing w:before="1"/>
              <w:ind w:left="295"/>
              <w:rPr>
                <w:sz w:val="22"/>
              </w:rPr>
            </w:pPr>
            <w:r>
              <w:rPr>
                <w:color w:val="221F1F"/>
                <w:spacing w:val="-5"/>
                <w:sz w:val="22"/>
              </w:rPr>
              <w:t>100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1"/>
              <w:rPr>
                <w:sz w:val="22"/>
              </w:rPr>
            </w:pPr>
          </w:p>
          <w:p>
            <w:pPr>
              <w:pStyle w:val="TableParagraph"/>
              <w:spacing w:before="1"/>
              <w:ind w:left="139"/>
              <w:jc w:val="center"/>
              <w:rPr>
                <w:sz w:val="22"/>
              </w:rPr>
            </w:pPr>
            <w:r>
              <w:rPr>
                <w:color w:val="221F1F"/>
                <w:spacing w:val="-5"/>
                <w:sz w:val="22"/>
              </w:rPr>
              <w:t>100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1"/>
              <w:rPr>
                <w:sz w:val="22"/>
              </w:rPr>
            </w:pPr>
          </w:p>
          <w:p>
            <w:pPr>
              <w:pStyle w:val="TableParagraph"/>
              <w:spacing w:before="1"/>
              <w:ind w:left="337"/>
              <w:rPr>
                <w:sz w:val="22"/>
              </w:rPr>
            </w:pPr>
            <w:r>
              <w:rPr>
                <w:color w:val="221F1F"/>
                <w:spacing w:val="-5"/>
                <w:sz w:val="22"/>
              </w:rPr>
              <w:t>100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82"/>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182"/>
              <w:ind w:left="143"/>
              <w:jc w:val="center"/>
              <w:rPr>
                <w:sz w:val="22"/>
              </w:rPr>
            </w:pPr>
            <w:r>
              <w:rPr>
                <w:color w:val="221F1F"/>
                <w:spacing w:val="-5"/>
                <w:sz w:val="22"/>
              </w:rPr>
              <w:t>CPS</w:t>
            </w:r>
          </w:p>
        </w:tc>
      </w:tr>
      <w:tr>
        <w:trPr>
          <w:trHeight w:val="594"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199"/>
              <w:ind w:left="59"/>
              <w:rPr>
                <w:b/>
                <w:sz w:val="22"/>
              </w:rPr>
            </w:pPr>
            <w:r>
              <w:rPr>
                <w:b/>
                <w:spacing w:val="-5"/>
                <w:sz w:val="22"/>
              </w:rPr>
              <w:t>24</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10"/>
              <w:ind w:left="98" w:right="212"/>
              <w:rPr>
                <w:sz w:val="22"/>
              </w:rPr>
            </w:pPr>
            <w:r>
              <w:rPr>
                <w:color w:val="221F1F"/>
                <w:w w:val="80"/>
                <w:sz w:val="22"/>
              </w:rPr>
              <w:t>Taux</w:t>
            </w:r>
            <w:r>
              <w:rPr>
                <w:color w:val="221F1F"/>
                <w:spacing w:val="-3"/>
                <w:w w:val="80"/>
                <w:sz w:val="22"/>
              </w:rPr>
              <w:t> </w:t>
            </w:r>
            <w:r>
              <w:rPr>
                <w:color w:val="221F1F"/>
                <w:w w:val="80"/>
                <w:sz w:val="22"/>
              </w:rPr>
              <w:t>d’accès</w:t>
            </w:r>
            <w:r>
              <w:rPr>
                <w:color w:val="221F1F"/>
                <w:spacing w:val="-3"/>
                <w:w w:val="80"/>
                <w:sz w:val="22"/>
              </w:rPr>
              <w:t> </w:t>
            </w:r>
            <w:r>
              <w:rPr>
                <w:color w:val="221F1F"/>
                <w:w w:val="80"/>
                <w:sz w:val="22"/>
              </w:rPr>
              <w:t>à</w:t>
            </w:r>
            <w:r>
              <w:rPr>
                <w:color w:val="221F1F"/>
                <w:spacing w:val="-2"/>
                <w:w w:val="80"/>
                <w:sz w:val="22"/>
              </w:rPr>
              <w:t> </w:t>
            </w:r>
            <w:r>
              <w:rPr>
                <w:color w:val="221F1F"/>
                <w:w w:val="80"/>
                <w:sz w:val="22"/>
              </w:rPr>
              <w:t>internet</w:t>
            </w:r>
            <w:r>
              <w:rPr>
                <w:color w:val="221F1F"/>
                <w:spacing w:val="-3"/>
                <w:w w:val="80"/>
                <w:sz w:val="22"/>
              </w:rPr>
              <w:t> </w:t>
            </w:r>
            <w:r>
              <w:rPr>
                <w:color w:val="221F1F"/>
                <w:w w:val="80"/>
                <w:sz w:val="22"/>
              </w:rPr>
              <w:t>de</w:t>
            </w:r>
            <w:r>
              <w:rPr>
                <w:color w:val="221F1F"/>
                <w:spacing w:val="-2"/>
                <w:w w:val="80"/>
                <w:sz w:val="22"/>
              </w:rPr>
              <w:t> </w:t>
            </w:r>
            <w:r>
              <w:rPr>
                <w:color w:val="221F1F"/>
                <w:w w:val="80"/>
                <w:sz w:val="22"/>
              </w:rPr>
              <w:t>6</w:t>
            </w:r>
            <w:r>
              <w:rPr>
                <w:color w:val="221F1F"/>
                <w:w w:val="90"/>
                <w:sz w:val="22"/>
              </w:rPr>
              <w:t> Mo (%)</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6"/>
              <w:rPr>
                <w:sz w:val="22"/>
              </w:rPr>
            </w:pPr>
          </w:p>
          <w:p>
            <w:pPr>
              <w:pStyle w:val="TableParagraph"/>
              <w:ind w:left="79"/>
              <w:jc w:val="center"/>
              <w:rPr>
                <w:sz w:val="22"/>
              </w:rPr>
            </w:pPr>
            <w:r>
              <w:rPr>
                <w:color w:val="221F1F"/>
                <w:spacing w:val="-2"/>
                <w:sz w:val="22"/>
              </w:rPr>
              <w:t>62,81</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6"/>
              <w:rPr>
                <w:sz w:val="22"/>
              </w:rPr>
            </w:pPr>
          </w:p>
          <w:p>
            <w:pPr>
              <w:pStyle w:val="TableParagraph"/>
              <w:ind w:left="78"/>
              <w:jc w:val="center"/>
              <w:rPr>
                <w:sz w:val="22"/>
              </w:rPr>
            </w:pPr>
            <w:r>
              <w:rPr>
                <w:color w:val="221F1F"/>
                <w:spacing w:val="-5"/>
                <w:sz w:val="22"/>
              </w:rPr>
              <w:t>80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6"/>
              <w:rPr>
                <w:sz w:val="22"/>
              </w:rPr>
            </w:pPr>
          </w:p>
          <w:p>
            <w:pPr>
              <w:pStyle w:val="TableParagraph"/>
              <w:ind w:left="307"/>
              <w:rPr>
                <w:sz w:val="22"/>
              </w:rPr>
            </w:pPr>
            <w:r>
              <w:rPr>
                <w:color w:val="221F1F"/>
                <w:spacing w:val="-5"/>
                <w:sz w:val="22"/>
              </w:rPr>
              <w:t>85</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6"/>
              <w:rPr>
                <w:sz w:val="22"/>
              </w:rPr>
            </w:pPr>
          </w:p>
          <w:p>
            <w:pPr>
              <w:pStyle w:val="TableParagraph"/>
              <w:ind w:left="84"/>
              <w:jc w:val="center"/>
              <w:rPr>
                <w:sz w:val="22"/>
              </w:rPr>
            </w:pPr>
            <w:r>
              <w:rPr>
                <w:color w:val="221F1F"/>
                <w:spacing w:val="-5"/>
                <w:sz w:val="22"/>
              </w:rPr>
              <w:t>90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6"/>
              <w:rPr>
                <w:sz w:val="22"/>
              </w:rPr>
            </w:pPr>
          </w:p>
          <w:p>
            <w:pPr>
              <w:pStyle w:val="TableParagraph"/>
              <w:ind w:left="154" w:right="69"/>
              <w:jc w:val="center"/>
              <w:rPr>
                <w:sz w:val="22"/>
              </w:rPr>
            </w:pPr>
            <w:r>
              <w:rPr>
                <w:color w:val="221F1F"/>
                <w:spacing w:val="-5"/>
                <w:sz w:val="22"/>
              </w:rPr>
              <w:t>95</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175"/>
              <w:ind w:left="143" w:right="57"/>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175"/>
              <w:ind w:left="143" w:right="58"/>
              <w:jc w:val="center"/>
              <w:rPr>
                <w:sz w:val="22"/>
              </w:rPr>
            </w:pPr>
            <w:r>
              <w:rPr>
                <w:color w:val="221F1F"/>
                <w:spacing w:val="-5"/>
                <w:sz w:val="22"/>
              </w:rPr>
              <w:t>CPS</w:t>
            </w:r>
          </w:p>
        </w:tc>
      </w:tr>
    </w:tbl>
    <w:p>
      <w:pPr>
        <w:pStyle w:val="TableParagraph"/>
        <w:spacing w:after="0"/>
        <w:jc w:val="center"/>
        <w:rPr>
          <w:sz w:val="22"/>
        </w:rPr>
        <w:sectPr>
          <w:type w:val="continuous"/>
          <w:pgSz w:w="11910" w:h="16840"/>
          <w:pgMar w:header="0" w:footer="680" w:top="1380" w:bottom="1190" w:left="283" w:right="141"/>
        </w:sectPr>
      </w:pPr>
    </w:p>
    <w:tbl>
      <w:tblPr>
        <w:tblW w:w="0" w:type="auto"/>
        <w:jc w:val="left"/>
        <w:tblInd w:w="1132" w:type="dxa"/>
        <w:tblBorders>
          <w:top w:val="single" w:sz="18" w:space="0" w:color="221F1F"/>
          <w:left w:val="single" w:sz="18" w:space="0" w:color="221F1F"/>
          <w:bottom w:val="single" w:sz="18" w:space="0" w:color="221F1F"/>
          <w:right w:val="single" w:sz="18" w:space="0" w:color="221F1F"/>
          <w:insideH w:val="single" w:sz="18" w:space="0" w:color="221F1F"/>
          <w:insideV w:val="single" w:sz="18" w:space="0" w:color="221F1F"/>
        </w:tblBorders>
        <w:tblLayout w:type="fixed"/>
        <w:tblCellMar>
          <w:top w:w="0" w:type="dxa"/>
          <w:left w:w="0" w:type="dxa"/>
          <w:bottom w:w="0" w:type="dxa"/>
          <w:right w:w="0" w:type="dxa"/>
        </w:tblCellMar>
        <w:tblLook w:val="01E0"/>
      </w:tblPr>
      <w:tblGrid>
        <w:gridCol w:w="362"/>
        <w:gridCol w:w="2151"/>
        <w:gridCol w:w="890"/>
        <w:gridCol w:w="768"/>
        <w:gridCol w:w="725"/>
        <w:gridCol w:w="777"/>
        <w:gridCol w:w="806"/>
        <w:gridCol w:w="1224"/>
        <w:gridCol w:w="1557"/>
      </w:tblGrid>
      <w:tr>
        <w:trPr>
          <w:trHeight w:val="635" w:hRule="atLeast"/>
        </w:trPr>
        <w:tc>
          <w:tcPr>
            <w:tcW w:w="362" w:type="dxa"/>
            <w:vMerge w:val="restart"/>
            <w:tcBorders>
              <w:bottom w:val="single" w:sz="8" w:space="0" w:color="221F1F"/>
              <w:right w:val="single" w:sz="8" w:space="0" w:color="221F1F"/>
            </w:tcBorders>
            <w:shd w:val="clear" w:color="auto" w:fill="BED7EB"/>
          </w:tcPr>
          <w:p>
            <w:pPr>
              <w:pStyle w:val="TableParagraph"/>
              <w:spacing w:before="150"/>
              <w:rPr>
                <w:sz w:val="22"/>
              </w:rPr>
            </w:pPr>
          </w:p>
          <w:p>
            <w:pPr>
              <w:pStyle w:val="TableParagraph"/>
              <w:ind w:left="126" w:right="-15"/>
              <w:rPr>
                <w:b/>
                <w:sz w:val="22"/>
              </w:rPr>
            </w:pPr>
            <w:r>
              <w:rPr>
                <w:b/>
                <w:color w:val="221F1F"/>
                <w:spacing w:val="-5"/>
                <w:sz w:val="22"/>
              </w:rPr>
              <w:t>N°</w:t>
            </w:r>
          </w:p>
        </w:tc>
        <w:tc>
          <w:tcPr>
            <w:tcW w:w="2151"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50"/>
              <w:rPr>
                <w:sz w:val="22"/>
              </w:rPr>
            </w:pPr>
          </w:p>
          <w:p>
            <w:pPr>
              <w:pStyle w:val="TableParagraph"/>
              <w:ind w:left="278"/>
              <w:rPr>
                <w:b/>
                <w:sz w:val="22"/>
              </w:rPr>
            </w:pPr>
            <w:r>
              <w:rPr>
                <w:b/>
                <w:color w:val="FFFFFF"/>
                <w:w w:val="80"/>
                <w:sz w:val="22"/>
              </w:rPr>
              <w:t>Intitulé</w:t>
            </w:r>
            <w:r>
              <w:rPr>
                <w:b/>
                <w:color w:val="FFFFFF"/>
                <w:spacing w:val="-9"/>
                <w:sz w:val="22"/>
              </w:rPr>
              <w:t> </w:t>
            </w:r>
            <w:r>
              <w:rPr>
                <w:b/>
                <w:color w:val="FFFFFF"/>
                <w:w w:val="80"/>
                <w:sz w:val="22"/>
              </w:rPr>
              <w:t>de</w:t>
            </w:r>
            <w:r>
              <w:rPr>
                <w:b/>
                <w:color w:val="FFFFFF"/>
                <w:spacing w:val="-9"/>
                <w:sz w:val="22"/>
              </w:rPr>
              <w:t> </w:t>
            </w:r>
            <w:r>
              <w:rPr>
                <w:b/>
                <w:color w:val="FFFFFF"/>
                <w:spacing w:val="-2"/>
                <w:w w:val="80"/>
                <w:sz w:val="22"/>
              </w:rPr>
              <w:t>l’indicateur</w:t>
            </w:r>
          </w:p>
        </w:tc>
        <w:tc>
          <w:tcPr>
            <w:tcW w:w="89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sz w:val="22"/>
              </w:rPr>
            </w:pPr>
          </w:p>
          <w:p>
            <w:pPr>
              <w:pStyle w:val="TableParagraph"/>
              <w:spacing w:line="254" w:lineRule="auto"/>
              <w:ind w:left="112" w:right="25" w:firstLine="228"/>
              <w:rPr>
                <w:b/>
                <w:sz w:val="22"/>
              </w:rPr>
            </w:pPr>
            <w:r>
              <w:rPr>
                <w:b/>
                <w:color w:val="FFFFFF"/>
                <w:spacing w:val="-2"/>
                <w:w w:val="90"/>
                <w:sz w:val="22"/>
              </w:rPr>
              <w:t>Valeur </w:t>
            </w:r>
            <w:r>
              <w:rPr>
                <w:b/>
                <w:color w:val="FFFFFF"/>
                <w:spacing w:val="-6"/>
                <w:w w:val="95"/>
                <w:sz w:val="22"/>
              </w:rPr>
              <w:t>de </w:t>
            </w:r>
            <w:r>
              <w:rPr>
                <w:b/>
                <w:color w:val="FFFFFF"/>
                <w:spacing w:val="-2"/>
                <w:w w:val="85"/>
                <w:sz w:val="22"/>
              </w:rPr>
              <w:t>référence</w:t>
            </w:r>
          </w:p>
          <w:p>
            <w:pPr>
              <w:pStyle w:val="TableParagraph"/>
              <w:spacing w:line="245" w:lineRule="exact"/>
              <w:ind w:left="112"/>
              <w:rPr>
                <w:b/>
                <w:sz w:val="22"/>
              </w:rPr>
            </w:pPr>
            <w:r>
              <w:rPr>
                <w:b/>
                <w:color w:val="FFFFFF"/>
                <w:spacing w:val="-4"/>
                <w:w w:val="90"/>
                <w:sz w:val="22"/>
              </w:rPr>
              <w:t>2022</w:t>
            </w:r>
          </w:p>
        </w:tc>
        <w:tc>
          <w:tcPr>
            <w:tcW w:w="3076" w:type="dxa"/>
            <w:gridSpan w:val="4"/>
            <w:tcBorders>
              <w:left w:val="single" w:sz="8" w:space="0" w:color="221F1F"/>
              <w:bottom w:val="single" w:sz="8" w:space="0" w:color="221F1F"/>
              <w:right w:val="single" w:sz="8" w:space="0" w:color="221F1F"/>
            </w:tcBorders>
            <w:shd w:val="clear" w:color="auto" w:fill="0066B3"/>
          </w:tcPr>
          <w:p>
            <w:pPr>
              <w:pStyle w:val="TableParagraph"/>
              <w:spacing w:before="191"/>
              <w:ind w:right="167"/>
              <w:jc w:val="center"/>
              <w:rPr>
                <w:b/>
                <w:sz w:val="22"/>
              </w:rPr>
            </w:pPr>
            <w:r>
              <w:rPr>
                <w:b/>
                <w:color w:val="FFFFFF"/>
                <w:w w:val="75"/>
                <w:sz w:val="22"/>
              </w:rPr>
              <w:t>Valeur</w:t>
            </w:r>
            <w:r>
              <w:rPr>
                <w:b/>
                <w:color w:val="FFFFFF"/>
                <w:spacing w:val="14"/>
                <w:sz w:val="22"/>
              </w:rPr>
              <w:t> </w:t>
            </w:r>
            <w:r>
              <w:rPr>
                <w:b/>
                <w:color w:val="FFFFFF"/>
                <w:spacing w:val="-4"/>
                <w:w w:val="95"/>
                <w:sz w:val="22"/>
              </w:rPr>
              <w:t>cible</w:t>
            </w:r>
          </w:p>
        </w:tc>
        <w:tc>
          <w:tcPr>
            <w:tcW w:w="1224"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sz w:val="22"/>
              </w:rPr>
            </w:pPr>
          </w:p>
          <w:p>
            <w:pPr>
              <w:pStyle w:val="TableParagraph"/>
              <w:spacing w:line="254" w:lineRule="auto"/>
              <w:ind w:left="179" w:right="229" w:firstLine="55"/>
              <w:rPr>
                <w:b/>
                <w:sz w:val="22"/>
              </w:rPr>
            </w:pPr>
            <w:r>
              <w:rPr>
                <w:b/>
                <w:color w:val="FFFFFF"/>
                <w:spacing w:val="-2"/>
                <w:w w:val="85"/>
                <w:sz w:val="22"/>
              </w:rPr>
              <w:t>Source</w:t>
            </w:r>
            <w:r>
              <w:rPr>
                <w:b/>
                <w:color w:val="FFFFFF"/>
                <w:spacing w:val="-5"/>
                <w:w w:val="85"/>
                <w:sz w:val="22"/>
              </w:rPr>
              <w:t> </w:t>
            </w:r>
            <w:r>
              <w:rPr>
                <w:b/>
                <w:color w:val="FFFFFF"/>
                <w:spacing w:val="-2"/>
                <w:w w:val="85"/>
                <w:sz w:val="22"/>
              </w:rPr>
              <w:t>de </w:t>
            </w:r>
            <w:r>
              <w:rPr>
                <w:b/>
                <w:color w:val="FFFFFF"/>
                <w:spacing w:val="-2"/>
                <w:w w:val="80"/>
                <w:sz w:val="22"/>
              </w:rPr>
              <w:t>Vérification</w:t>
            </w:r>
          </w:p>
        </w:tc>
        <w:tc>
          <w:tcPr>
            <w:tcW w:w="1557" w:type="dxa"/>
            <w:vMerge w:val="restart"/>
            <w:tcBorders>
              <w:left w:val="single" w:sz="8" w:space="0" w:color="221F1F"/>
              <w:bottom w:val="single" w:sz="8" w:space="0" w:color="221F1F"/>
            </w:tcBorders>
            <w:shd w:val="clear" w:color="auto" w:fill="0066B3"/>
          </w:tcPr>
          <w:p>
            <w:pPr>
              <w:pStyle w:val="TableParagraph"/>
              <w:spacing w:before="16"/>
              <w:rPr>
                <w:sz w:val="22"/>
              </w:rPr>
            </w:pPr>
          </w:p>
          <w:p>
            <w:pPr>
              <w:pStyle w:val="TableParagraph"/>
              <w:spacing w:line="254" w:lineRule="auto"/>
              <w:ind w:left="215" w:firstLine="129"/>
              <w:rPr>
                <w:b/>
                <w:sz w:val="22"/>
              </w:rPr>
            </w:pPr>
            <w:r>
              <w:rPr>
                <w:b/>
                <w:color w:val="FFFFFF"/>
                <w:spacing w:val="-4"/>
                <w:w w:val="90"/>
                <w:sz w:val="22"/>
              </w:rPr>
              <w:t>Structure </w:t>
            </w:r>
            <w:r>
              <w:rPr>
                <w:b/>
                <w:color w:val="FFFFFF"/>
                <w:spacing w:val="-2"/>
                <w:w w:val="75"/>
                <w:sz w:val="22"/>
              </w:rPr>
              <w:t>responsable</w:t>
            </w:r>
          </w:p>
        </w:tc>
      </w:tr>
      <w:tr>
        <w:trPr>
          <w:trHeight w:val="680" w:hRule="atLeast"/>
        </w:trPr>
        <w:tc>
          <w:tcPr>
            <w:tcW w:w="362" w:type="dxa"/>
            <w:vMerge/>
            <w:tcBorders>
              <w:top w:val="nil"/>
              <w:bottom w:val="single" w:sz="8" w:space="0" w:color="221F1F"/>
              <w:right w:val="single" w:sz="8" w:space="0" w:color="221F1F"/>
            </w:tcBorders>
            <w:shd w:val="clear" w:color="auto" w:fill="BED7EB"/>
          </w:tcPr>
          <w:p>
            <w:pPr>
              <w:rPr>
                <w:sz w:val="2"/>
                <w:szCs w:val="2"/>
              </w:rPr>
            </w:pPr>
          </w:p>
        </w:tc>
        <w:tc>
          <w:tcPr>
            <w:tcW w:w="2151"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89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768"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6"/>
              <w:ind w:left="78"/>
              <w:jc w:val="center"/>
              <w:rPr>
                <w:b/>
                <w:sz w:val="22"/>
              </w:rPr>
            </w:pPr>
            <w:r>
              <w:rPr>
                <w:b/>
                <w:color w:val="FFFFFF"/>
                <w:spacing w:val="-4"/>
                <w:sz w:val="22"/>
              </w:rPr>
              <w:t>2033</w:t>
            </w:r>
          </w:p>
        </w:tc>
        <w:tc>
          <w:tcPr>
            <w:tcW w:w="725"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6"/>
              <w:ind w:left="142" w:right="60"/>
              <w:jc w:val="center"/>
              <w:rPr>
                <w:b/>
                <w:sz w:val="22"/>
              </w:rPr>
            </w:pPr>
            <w:r>
              <w:rPr>
                <w:b/>
                <w:color w:val="FFFFFF"/>
                <w:spacing w:val="-4"/>
                <w:sz w:val="22"/>
              </w:rPr>
              <w:t>2043</w:t>
            </w:r>
          </w:p>
        </w:tc>
        <w:tc>
          <w:tcPr>
            <w:tcW w:w="777"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6"/>
              <w:ind w:left="84"/>
              <w:jc w:val="center"/>
              <w:rPr>
                <w:b/>
                <w:sz w:val="22"/>
              </w:rPr>
            </w:pPr>
            <w:r>
              <w:rPr>
                <w:b/>
                <w:color w:val="FFFFFF"/>
                <w:spacing w:val="-4"/>
                <w:sz w:val="22"/>
              </w:rPr>
              <w:t>2053</w:t>
            </w:r>
          </w:p>
        </w:tc>
        <w:tc>
          <w:tcPr>
            <w:tcW w:w="806"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6"/>
              <w:ind w:left="154" w:right="65"/>
              <w:jc w:val="center"/>
              <w:rPr>
                <w:b/>
                <w:sz w:val="22"/>
              </w:rPr>
            </w:pPr>
            <w:r>
              <w:rPr>
                <w:b/>
                <w:color w:val="FFFFFF"/>
                <w:spacing w:val="-4"/>
                <w:sz w:val="22"/>
              </w:rPr>
              <w:t>2063</w:t>
            </w:r>
          </w:p>
        </w:tc>
        <w:tc>
          <w:tcPr>
            <w:tcW w:w="1224"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557" w:type="dxa"/>
            <w:vMerge/>
            <w:tcBorders>
              <w:top w:val="nil"/>
              <w:left w:val="single" w:sz="8" w:space="0" w:color="221F1F"/>
              <w:bottom w:val="single" w:sz="8" w:space="0" w:color="221F1F"/>
            </w:tcBorders>
            <w:shd w:val="clear" w:color="auto" w:fill="0066B3"/>
          </w:tcPr>
          <w:p>
            <w:pPr>
              <w:rPr>
                <w:sz w:val="2"/>
                <w:szCs w:val="2"/>
              </w:rPr>
            </w:pPr>
          </w:p>
        </w:tc>
      </w:tr>
      <w:tr>
        <w:trPr>
          <w:trHeight w:val="1727"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ind w:right="21"/>
              <w:jc w:val="right"/>
              <w:rPr>
                <w:b/>
                <w:sz w:val="22"/>
              </w:rPr>
            </w:pPr>
            <w:r>
              <w:rPr>
                <w:b/>
                <w:spacing w:val="-5"/>
                <w:sz w:val="22"/>
              </w:rPr>
              <w:t>25</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74"/>
              <w:ind w:left="98" w:right="33"/>
              <w:rPr>
                <w:sz w:val="22"/>
              </w:rPr>
            </w:pPr>
            <w:r>
              <w:rPr>
                <w:color w:val="221F1F"/>
                <w:w w:val="85"/>
                <w:sz w:val="22"/>
              </w:rPr>
              <w:t>Pourcentage</w:t>
            </w:r>
            <w:r>
              <w:rPr>
                <w:color w:val="221F1F"/>
                <w:spacing w:val="-6"/>
                <w:w w:val="85"/>
                <w:sz w:val="22"/>
              </w:rPr>
              <w:t> </w:t>
            </w:r>
            <w:r>
              <w:rPr>
                <w:color w:val="221F1F"/>
                <w:w w:val="85"/>
                <w:sz w:val="22"/>
              </w:rPr>
              <w:t>de</w:t>
            </w:r>
            <w:r>
              <w:rPr>
                <w:color w:val="221F1F"/>
                <w:spacing w:val="-5"/>
                <w:w w:val="85"/>
                <w:sz w:val="22"/>
              </w:rPr>
              <w:t> </w:t>
            </w:r>
            <w:r>
              <w:rPr>
                <w:color w:val="221F1F"/>
                <w:w w:val="85"/>
                <w:sz w:val="22"/>
              </w:rPr>
              <w:t>la</w:t>
            </w:r>
            <w:r>
              <w:rPr>
                <w:color w:val="221F1F"/>
                <w:spacing w:val="-5"/>
                <w:w w:val="85"/>
                <w:sz w:val="22"/>
              </w:rPr>
              <w:t> </w:t>
            </w:r>
            <w:r>
              <w:rPr>
                <w:color w:val="221F1F"/>
                <w:w w:val="85"/>
                <w:sz w:val="22"/>
              </w:rPr>
              <w:t>population couverte</w:t>
            </w:r>
            <w:r>
              <w:rPr>
                <w:color w:val="221F1F"/>
                <w:spacing w:val="-7"/>
                <w:w w:val="85"/>
                <w:sz w:val="22"/>
              </w:rPr>
              <w:t> </w:t>
            </w:r>
            <w:r>
              <w:rPr>
                <w:color w:val="221F1F"/>
                <w:w w:val="85"/>
                <w:sz w:val="22"/>
              </w:rPr>
              <w:t>par</w:t>
            </w:r>
            <w:r>
              <w:rPr>
                <w:color w:val="221F1F"/>
                <w:spacing w:val="-5"/>
                <w:w w:val="85"/>
                <w:sz w:val="22"/>
              </w:rPr>
              <w:t> </w:t>
            </w:r>
            <w:r>
              <w:rPr>
                <w:color w:val="221F1F"/>
                <w:w w:val="85"/>
                <w:sz w:val="22"/>
              </w:rPr>
              <w:t>les</w:t>
            </w:r>
            <w:r>
              <w:rPr>
                <w:color w:val="221F1F"/>
                <w:spacing w:val="-8"/>
                <w:w w:val="85"/>
                <w:sz w:val="22"/>
              </w:rPr>
              <w:t> </w:t>
            </w:r>
            <w:r>
              <w:rPr>
                <w:color w:val="221F1F"/>
                <w:w w:val="85"/>
                <w:sz w:val="22"/>
              </w:rPr>
              <w:t>mécanismes de prise en charge de</w:t>
            </w:r>
            <w:r>
              <w:rPr>
                <w:color w:val="221F1F"/>
                <w:spacing w:val="-4"/>
                <w:w w:val="85"/>
                <w:sz w:val="22"/>
              </w:rPr>
              <w:t> </w:t>
            </w:r>
            <w:r>
              <w:rPr>
                <w:color w:val="221F1F"/>
                <w:w w:val="85"/>
                <w:sz w:val="22"/>
              </w:rPr>
              <w:t>risque </w:t>
            </w:r>
            <w:r>
              <w:rPr>
                <w:color w:val="221F1F"/>
                <w:w w:val="95"/>
                <w:sz w:val="22"/>
              </w:rPr>
              <w:t>maladie</w:t>
            </w:r>
            <w:r>
              <w:rPr>
                <w:color w:val="221F1F"/>
                <w:spacing w:val="-11"/>
                <w:w w:val="95"/>
                <w:sz w:val="22"/>
              </w:rPr>
              <w:t> </w:t>
            </w:r>
            <w:r>
              <w:rPr>
                <w:color w:val="221F1F"/>
                <w:w w:val="95"/>
                <w:sz w:val="22"/>
              </w:rPr>
              <w:t>(AMO,</w:t>
            </w:r>
            <w:r>
              <w:rPr>
                <w:color w:val="221F1F"/>
                <w:spacing w:val="-10"/>
                <w:w w:val="95"/>
                <w:sz w:val="22"/>
              </w:rPr>
              <w:t> </w:t>
            </w:r>
            <w:r>
              <w:rPr>
                <w:color w:val="221F1F"/>
                <w:w w:val="95"/>
                <w:sz w:val="22"/>
              </w:rPr>
              <w:t>RAMED, </w:t>
            </w:r>
            <w:r>
              <w:rPr>
                <w:color w:val="221F1F"/>
                <w:w w:val="90"/>
                <w:sz w:val="22"/>
              </w:rPr>
              <w:t>Mutuelle de santé)</w:t>
            </w:r>
          </w:p>
          <w:p>
            <w:pPr>
              <w:pStyle w:val="TableParagraph"/>
              <w:spacing w:line="231" w:lineRule="exact" w:before="1"/>
              <w:ind w:left="98"/>
              <w:rPr>
                <w:sz w:val="22"/>
              </w:rPr>
            </w:pPr>
            <w:r>
              <w:rPr>
                <w:color w:val="221F1F"/>
                <w:w w:val="80"/>
                <w:sz w:val="22"/>
              </w:rPr>
              <w:t>/</w:t>
            </w:r>
            <w:r>
              <w:rPr>
                <w:color w:val="221F1F"/>
                <w:spacing w:val="-10"/>
                <w:sz w:val="22"/>
              </w:rPr>
              <w:t> </w:t>
            </w:r>
            <w:r>
              <w:rPr>
                <w:color w:val="221F1F"/>
                <w:w w:val="80"/>
                <w:sz w:val="22"/>
              </w:rPr>
              <w:t>RAMU</w:t>
            </w:r>
            <w:r>
              <w:rPr>
                <w:color w:val="221F1F"/>
                <w:spacing w:val="-10"/>
                <w:sz w:val="22"/>
              </w:rPr>
              <w:t> </w:t>
            </w:r>
            <w:r>
              <w:rPr>
                <w:color w:val="221F1F"/>
                <w:spacing w:val="-5"/>
                <w:w w:val="80"/>
                <w:sz w:val="22"/>
              </w:rPr>
              <w:t>(%)</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rPr>
                <w:sz w:val="22"/>
              </w:rPr>
            </w:pPr>
          </w:p>
          <w:p>
            <w:pPr>
              <w:pStyle w:val="TableParagraph"/>
              <w:rPr>
                <w:sz w:val="22"/>
              </w:rPr>
            </w:pPr>
          </w:p>
          <w:p>
            <w:pPr>
              <w:pStyle w:val="TableParagraph"/>
              <w:rPr>
                <w:sz w:val="22"/>
              </w:rPr>
            </w:pPr>
          </w:p>
          <w:p>
            <w:pPr>
              <w:pStyle w:val="TableParagraph"/>
              <w:spacing w:before="115"/>
              <w:rPr>
                <w:sz w:val="22"/>
              </w:rPr>
            </w:pPr>
          </w:p>
          <w:p>
            <w:pPr>
              <w:pStyle w:val="TableParagraph"/>
              <w:ind w:left="79"/>
              <w:jc w:val="center"/>
              <w:rPr>
                <w:sz w:val="22"/>
              </w:rPr>
            </w:pPr>
            <w:r>
              <w:rPr>
                <w:color w:val="221F1F"/>
                <w:spacing w:val="-2"/>
                <w:sz w:val="22"/>
              </w:rPr>
              <w:t>21,90</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rPr>
                <w:sz w:val="22"/>
              </w:rPr>
            </w:pPr>
          </w:p>
          <w:p>
            <w:pPr>
              <w:pStyle w:val="TableParagraph"/>
              <w:rPr>
                <w:sz w:val="22"/>
              </w:rPr>
            </w:pPr>
          </w:p>
          <w:p>
            <w:pPr>
              <w:pStyle w:val="TableParagraph"/>
              <w:rPr>
                <w:sz w:val="22"/>
              </w:rPr>
            </w:pPr>
          </w:p>
          <w:p>
            <w:pPr>
              <w:pStyle w:val="TableParagraph"/>
              <w:spacing w:before="115"/>
              <w:rPr>
                <w:sz w:val="22"/>
              </w:rPr>
            </w:pPr>
          </w:p>
          <w:p>
            <w:pPr>
              <w:pStyle w:val="TableParagraph"/>
              <w:ind w:left="78"/>
              <w:jc w:val="center"/>
              <w:rPr>
                <w:sz w:val="22"/>
              </w:rPr>
            </w:pPr>
            <w:r>
              <w:rPr>
                <w:color w:val="221F1F"/>
                <w:spacing w:val="-5"/>
                <w:sz w:val="22"/>
              </w:rPr>
              <w:t>32</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rPr>
                <w:sz w:val="22"/>
              </w:rPr>
            </w:pPr>
          </w:p>
          <w:p>
            <w:pPr>
              <w:pStyle w:val="TableParagraph"/>
              <w:rPr>
                <w:sz w:val="22"/>
              </w:rPr>
            </w:pPr>
          </w:p>
          <w:p>
            <w:pPr>
              <w:pStyle w:val="TableParagraph"/>
              <w:rPr>
                <w:sz w:val="22"/>
              </w:rPr>
            </w:pPr>
          </w:p>
          <w:p>
            <w:pPr>
              <w:pStyle w:val="TableParagraph"/>
              <w:spacing w:before="115"/>
              <w:rPr>
                <w:sz w:val="22"/>
              </w:rPr>
            </w:pPr>
          </w:p>
          <w:p>
            <w:pPr>
              <w:pStyle w:val="TableParagraph"/>
              <w:ind w:left="142" w:right="64"/>
              <w:jc w:val="center"/>
              <w:rPr>
                <w:sz w:val="22"/>
              </w:rPr>
            </w:pPr>
            <w:r>
              <w:rPr>
                <w:color w:val="221F1F"/>
                <w:spacing w:val="-5"/>
                <w:sz w:val="22"/>
              </w:rPr>
              <w:t>42</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rPr>
                <w:sz w:val="22"/>
              </w:rPr>
            </w:pPr>
          </w:p>
          <w:p>
            <w:pPr>
              <w:pStyle w:val="TableParagraph"/>
              <w:rPr>
                <w:sz w:val="22"/>
              </w:rPr>
            </w:pPr>
          </w:p>
          <w:p>
            <w:pPr>
              <w:pStyle w:val="TableParagraph"/>
              <w:rPr>
                <w:sz w:val="22"/>
              </w:rPr>
            </w:pPr>
          </w:p>
          <w:p>
            <w:pPr>
              <w:pStyle w:val="TableParagraph"/>
              <w:spacing w:before="115"/>
              <w:rPr>
                <w:sz w:val="22"/>
              </w:rPr>
            </w:pPr>
          </w:p>
          <w:p>
            <w:pPr>
              <w:pStyle w:val="TableParagraph"/>
              <w:ind w:left="84"/>
              <w:jc w:val="center"/>
              <w:rPr>
                <w:sz w:val="22"/>
              </w:rPr>
            </w:pPr>
            <w:r>
              <w:rPr>
                <w:color w:val="221F1F"/>
                <w:spacing w:val="-5"/>
                <w:sz w:val="22"/>
              </w:rPr>
              <w:t>52</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rPr>
                <w:sz w:val="22"/>
              </w:rPr>
            </w:pPr>
          </w:p>
          <w:p>
            <w:pPr>
              <w:pStyle w:val="TableParagraph"/>
              <w:rPr>
                <w:sz w:val="22"/>
              </w:rPr>
            </w:pPr>
          </w:p>
          <w:p>
            <w:pPr>
              <w:pStyle w:val="TableParagraph"/>
              <w:rPr>
                <w:sz w:val="22"/>
              </w:rPr>
            </w:pPr>
          </w:p>
          <w:p>
            <w:pPr>
              <w:pStyle w:val="TableParagraph"/>
              <w:spacing w:before="115"/>
              <w:rPr>
                <w:sz w:val="22"/>
              </w:rPr>
            </w:pPr>
          </w:p>
          <w:p>
            <w:pPr>
              <w:pStyle w:val="TableParagraph"/>
              <w:ind w:left="154" w:right="69"/>
              <w:jc w:val="center"/>
              <w:rPr>
                <w:sz w:val="22"/>
              </w:rPr>
            </w:pPr>
            <w:r>
              <w:rPr>
                <w:color w:val="221F1F"/>
                <w:spacing w:val="-5"/>
                <w:sz w:val="22"/>
              </w:rPr>
              <w:t>62</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rPr>
                <w:sz w:val="22"/>
              </w:rPr>
            </w:pPr>
          </w:p>
          <w:p>
            <w:pPr>
              <w:pStyle w:val="TableParagraph"/>
              <w:spacing w:before="133"/>
              <w:rPr>
                <w:sz w:val="22"/>
              </w:rPr>
            </w:pPr>
          </w:p>
          <w:p>
            <w:pPr>
              <w:pStyle w:val="TableParagraph"/>
              <w:spacing w:line="264" w:lineRule="auto"/>
              <w:ind w:left="395" w:hanging="48"/>
              <w:rPr>
                <w:sz w:val="22"/>
              </w:rPr>
            </w:pPr>
            <w:r>
              <w:rPr>
                <w:color w:val="221F1F"/>
                <w:spacing w:val="-2"/>
                <w:w w:val="80"/>
                <w:sz w:val="22"/>
              </w:rPr>
              <w:t>Rapport</w:t>
            </w:r>
            <w:r>
              <w:rPr>
                <w:color w:val="221F1F"/>
                <w:spacing w:val="-2"/>
                <w:w w:val="85"/>
                <w:sz w:val="22"/>
              </w:rPr>
              <w:t> annuel</w:t>
            </w:r>
          </w:p>
        </w:tc>
        <w:tc>
          <w:tcPr>
            <w:tcW w:w="1557" w:type="dxa"/>
            <w:tcBorders>
              <w:top w:val="single" w:sz="8" w:space="0" w:color="221F1F"/>
              <w:left w:val="single" w:sz="8" w:space="0" w:color="221F1F"/>
              <w:bottom w:val="single" w:sz="8" w:space="0" w:color="221F1F"/>
            </w:tcBorders>
          </w:tcPr>
          <w:p>
            <w:pPr>
              <w:pStyle w:val="TableParagraph"/>
              <w:rPr>
                <w:sz w:val="22"/>
              </w:rPr>
            </w:pPr>
          </w:p>
          <w:p>
            <w:pPr>
              <w:pStyle w:val="TableParagraph"/>
              <w:rPr>
                <w:sz w:val="22"/>
              </w:rPr>
            </w:pPr>
          </w:p>
          <w:p>
            <w:pPr>
              <w:pStyle w:val="TableParagraph"/>
              <w:spacing w:before="17"/>
              <w:rPr>
                <w:sz w:val="22"/>
              </w:rPr>
            </w:pPr>
          </w:p>
          <w:p>
            <w:pPr>
              <w:pStyle w:val="TableParagraph"/>
              <w:ind w:left="376"/>
              <w:rPr>
                <w:sz w:val="22"/>
              </w:rPr>
            </w:pPr>
            <w:r>
              <w:rPr>
                <w:color w:val="221F1F"/>
                <w:spacing w:val="-2"/>
                <w:sz w:val="22"/>
              </w:rPr>
              <w:t>DNPSES</w:t>
            </w:r>
          </w:p>
        </w:tc>
      </w:tr>
      <w:tr>
        <w:trPr>
          <w:trHeight w:val="688"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ind w:right="21"/>
              <w:jc w:val="right"/>
              <w:rPr>
                <w:b/>
                <w:sz w:val="22"/>
              </w:rPr>
            </w:pPr>
            <w:r>
              <w:rPr>
                <w:b/>
                <w:spacing w:val="-5"/>
                <w:sz w:val="22"/>
              </w:rPr>
              <w:t>26</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60"/>
              <w:ind w:left="98" w:right="97"/>
              <w:rPr>
                <w:sz w:val="22"/>
              </w:rPr>
            </w:pPr>
            <w:r>
              <w:rPr>
                <w:color w:val="221F1F"/>
                <w:w w:val="85"/>
                <w:sz w:val="22"/>
              </w:rPr>
              <w:t>Nombre d’hôpitaux de 1</w:t>
            </w:r>
            <w:r>
              <w:rPr>
                <w:color w:val="221F1F"/>
                <w:w w:val="85"/>
                <w:position w:val="7"/>
                <w:sz w:val="22"/>
              </w:rPr>
              <w:t>ère </w:t>
            </w:r>
            <w:r>
              <w:rPr>
                <w:color w:val="221F1F"/>
                <w:w w:val="85"/>
                <w:sz w:val="22"/>
              </w:rPr>
              <w:t>référence</w:t>
            </w:r>
            <w:r>
              <w:rPr>
                <w:color w:val="221F1F"/>
                <w:spacing w:val="-6"/>
                <w:w w:val="85"/>
                <w:sz w:val="22"/>
              </w:rPr>
              <w:t> </w:t>
            </w:r>
            <w:r>
              <w:rPr>
                <w:color w:val="221F1F"/>
                <w:w w:val="85"/>
                <w:sz w:val="22"/>
              </w:rPr>
              <w:t>construits</w:t>
            </w:r>
            <w:r>
              <w:rPr>
                <w:color w:val="221F1F"/>
                <w:spacing w:val="-5"/>
                <w:w w:val="85"/>
                <w:sz w:val="22"/>
              </w:rPr>
              <w:t> </w:t>
            </w:r>
            <w:r>
              <w:rPr>
                <w:color w:val="221F1F"/>
                <w:w w:val="85"/>
                <w:sz w:val="22"/>
              </w:rPr>
              <w:t>équipés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67"/>
              <w:rPr>
                <w:sz w:val="22"/>
              </w:rPr>
            </w:pPr>
          </w:p>
          <w:p>
            <w:pPr>
              <w:pStyle w:val="TableParagraph"/>
              <w:ind w:left="133"/>
              <w:jc w:val="center"/>
              <w:rPr>
                <w:sz w:val="22"/>
              </w:rPr>
            </w:pPr>
            <w:r>
              <w:rPr>
                <w:color w:val="221F1F"/>
                <w:spacing w:val="-5"/>
                <w:sz w:val="22"/>
              </w:rPr>
              <w:t>65</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67"/>
              <w:rPr>
                <w:sz w:val="22"/>
              </w:rPr>
            </w:pPr>
          </w:p>
          <w:p>
            <w:pPr>
              <w:pStyle w:val="TableParagraph"/>
              <w:ind w:left="135"/>
              <w:jc w:val="center"/>
              <w:rPr>
                <w:sz w:val="22"/>
              </w:rPr>
            </w:pPr>
            <w:r>
              <w:rPr>
                <w:color w:val="221F1F"/>
                <w:spacing w:val="-5"/>
                <w:sz w:val="22"/>
              </w:rPr>
              <w:t>90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67"/>
              <w:rPr>
                <w:sz w:val="22"/>
              </w:rPr>
            </w:pPr>
          </w:p>
          <w:p>
            <w:pPr>
              <w:pStyle w:val="TableParagraph"/>
              <w:ind w:left="142" w:right="4"/>
              <w:jc w:val="center"/>
              <w:rPr>
                <w:sz w:val="22"/>
              </w:rPr>
            </w:pPr>
            <w:r>
              <w:rPr>
                <w:color w:val="221F1F"/>
                <w:spacing w:val="-5"/>
                <w:sz w:val="22"/>
              </w:rPr>
              <w:t>100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67"/>
              <w:rPr>
                <w:sz w:val="22"/>
              </w:rPr>
            </w:pPr>
          </w:p>
          <w:p>
            <w:pPr>
              <w:pStyle w:val="TableParagraph"/>
              <w:ind w:left="139"/>
              <w:jc w:val="center"/>
              <w:rPr>
                <w:sz w:val="22"/>
              </w:rPr>
            </w:pPr>
            <w:r>
              <w:rPr>
                <w:color w:val="221F1F"/>
                <w:spacing w:val="-5"/>
                <w:sz w:val="22"/>
              </w:rPr>
              <w:t>150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67"/>
              <w:rPr>
                <w:sz w:val="22"/>
              </w:rPr>
            </w:pPr>
          </w:p>
          <w:p>
            <w:pPr>
              <w:pStyle w:val="TableParagraph"/>
              <w:ind w:left="154" w:right="14"/>
              <w:jc w:val="center"/>
              <w:rPr>
                <w:sz w:val="22"/>
              </w:rPr>
            </w:pPr>
            <w:r>
              <w:rPr>
                <w:color w:val="221F1F"/>
                <w:spacing w:val="-5"/>
                <w:sz w:val="22"/>
              </w:rPr>
              <w:t>160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202"/>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60"/>
              <w:ind w:left="194"/>
              <w:rPr>
                <w:sz w:val="22"/>
              </w:rPr>
            </w:pPr>
            <w:r>
              <w:rPr>
                <w:color w:val="221F1F"/>
                <w:w w:val="75"/>
                <w:sz w:val="22"/>
              </w:rPr>
              <w:t>DFM/CEPRIS/</w:t>
            </w:r>
            <w:r>
              <w:rPr>
                <w:color w:val="221F1F"/>
                <w:spacing w:val="17"/>
                <w:sz w:val="22"/>
              </w:rPr>
              <w:t> </w:t>
            </w:r>
            <w:r>
              <w:rPr>
                <w:color w:val="221F1F"/>
                <w:spacing w:val="-5"/>
                <w:w w:val="90"/>
                <w:sz w:val="22"/>
              </w:rPr>
              <w:t>CPS</w:t>
            </w:r>
          </w:p>
        </w:tc>
      </w:tr>
      <w:tr>
        <w:trPr>
          <w:trHeight w:val="899"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2"/>
              <w:ind w:right="21"/>
              <w:jc w:val="right"/>
              <w:rPr>
                <w:b/>
                <w:sz w:val="22"/>
              </w:rPr>
            </w:pPr>
            <w:r>
              <w:rPr>
                <w:b/>
                <w:spacing w:val="-5"/>
                <w:sz w:val="22"/>
              </w:rPr>
              <w:t>27</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62"/>
              <w:ind w:left="98" w:right="-29"/>
              <w:rPr>
                <w:position w:val="6"/>
                <w:sz w:val="14"/>
              </w:rPr>
            </w:pPr>
            <w:r>
              <w:rPr>
                <w:color w:val="221F1F"/>
                <w:w w:val="90"/>
                <w:sz w:val="22"/>
              </w:rPr>
              <w:t>Nombre</w:t>
            </w:r>
            <w:r>
              <w:rPr>
                <w:color w:val="221F1F"/>
                <w:spacing w:val="-9"/>
                <w:w w:val="90"/>
                <w:sz w:val="22"/>
              </w:rPr>
              <w:t> </w:t>
            </w:r>
            <w:r>
              <w:rPr>
                <w:color w:val="221F1F"/>
                <w:w w:val="90"/>
                <w:sz w:val="22"/>
              </w:rPr>
              <w:t>d’hôpitaux</w:t>
            </w:r>
            <w:r>
              <w:rPr>
                <w:color w:val="221F1F"/>
                <w:spacing w:val="-4"/>
                <w:sz w:val="22"/>
              </w:rPr>
              <w:t> </w:t>
            </w:r>
            <w:r>
              <w:rPr>
                <w:w w:val="90"/>
                <w:sz w:val="22"/>
              </w:rPr>
              <w:t>de</w:t>
            </w:r>
            <w:r>
              <w:rPr>
                <w:sz w:val="22"/>
              </w:rPr>
              <w:t> </w:t>
            </w:r>
            <w:r>
              <w:rPr>
                <w:spacing w:val="-4"/>
                <w:w w:val="90"/>
                <w:sz w:val="22"/>
              </w:rPr>
              <w:t>2</w:t>
            </w:r>
            <w:r>
              <w:rPr>
                <w:spacing w:val="-4"/>
                <w:w w:val="90"/>
                <w:position w:val="6"/>
                <w:sz w:val="14"/>
              </w:rPr>
              <w:t>ème</w:t>
            </w:r>
          </w:p>
          <w:p>
            <w:pPr>
              <w:pStyle w:val="TableParagraph"/>
              <w:spacing w:line="280" w:lineRule="atLeast" w:before="1"/>
              <w:ind w:left="98" w:right="-29"/>
              <w:rPr>
                <w:sz w:val="22"/>
              </w:rPr>
            </w:pPr>
            <w:r>
              <w:rPr>
                <w:sz w:val="22"/>
              </w:rPr>
              <w:t>référence</w:t>
            </w:r>
            <w:r>
              <w:rPr>
                <w:spacing w:val="-13"/>
                <w:sz w:val="22"/>
              </w:rPr>
              <w:t> </w:t>
            </w:r>
            <w:r>
              <w:rPr>
                <w:sz w:val="22"/>
              </w:rPr>
              <w:t>construits</w:t>
            </w:r>
            <w:r>
              <w:rPr>
                <w:color w:val="221F1F"/>
                <w:sz w:val="22"/>
              </w:rPr>
              <w:t>/</w:t>
            </w:r>
            <w:r>
              <w:rPr>
                <w:sz w:val="22"/>
              </w:rPr>
              <w:t>mis</w:t>
            </w:r>
            <w:r>
              <w:rPr>
                <w:spacing w:val="-13"/>
                <w:sz w:val="22"/>
              </w:rPr>
              <w:t> </w:t>
            </w:r>
            <w:r>
              <w:rPr>
                <w:sz w:val="22"/>
              </w:rPr>
              <w:t>à niveau et équipés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172"/>
              <w:rPr>
                <w:sz w:val="22"/>
              </w:rPr>
            </w:pPr>
          </w:p>
          <w:p>
            <w:pPr>
              <w:pStyle w:val="TableParagraph"/>
              <w:ind w:left="138"/>
              <w:jc w:val="center"/>
              <w:rPr>
                <w:sz w:val="22"/>
              </w:rPr>
            </w:pPr>
            <w:r>
              <w:rPr>
                <w:color w:val="221F1F"/>
                <w:spacing w:val="-10"/>
                <w:sz w:val="22"/>
              </w:rPr>
              <w:t>-</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72"/>
              <w:rPr>
                <w:sz w:val="22"/>
              </w:rPr>
            </w:pPr>
          </w:p>
          <w:p>
            <w:pPr>
              <w:pStyle w:val="TableParagraph"/>
              <w:ind w:left="135"/>
              <w:jc w:val="center"/>
              <w:rPr>
                <w:sz w:val="22"/>
              </w:rPr>
            </w:pPr>
            <w:r>
              <w:rPr>
                <w:color w:val="221F1F"/>
                <w:spacing w:val="-5"/>
                <w:sz w:val="22"/>
              </w:rPr>
              <w:t>20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72"/>
              <w:rPr>
                <w:sz w:val="22"/>
              </w:rPr>
            </w:pPr>
          </w:p>
          <w:p>
            <w:pPr>
              <w:pStyle w:val="TableParagraph"/>
              <w:ind w:left="142" w:right="7"/>
              <w:jc w:val="center"/>
              <w:rPr>
                <w:sz w:val="22"/>
              </w:rPr>
            </w:pPr>
            <w:r>
              <w:rPr>
                <w:color w:val="221F1F"/>
                <w:spacing w:val="-5"/>
                <w:sz w:val="22"/>
              </w:rPr>
              <w:t>20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72"/>
              <w:rPr>
                <w:sz w:val="22"/>
              </w:rPr>
            </w:pPr>
          </w:p>
          <w:p>
            <w:pPr>
              <w:pStyle w:val="TableParagraph"/>
              <w:ind w:left="136"/>
              <w:jc w:val="center"/>
              <w:rPr>
                <w:sz w:val="22"/>
              </w:rPr>
            </w:pPr>
            <w:r>
              <w:rPr>
                <w:color w:val="221F1F"/>
                <w:spacing w:val="-5"/>
                <w:sz w:val="22"/>
              </w:rPr>
              <w:t>20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72"/>
              <w:rPr>
                <w:sz w:val="22"/>
              </w:rPr>
            </w:pPr>
          </w:p>
          <w:p>
            <w:pPr>
              <w:pStyle w:val="TableParagraph"/>
              <w:ind w:left="154" w:right="12"/>
              <w:jc w:val="center"/>
              <w:rPr>
                <w:sz w:val="22"/>
              </w:rPr>
            </w:pPr>
            <w:r>
              <w:rPr>
                <w:color w:val="221F1F"/>
                <w:spacing w:val="-5"/>
                <w:sz w:val="22"/>
              </w:rPr>
              <w:t>20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201"/>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62"/>
              <w:ind w:left="194"/>
              <w:rPr>
                <w:sz w:val="22"/>
              </w:rPr>
            </w:pPr>
            <w:r>
              <w:rPr>
                <w:color w:val="221F1F"/>
                <w:w w:val="85"/>
                <w:sz w:val="22"/>
              </w:rPr>
              <w:t>CPS</w:t>
            </w:r>
            <w:r>
              <w:rPr>
                <w:color w:val="221F1F"/>
                <w:spacing w:val="-7"/>
                <w:sz w:val="22"/>
              </w:rPr>
              <w:t> </w:t>
            </w:r>
            <w:r>
              <w:rPr>
                <w:color w:val="221F1F"/>
                <w:spacing w:val="-2"/>
                <w:sz w:val="22"/>
              </w:rPr>
              <w:t>SANTE</w:t>
            </w:r>
          </w:p>
        </w:tc>
      </w:tr>
      <w:tr>
        <w:trPr>
          <w:trHeight w:val="899"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ind w:right="21"/>
              <w:jc w:val="right"/>
              <w:rPr>
                <w:b/>
                <w:sz w:val="22"/>
              </w:rPr>
            </w:pPr>
            <w:r>
              <w:rPr>
                <w:b/>
                <w:spacing w:val="-5"/>
                <w:sz w:val="22"/>
              </w:rPr>
              <w:t>28</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60"/>
              <w:ind w:left="98" w:right="-29"/>
              <w:rPr>
                <w:position w:val="6"/>
                <w:sz w:val="14"/>
              </w:rPr>
            </w:pPr>
            <w:r>
              <w:rPr>
                <w:color w:val="221F1F"/>
                <w:w w:val="90"/>
                <w:sz w:val="22"/>
              </w:rPr>
              <w:t>Nombre</w:t>
            </w:r>
            <w:r>
              <w:rPr>
                <w:color w:val="221F1F"/>
                <w:spacing w:val="-9"/>
                <w:w w:val="90"/>
                <w:sz w:val="22"/>
              </w:rPr>
              <w:t> </w:t>
            </w:r>
            <w:r>
              <w:rPr>
                <w:color w:val="221F1F"/>
                <w:w w:val="90"/>
                <w:sz w:val="22"/>
              </w:rPr>
              <w:t>d’hôpitaux</w:t>
            </w:r>
            <w:r>
              <w:rPr>
                <w:color w:val="221F1F"/>
                <w:spacing w:val="-4"/>
                <w:sz w:val="22"/>
              </w:rPr>
              <w:t> </w:t>
            </w:r>
            <w:r>
              <w:rPr>
                <w:w w:val="90"/>
                <w:sz w:val="22"/>
              </w:rPr>
              <w:t>de</w:t>
            </w:r>
            <w:r>
              <w:rPr>
                <w:sz w:val="22"/>
              </w:rPr>
              <w:t> </w:t>
            </w:r>
            <w:r>
              <w:rPr>
                <w:spacing w:val="-4"/>
                <w:w w:val="90"/>
                <w:sz w:val="22"/>
              </w:rPr>
              <w:t>3</w:t>
            </w:r>
            <w:r>
              <w:rPr>
                <w:spacing w:val="-4"/>
                <w:w w:val="90"/>
                <w:position w:val="6"/>
                <w:sz w:val="14"/>
              </w:rPr>
              <w:t>ème</w:t>
            </w:r>
          </w:p>
          <w:p>
            <w:pPr>
              <w:pStyle w:val="TableParagraph"/>
              <w:spacing w:line="280" w:lineRule="atLeast" w:before="3"/>
              <w:ind w:left="98" w:right="-29"/>
              <w:rPr>
                <w:sz w:val="22"/>
              </w:rPr>
            </w:pPr>
            <w:r>
              <w:rPr>
                <w:sz w:val="22"/>
              </w:rPr>
              <w:t>référence</w:t>
            </w:r>
            <w:r>
              <w:rPr>
                <w:spacing w:val="-13"/>
                <w:sz w:val="22"/>
              </w:rPr>
              <w:t> </w:t>
            </w:r>
            <w:r>
              <w:rPr>
                <w:sz w:val="22"/>
              </w:rPr>
              <w:t>construits</w:t>
            </w:r>
            <w:r>
              <w:rPr>
                <w:color w:val="221F1F"/>
                <w:sz w:val="22"/>
              </w:rPr>
              <w:t>/</w:t>
            </w:r>
            <w:r>
              <w:rPr>
                <w:sz w:val="22"/>
              </w:rPr>
              <w:t>mis</w:t>
            </w:r>
            <w:r>
              <w:rPr>
                <w:spacing w:val="-13"/>
                <w:sz w:val="22"/>
              </w:rPr>
              <w:t> </w:t>
            </w:r>
            <w:r>
              <w:rPr>
                <w:sz w:val="22"/>
              </w:rPr>
              <w:t>à niveau et équipés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spacing w:before="47"/>
              <w:rPr>
                <w:sz w:val="22"/>
              </w:rPr>
            </w:pPr>
          </w:p>
          <w:p>
            <w:pPr>
              <w:pStyle w:val="TableParagraph"/>
              <w:ind w:left="133"/>
              <w:jc w:val="center"/>
              <w:rPr>
                <w:sz w:val="22"/>
              </w:rPr>
            </w:pPr>
            <w:r>
              <w:rPr>
                <w:color w:val="221F1F"/>
                <w:spacing w:val="-5"/>
                <w:sz w:val="22"/>
              </w:rPr>
              <w:t>10</w:t>
            </w: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72"/>
              <w:rPr>
                <w:sz w:val="22"/>
              </w:rPr>
            </w:pPr>
          </w:p>
          <w:p>
            <w:pPr>
              <w:pStyle w:val="TableParagraph"/>
              <w:ind w:left="135"/>
              <w:jc w:val="center"/>
              <w:rPr>
                <w:sz w:val="22"/>
              </w:rPr>
            </w:pPr>
            <w:r>
              <w:rPr>
                <w:color w:val="221F1F"/>
                <w:spacing w:val="-5"/>
                <w:sz w:val="22"/>
              </w:rPr>
              <w:t>19</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72"/>
              <w:rPr>
                <w:sz w:val="22"/>
              </w:rPr>
            </w:pPr>
          </w:p>
          <w:p>
            <w:pPr>
              <w:pStyle w:val="TableParagraph"/>
              <w:ind w:left="142" w:right="7"/>
              <w:jc w:val="center"/>
              <w:rPr>
                <w:sz w:val="22"/>
              </w:rPr>
            </w:pPr>
            <w:r>
              <w:rPr>
                <w:color w:val="221F1F"/>
                <w:spacing w:val="-5"/>
                <w:sz w:val="22"/>
              </w:rPr>
              <w:t>28</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72"/>
              <w:rPr>
                <w:sz w:val="22"/>
              </w:rPr>
            </w:pPr>
          </w:p>
          <w:p>
            <w:pPr>
              <w:pStyle w:val="TableParagraph"/>
              <w:ind w:left="136"/>
              <w:jc w:val="center"/>
              <w:rPr>
                <w:sz w:val="22"/>
              </w:rPr>
            </w:pPr>
            <w:r>
              <w:rPr>
                <w:color w:val="221F1F"/>
                <w:spacing w:val="-5"/>
                <w:sz w:val="22"/>
              </w:rPr>
              <w:t>37</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72"/>
              <w:rPr>
                <w:sz w:val="22"/>
              </w:rPr>
            </w:pPr>
          </w:p>
          <w:p>
            <w:pPr>
              <w:pStyle w:val="TableParagraph"/>
              <w:ind w:left="154" w:right="12"/>
              <w:jc w:val="center"/>
              <w:rPr>
                <w:sz w:val="22"/>
              </w:rPr>
            </w:pPr>
            <w:r>
              <w:rPr>
                <w:color w:val="221F1F"/>
                <w:spacing w:val="-5"/>
                <w:sz w:val="22"/>
              </w:rPr>
              <w:t>46</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201"/>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60"/>
              <w:ind w:left="194"/>
              <w:rPr>
                <w:sz w:val="22"/>
              </w:rPr>
            </w:pPr>
            <w:r>
              <w:rPr>
                <w:color w:val="221F1F"/>
                <w:w w:val="85"/>
                <w:sz w:val="22"/>
              </w:rPr>
              <w:t>CPS</w:t>
            </w:r>
            <w:r>
              <w:rPr>
                <w:color w:val="221F1F"/>
                <w:spacing w:val="-7"/>
                <w:sz w:val="22"/>
              </w:rPr>
              <w:t> </w:t>
            </w:r>
            <w:r>
              <w:rPr>
                <w:color w:val="221F1F"/>
                <w:spacing w:val="-2"/>
                <w:sz w:val="22"/>
              </w:rPr>
              <w:t>SANTE</w:t>
            </w:r>
          </w:p>
        </w:tc>
      </w:tr>
      <w:tr>
        <w:trPr>
          <w:trHeight w:val="896"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ind w:right="21"/>
              <w:jc w:val="right"/>
              <w:rPr>
                <w:b/>
                <w:sz w:val="22"/>
              </w:rPr>
            </w:pPr>
            <w:r>
              <w:rPr>
                <w:b/>
                <w:spacing w:val="-5"/>
                <w:sz w:val="22"/>
              </w:rPr>
              <w:t>29</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32"/>
              <w:ind w:left="98" w:right="-29"/>
              <w:rPr>
                <w:sz w:val="22"/>
              </w:rPr>
            </w:pPr>
            <w:r>
              <w:rPr>
                <w:color w:val="221F1F"/>
                <w:spacing w:val="-4"/>
                <w:sz w:val="22"/>
              </w:rPr>
              <w:t>Nombre</w:t>
            </w:r>
            <w:r>
              <w:rPr>
                <w:color w:val="221F1F"/>
                <w:spacing w:val="-14"/>
                <w:sz w:val="22"/>
              </w:rPr>
              <w:t> </w:t>
            </w:r>
            <w:r>
              <w:rPr>
                <w:color w:val="221F1F"/>
                <w:spacing w:val="-4"/>
                <w:sz w:val="22"/>
              </w:rPr>
              <w:t>d’hôpitaux</w:t>
            </w:r>
            <w:r>
              <w:rPr>
                <w:color w:val="221F1F"/>
                <w:spacing w:val="-9"/>
                <w:sz w:val="22"/>
              </w:rPr>
              <w:t> </w:t>
            </w:r>
            <w:r>
              <w:rPr>
                <w:spacing w:val="-4"/>
                <w:sz w:val="22"/>
              </w:rPr>
              <w:t>de</w:t>
            </w:r>
            <w:r>
              <w:rPr>
                <w:spacing w:val="-7"/>
                <w:sz w:val="22"/>
              </w:rPr>
              <w:t> </w:t>
            </w:r>
            <w:r>
              <w:rPr>
                <w:spacing w:val="-4"/>
                <w:sz w:val="22"/>
              </w:rPr>
              <w:t>4</w:t>
            </w:r>
            <w:r>
              <w:rPr>
                <w:spacing w:val="-4"/>
                <w:position w:val="6"/>
                <w:sz w:val="14"/>
              </w:rPr>
              <w:t>ème</w:t>
            </w:r>
            <w:r>
              <w:rPr>
                <w:spacing w:val="40"/>
                <w:position w:val="6"/>
                <w:sz w:val="14"/>
              </w:rPr>
              <w:t> </w:t>
            </w:r>
            <w:r>
              <w:rPr>
                <w:sz w:val="22"/>
              </w:rPr>
              <w:t>référence</w:t>
            </w:r>
            <w:r>
              <w:rPr>
                <w:spacing w:val="-13"/>
                <w:sz w:val="22"/>
              </w:rPr>
              <w:t> </w:t>
            </w:r>
            <w:r>
              <w:rPr>
                <w:sz w:val="22"/>
              </w:rPr>
              <w:t>construits</w:t>
            </w:r>
            <w:r>
              <w:rPr>
                <w:color w:val="221F1F"/>
                <w:sz w:val="22"/>
              </w:rPr>
              <w:t>/</w:t>
            </w:r>
            <w:r>
              <w:rPr>
                <w:sz w:val="22"/>
              </w:rPr>
              <w:t>mis</w:t>
            </w:r>
            <w:r>
              <w:rPr>
                <w:spacing w:val="-13"/>
                <w:sz w:val="22"/>
              </w:rPr>
              <w:t> </w:t>
            </w:r>
            <w:r>
              <w:rPr>
                <w:sz w:val="22"/>
              </w:rPr>
              <w:t>à niveau et équipés de</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20"/>
              </w:rPr>
            </w:pP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169"/>
              <w:rPr>
                <w:sz w:val="22"/>
              </w:rPr>
            </w:pPr>
          </w:p>
          <w:p>
            <w:pPr>
              <w:pStyle w:val="TableParagraph"/>
              <w:spacing w:before="1"/>
              <w:ind w:left="142"/>
              <w:jc w:val="center"/>
              <w:rPr>
                <w:sz w:val="22"/>
              </w:rPr>
            </w:pPr>
            <w:r>
              <w:rPr>
                <w:color w:val="221F1F"/>
                <w:spacing w:val="-10"/>
                <w:sz w:val="22"/>
              </w:rPr>
              <w:t>2</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169"/>
              <w:rPr>
                <w:sz w:val="22"/>
              </w:rPr>
            </w:pPr>
          </w:p>
          <w:p>
            <w:pPr>
              <w:pStyle w:val="TableParagraph"/>
              <w:spacing w:before="1"/>
              <w:ind w:left="142"/>
              <w:jc w:val="center"/>
              <w:rPr>
                <w:sz w:val="22"/>
              </w:rPr>
            </w:pPr>
            <w:r>
              <w:rPr>
                <w:color w:val="221F1F"/>
                <w:spacing w:val="-10"/>
                <w:sz w:val="22"/>
              </w:rPr>
              <w:t>3</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169"/>
              <w:rPr>
                <w:sz w:val="22"/>
              </w:rPr>
            </w:pPr>
          </w:p>
          <w:p>
            <w:pPr>
              <w:pStyle w:val="TableParagraph"/>
              <w:spacing w:before="1"/>
              <w:ind w:left="143"/>
              <w:jc w:val="center"/>
              <w:rPr>
                <w:sz w:val="22"/>
              </w:rPr>
            </w:pPr>
            <w:r>
              <w:rPr>
                <w:color w:val="221F1F"/>
                <w:spacing w:val="-10"/>
                <w:sz w:val="22"/>
              </w:rPr>
              <w:t>4</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169"/>
              <w:rPr>
                <w:sz w:val="22"/>
              </w:rPr>
            </w:pPr>
          </w:p>
          <w:p>
            <w:pPr>
              <w:pStyle w:val="TableParagraph"/>
              <w:spacing w:before="1"/>
              <w:ind w:left="154" w:right="5"/>
              <w:jc w:val="center"/>
              <w:rPr>
                <w:sz w:val="22"/>
              </w:rPr>
            </w:pPr>
            <w:r>
              <w:rPr>
                <w:color w:val="221F1F"/>
                <w:spacing w:val="-10"/>
                <w:sz w:val="22"/>
              </w:rPr>
              <w:t>5</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201"/>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60"/>
              <w:ind w:left="194"/>
              <w:rPr>
                <w:sz w:val="22"/>
              </w:rPr>
            </w:pPr>
            <w:r>
              <w:rPr>
                <w:color w:val="221F1F"/>
                <w:w w:val="85"/>
                <w:sz w:val="22"/>
              </w:rPr>
              <w:t>CPS</w:t>
            </w:r>
            <w:r>
              <w:rPr>
                <w:color w:val="221F1F"/>
                <w:spacing w:val="-7"/>
                <w:sz w:val="22"/>
              </w:rPr>
              <w:t> </w:t>
            </w:r>
            <w:r>
              <w:rPr>
                <w:color w:val="221F1F"/>
                <w:spacing w:val="-2"/>
                <w:sz w:val="22"/>
              </w:rPr>
              <w:t>SANTE</w:t>
            </w:r>
          </w:p>
        </w:tc>
      </w:tr>
      <w:tr>
        <w:trPr>
          <w:trHeight w:val="618"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2"/>
              <w:ind w:left="23"/>
              <w:rPr>
                <w:b/>
                <w:sz w:val="22"/>
              </w:rPr>
            </w:pPr>
            <w:r>
              <w:rPr>
                <w:b/>
                <w:spacing w:val="-5"/>
                <w:sz w:val="22"/>
              </w:rPr>
              <w:t>30</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35"/>
              <w:ind w:left="98"/>
              <w:rPr>
                <w:sz w:val="22"/>
              </w:rPr>
            </w:pPr>
            <w:r>
              <w:rPr>
                <w:sz w:val="22"/>
              </w:rPr>
              <w:t>Construction</w:t>
            </w:r>
            <w:r>
              <w:rPr>
                <w:spacing w:val="-13"/>
                <w:sz w:val="22"/>
              </w:rPr>
              <w:t> </w:t>
            </w:r>
            <w:r>
              <w:rPr>
                <w:sz w:val="22"/>
              </w:rPr>
              <w:t>de</w:t>
            </w:r>
            <w:r>
              <w:rPr>
                <w:spacing w:val="-13"/>
                <w:sz w:val="22"/>
              </w:rPr>
              <w:t> </w:t>
            </w:r>
            <w:r>
              <w:rPr>
                <w:sz w:val="22"/>
              </w:rPr>
              <w:t>sociétés </w:t>
            </w:r>
            <w:r>
              <w:rPr>
                <w:spacing w:val="-2"/>
                <w:sz w:val="22"/>
              </w:rPr>
              <w:t>minières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20"/>
              </w:rPr>
            </w:pP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35"/>
              <w:jc w:val="center"/>
              <w:rPr>
                <w:sz w:val="22"/>
              </w:rPr>
            </w:pPr>
            <w:r>
              <w:rPr>
                <w:color w:val="221F1F"/>
                <w:spacing w:val="-5"/>
                <w:sz w:val="22"/>
              </w:rPr>
              <w:t>12</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42"/>
              <w:jc w:val="center"/>
              <w:rPr>
                <w:sz w:val="22"/>
              </w:rPr>
            </w:pPr>
            <w:r>
              <w:rPr>
                <w:color w:val="221F1F"/>
                <w:spacing w:val="-10"/>
                <w:sz w:val="22"/>
              </w:rPr>
              <w:t>3</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43"/>
              <w:jc w:val="center"/>
              <w:rPr>
                <w:sz w:val="22"/>
              </w:rPr>
            </w:pPr>
            <w:r>
              <w:rPr>
                <w:color w:val="221F1F"/>
                <w:spacing w:val="-10"/>
                <w:sz w:val="22"/>
              </w:rPr>
              <w:t>3</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54" w:right="5"/>
              <w:jc w:val="center"/>
              <w:rPr>
                <w:sz w:val="22"/>
              </w:rPr>
            </w:pPr>
            <w:r>
              <w:rPr>
                <w:color w:val="221F1F"/>
                <w:spacing w:val="-10"/>
                <w:sz w:val="22"/>
              </w:rPr>
              <w:t>3</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202"/>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62"/>
              <w:ind w:left="26"/>
              <w:rPr>
                <w:sz w:val="22"/>
              </w:rPr>
            </w:pPr>
            <w:r>
              <w:rPr>
                <w:color w:val="221F1F"/>
                <w:spacing w:val="-2"/>
                <w:sz w:val="22"/>
              </w:rPr>
              <w:t>MIC/MM</w:t>
            </w:r>
          </w:p>
        </w:tc>
      </w:tr>
      <w:tr>
        <w:trPr>
          <w:trHeight w:val="618"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2"/>
              <w:ind w:left="23"/>
              <w:rPr>
                <w:b/>
                <w:sz w:val="22"/>
              </w:rPr>
            </w:pPr>
            <w:r>
              <w:rPr>
                <w:b/>
                <w:spacing w:val="-5"/>
                <w:sz w:val="22"/>
              </w:rPr>
              <w:t>31</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34"/>
              <w:ind w:left="98" w:right="672"/>
              <w:rPr>
                <w:sz w:val="22"/>
              </w:rPr>
            </w:pPr>
            <w:r>
              <w:rPr>
                <w:sz w:val="22"/>
              </w:rPr>
              <w:t>Constructions</w:t>
            </w:r>
            <w:r>
              <w:rPr>
                <w:spacing w:val="-13"/>
                <w:sz w:val="22"/>
              </w:rPr>
              <w:t> </w:t>
            </w:r>
            <w:r>
              <w:rPr>
                <w:sz w:val="22"/>
              </w:rPr>
              <w:t>de </w:t>
            </w:r>
            <w:r>
              <w:rPr>
                <w:spacing w:val="-2"/>
                <w:sz w:val="22"/>
              </w:rPr>
              <w:t>Cimenterie</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20"/>
              </w:rPr>
            </w:pP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42"/>
              <w:jc w:val="center"/>
              <w:rPr>
                <w:sz w:val="22"/>
              </w:rPr>
            </w:pPr>
            <w:r>
              <w:rPr>
                <w:color w:val="221F1F"/>
                <w:spacing w:val="-10"/>
                <w:sz w:val="22"/>
              </w:rPr>
              <w:t>4</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42"/>
              <w:jc w:val="center"/>
              <w:rPr>
                <w:sz w:val="22"/>
              </w:rPr>
            </w:pPr>
            <w:r>
              <w:rPr>
                <w:color w:val="221F1F"/>
                <w:spacing w:val="-10"/>
                <w:sz w:val="22"/>
              </w:rPr>
              <w:t>1</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43"/>
              <w:jc w:val="center"/>
              <w:rPr>
                <w:sz w:val="22"/>
              </w:rPr>
            </w:pPr>
            <w:r>
              <w:rPr>
                <w:color w:val="221F1F"/>
                <w:spacing w:val="-10"/>
                <w:sz w:val="22"/>
              </w:rPr>
              <w:t>1</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54" w:right="5"/>
              <w:jc w:val="center"/>
              <w:rPr>
                <w:sz w:val="22"/>
              </w:rPr>
            </w:pPr>
            <w:r>
              <w:rPr>
                <w:color w:val="221F1F"/>
                <w:spacing w:val="-10"/>
                <w:sz w:val="22"/>
              </w:rPr>
              <w:t>2</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201"/>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62"/>
              <w:ind w:left="194"/>
              <w:rPr>
                <w:sz w:val="22"/>
              </w:rPr>
            </w:pPr>
            <w:r>
              <w:rPr>
                <w:color w:val="221F1F"/>
                <w:spacing w:val="-2"/>
                <w:sz w:val="22"/>
              </w:rPr>
              <w:t>MIC/MM</w:t>
            </w:r>
          </w:p>
        </w:tc>
      </w:tr>
      <w:tr>
        <w:trPr>
          <w:trHeight w:val="620" w:hRule="atLeast"/>
        </w:trPr>
        <w:tc>
          <w:tcPr>
            <w:tcW w:w="362" w:type="dxa"/>
            <w:tcBorders>
              <w:top w:val="single" w:sz="8" w:space="0" w:color="221F1F"/>
              <w:bottom w:val="single" w:sz="8" w:space="0" w:color="221F1F"/>
              <w:right w:val="single" w:sz="8" w:space="0" w:color="221F1F"/>
            </w:tcBorders>
            <w:shd w:val="clear" w:color="auto" w:fill="BED7EB"/>
          </w:tcPr>
          <w:p>
            <w:pPr>
              <w:pStyle w:val="TableParagraph"/>
              <w:spacing w:before="2"/>
              <w:ind w:left="23"/>
              <w:rPr>
                <w:b/>
                <w:sz w:val="22"/>
              </w:rPr>
            </w:pPr>
            <w:r>
              <w:rPr>
                <w:b/>
                <w:spacing w:val="-5"/>
                <w:sz w:val="22"/>
              </w:rPr>
              <w:t>32</w:t>
            </w:r>
          </w:p>
        </w:tc>
        <w:tc>
          <w:tcPr>
            <w:tcW w:w="2151" w:type="dxa"/>
            <w:tcBorders>
              <w:top w:val="single" w:sz="8" w:space="0" w:color="221F1F"/>
              <w:left w:val="single" w:sz="8" w:space="0" w:color="221F1F"/>
              <w:bottom w:val="single" w:sz="8" w:space="0" w:color="221F1F"/>
              <w:right w:val="single" w:sz="8" w:space="0" w:color="221F1F"/>
            </w:tcBorders>
          </w:tcPr>
          <w:p>
            <w:pPr>
              <w:pStyle w:val="TableParagraph"/>
              <w:spacing w:before="62"/>
              <w:ind w:left="98"/>
              <w:rPr>
                <w:sz w:val="22"/>
              </w:rPr>
            </w:pPr>
            <w:r>
              <w:rPr>
                <w:sz w:val="22"/>
              </w:rPr>
              <w:t>Constructions</w:t>
            </w:r>
            <w:r>
              <w:rPr>
                <w:spacing w:val="-10"/>
                <w:sz w:val="22"/>
              </w:rPr>
              <w:t> </w:t>
            </w:r>
            <w:r>
              <w:rPr>
                <w:spacing w:val="-2"/>
                <w:sz w:val="22"/>
              </w:rPr>
              <w:t>d’unités</w:t>
            </w:r>
          </w:p>
          <w:p>
            <w:pPr>
              <w:pStyle w:val="TableParagraph"/>
              <w:spacing w:before="28"/>
              <w:ind w:left="98"/>
              <w:rPr>
                <w:sz w:val="22"/>
              </w:rPr>
            </w:pPr>
            <w:r>
              <w:rPr>
                <w:spacing w:val="-2"/>
                <w:sz w:val="22"/>
              </w:rPr>
              <w:t>industrielles</w:t>
            </w:r>
          </w:p>
        </w:tc>
        <w:tc>
          <w:tcPr>
            <w:tcW w:w="890"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20"/>
              </w:rPr>
            </w:pPr>
          </w:p>
        </w:tc>
        <w:tc>
          <w:tcPr>
            <w:tcW w:w="768"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35"/>
              <w:jc w:val="center"/>
              <w:rPr>
                <w:sz w:val="22"/>
              </w:rPr>
            </w:pPr>
            <w:r>
              <w:rPr>
                <w:color w:val="221F1F"/>
                <w:spacing w:val="-5"/>
                <w:sz w:val="22"/>
              </w:rPr>
              <w:t>30</w:t>
            </w:r>
          </w:p>
        </w:tc>
        <w:tc>
          <w:tcPr>
            <w:tcW w:w="725"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42" w:right="7"/>
              <w:jc w:val="center"/>
              <w:rPr>
                <w:sz w:val="22"/>
              </w:rPr>
            </w:pPr>
            <w:r>
              <w:rPr>
                <w:color w:val="221F1F"/>
                <w:spacing w:val="-5"/>
                <w:sz w:val="22"/>
              </w:rPr>
              <w:t>30</w:t>
            </w:r>
          </w:p>
        </w:tc>
        <w:tc>
          <w:tcPr>
            <w:tcW w:w="777"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36"/>
              <w:jc w:val="center"/>
              <w:rPr>
                <w:sz w:val="22"/>
              </w:rPr>
            </w:pPr>
            <w:r>
              <w:rPr>
                <w:color w:val="221F1F"/>
                <w:spacing w:val="-5"/>
                <w:sz w:val="22"/>
              </w:rPr>
              <w:t>50</w:t>
            </w:r>
          </w:p>
        </w:tc>
        <w:tc>
          <w:tcPr>
            <w:tcW w:w="806" w:type="dxa"/>
            <w:tcBorders>
              <w:top w:val="single" w:sz="8" w:space="0" w:color="221F1F"/>
              <w:left w:val="single" w:sz="8" w:space="0" w:color="221F1F"/>
              <w:bottom w:val="single" w:sz="8" w:space="0" w:color="221F1F"/>
              <w:right w:val="single" w:sz="8" w:space="0" w:color="221F1F"/>
            </w:tcBorders>
          </w:tcPr>
          <w:p>
            <w:pPr>
              <w:pStyle w:val="TableParagraph"/>
              <w:spacing w:before="33"/>
              <w:rPr>
                <w:sz w:val="22"/>
              </w:rPr>
            </w:pPr>
          </w:p>
          <w:p>
            <w:pPr>
              <w:pStyle w:val="TableParagraph"/>
              <w:ind w:left="154" w:right="12"/>
              <w:jc w:val="center"/>
              <w:rPr>
                <w:sz w:val="22"/>
              </w:rPr>
            </w:pPr>
            <w:r>
              <w:rPr>
                <w:color w:val="221F1F"/>
                <w:spacing w:val="-5"/>
                <w:sz w:val="22"/>
              </w:rPr>
              <w:t>50</w:t>
            </w:r>
          </w:p>
        </w:tc>
        <w:tc>
          <w:tcPr>
            <w:tcW w:w="1224" w:type="dxa"/>
            <w:tcBorders>
              <w:top w:val="single" w:sz="8" w:space="0" w:color="221F1F"/>
              <w:left w:val="single" w:sz="8" w:space="0" w:color="221F1F"/>
              <w:bottom w:val="single" w:sz="8" w:space="0" w:color="221F1F"/>
              <w:right w:val="single" w:sz="8" w:space="0" w:color="221F1F"/>
            </w:tcBorders>
          </w:tcPr>
          <w:p>
            <w:pPr>
              <w:pStyle w:val="TableParagraph"/>
              <w:spacing w:before="201"/>
              <w:ind w:left="143"/>
              <w:jc w:val="center"/>
              <w:rPr>
                <w:sz w:val="22"/>
              </w:rPr>
            </w:pPr>
            <w:r>
              <w:rPr>
                <w:color w:val="221F1F"/>
                <w:spacing w:val="-2"/>
                <w:sz w:val="22"/>
              </w:rPr>
              <w:t>Rapport</w:t>
            </w:r>
          </w:p>
        </w:tc>
        <w:tc>
          <w:tcPr>
            <w:tcW w:w="1557" w:type="dxa"/>
            <w:tcBorders>
              <w:top w:val="single" w:sz="8" w:space="0" w:color="221F1F"/>
              <w:left w:val="single" w:sz="8" w:space="0" w:color="221F1F"/>
              <w:bottom w:val="single" w:sz="8" w:space="0" w:color="221F1F"/>
            </w:tcBorders>
          </w:tcPr>
          <w:p>
            <w:pPr>
              <w:pStyle w:val="TableParagraph"/>
              <w:spacing w:before="62"/>
              <w:ind w:left="194"/>
              <w:rPr>
                <w:sz w:val="22"/>
              </w:rPr>
            </w:pPr>
            <w:r>
              <w:rPr>
                <w:color w:val="221F1F"/>
                <w:spacing w:val="-5"/>
                <w:sz w:val="22"/>
              </w:rPr>
              <w:t>MIC</w:t>
            </w:r>
          </w:p>
        </w:tc>
      </w:tr>
    </w:tbl>
    <w:p>
      <w:pPr>
        <w:pStyle w:val="BodyText"/>
        <w:spacing w:before="20"/>
        <w:ind w:left="0" w:firstLine="0"/>
        <w:jc w:val="left"/>
      </w:pPr>
    </w:p>
    <w:p>
      <w:pPr>
        <w:pStyle w:val="Heading3"/>
        <w:numPr>
          <w:ilvl w:val="1"/>
          <w:numId w:val="8"/>
        </w:numPr>
        <w:tabs>
          <w:tab w:pos="1516" w:val="left" w:leader="none"/>
        </w:tabs>
        <w:spacing w:line="240" w:lineRule="auto" w:before="0" w:after="0"/>
        <w:ind w:left="1516" w:right="0" w:hanging="383"/>
        <w:jc w:val="left"/>
      </w:pPr>
      <w:bookmarkStart w:name="_bookmark16" w:id="17"/>
      <w:bookmarkEnd w:id="17"/>
      <w:r>
        <w:rPr>
          <w:b w:val="0"/>
        </w:rPr>
      </w:r>
      <w:r>
        <w:rPr>
          <w:color w:val="2E5395"/>
        </w:rPr>
        <w:t>Cadre</w:t>
      </w:r>
      <w:r>
        <w:rPr>
          <w:color w:val="2E5395"/>
          <w:spacing w:val="-6"/>
        </w:rPr>
        <w:t> </w:t>
      </w:r>
      <w:r>
        <w:rPr>
          <w:color w:val="2E5395"/>
        </w:rPr>
        <w:t>institutionnel</w:t>
      </w:r>
      <w:r>
        <w:rPr>
          <w:color w:val="2E5395"/>
          <w:spacing w:val="-5"/>
        </w:rPr>
        <w:t> </w:t>
      </w:r>
      <w:r>
        <w:rPr>
          <w:color w:val="2E5395"/>
        </w:rPr>
        <w:t>de</w:t>
      </w:r>
      <w:r>
        <w:rPr>
          <w:color w:val="2E5395"/>
          <w:spacing w:val="-5"/>
        </w:rPr>
        <w:t> </w:t>
      </w:r>
      <w:r>
        <w:rPr>
          <w:color w:val="2E5395"/>
        </w:rPr>
        <w:t>suivi-</w:t>
      </w:r>
      <w:r>
        <w:rPr>
          <w:color w:val="2E5395"/>
          <w:spacing w:val="-2"/>
        </w:rPr>
        <w:t>évaluation</w:t>
      </w:r>
    </w:p>
    <w:p>
      <w:pPr>
        <w:pStyle w:val="ListParagraph"/>
        <w:numPr>
          <w:ilvl w:val="1"/>
          <w:numId w:val="1"/>
        </w:numPr>
        <w:tabs>
          <w:tab w:pos="1491" w:val="left" w:leader="none"/>
          <w:tab w:pos="1493" w:val="left" w:leader="none"/>
        </w:tabs>
        <w:spacing w:line="240" w:lineRule="auto" w:before="207" w:after="0"/>
        <w:ind w:left="1493" w:right="1131" w:hanging="360"/>
        <w:jc w:val="both"/>
        <w:rPr>
          <w:sz w:val="24"/>
        </w:rPr>
      </w:pPr>
      <w:r>
        <w:rPr>
          <w:sz w:val="24"/>
        </w:rPr>
        <w:t>La prise en charge des fonctions de prospective et de planification stratégique requiert un leadership élevé comme cela est ressorti des recommandations du Dialogue Inter-maliens, à travers la mise en place d’un organe de prospective et d’analyse stratégique rattaché à la Présidence de la République. Dans cette perspective, le dispositif de mise en œuvre et de suivi-évaluation de la Vision Mali 2063 pourrait être articulé autour d’une instance d’orientation politique et d’un organe de pilotage stratégique. Il s’agit du Conseil Supérieur de la Vision Mali 2063 chargé d’adopter les orientations globales en matière de prospective et du Secrétariat Exécutif National dont la mission sera d’assurer la coordination du suivi et l’évaluation de la Vision.</w:t>
      </w:r>
    </w:p>
    <w:p>
      <w:pPr>
        <w:pStyle w:val="ListParagraph"/>
        <w:spacing w:after="0" w:line="240" w:lineRule="auto"/>
        <w:jc w:val="both"/>
        <w:rPr>
          <w:sz w:val="24"/>
        </w:rPr>
        <w:sectPr>
          <w:type w:val="continuous"/>
          <w:pgSz w:w="11910" w:h="16840"/>
          <w:pgMar w:header="0" w:footer="680" w:top="1380" w:bottom="880" w:left="283" w:right="141"/>
        </w:sectPr>
      </w:pPr>
    </w:p>
    <w:p>
      <w:pPr>
        <w:pStyle w:val="Heading1"/>
        <w:numPr>
          <w:ilvl w:val="0"/>
          <w:numId w:val="6"/>
        </w:numPr>
        <w:tabs>
          <w:tab w:pos="1578" w:val="left" w:leader="none"/>
        </w:tabs>
        <w:spacing w:line="240" w:lineRule="auto" w:before="82" w:after="0"/>
        <w:ind w:left="1578" w:right="0" w:hanging="445"/>
        <w:jc w:val="left"/>
      </w:pPr>
      <w:bookmarkStart w:name="_bookmark17" w:id="18"/>
      <w:bookmarkEnd w:id="18"/>
      <w:r>
        <w:rPr>
          <w:b w:val="0"/>
        </w:rPr>
      </w:r>
      <w:r>
        <w:rPr/>
        <w:t>STRATEGIE</w:t>
      </w:r>
      <w:r>
        <w:rPr>
          <w:spacing w:val="27"/>
        </w:rPr>
        <w:t>  </w:t>
      </w:r>
      <w:r>
        <w:rPr/>
        <w:t>NATIONALE</w:t>
      </w:r>
      <w:r>
        <w:rPr>
          <w:spacing w:val="28"/>
        </w:rPr>
        <w:t>  </w:t>
      </w:r>
      <w:r>
        <w:rPr/>
        <w:t>POUR</w:t>
      </w:r>
      <w:r>
        <w:rPr>
          <w:spacing w:val="26"/>
        </w:rPr>
        <w:t>  </w:t>
      </w:r>
      <w:r>
        <w:rPr/>
        <w:t>L’EMERGENCE</w:t>
      </w:r>
      <w:r>
        <w:rPr>
          <w:spacing w:val="27"/>
        </w:rPr>
        <w:t>  </w:t>
      </w:r>
      <w:r>
        <w:rPr/>
        <w:t>ET</w:t>
      </w:r>
      <w:r>
        <w:rPr>
          <w:spacing w:val="27"/>
        </w:rPr>
        <w:t>  </w:t>
      </w:r>
      <w:r>
        <w:rPr/>
        <w:t>LE</w:t>
      </w:r>
      <w:r>
        <w:rPr>
          <w:spacing w:val="27"/>
        </w:rPr>
        <w:t>  </w:t>
      </w:r>
      <w:r>
        <w:rPr>
          <w:spacing w:val="-2"/>
        </w:rPr>
        <w:t>DEVELOPPEMENT</w:t>
      </w:r>
    </w:p>
    <w:p>
      <w:pPr>
        <w:spacing w:before="0"/>
        <w:ind w:left="1133" w:right="0" w:firstLine="0"/>
        <w:jc w:val="left"/>
        <w:rPr>
          <w:b/>
          <w:sz w:val="28"/>
        </w:rPr>
      </w:pPr>
      <w:r>
        <w:rPr>
          <w:b/>
          <w:sz w:val="28"/>
        </w:rPr>
        <w:t>DURABLE</w:t>
      </w:r>
      <w:r>
        <w:rPr>
          <w:b/>
          <w:spacing w:val="-5"/>
          <w:sz w:val="28"/>
        </w:rPr>
        <w:t> </w:t>
      </w:r>
      <w:r>
        <w:rPr>
          <w:b/>
          <w:spacing w:val="-2"/>
          <w:sz w:val="28"/>
        </w:rPr>
        <w:t>(SNEDD)</w:t>
      </w:r>
    </w:p>
    <w:p>
      <w:pPr>
        <w:pStyle w:val="Heading3"/>
        <w:numPr>
          <w:ilvl w:val="1"/>
          <w:numId w:val="10"/>
        </w:numPr>
        <w:tabs>
          <w:tab w:pos="1516" w:val="left" w:leader="none"/>
        </w:tabs>
        <w:spacing w:line="240" w:lineRule="auto" w:before="184" w:after="0"/>
        <w:ind w:left="1516" w:right="0" w:hanging="383"/>
        <w:jc w:val="left"/>
      </w:pPr>
      <w:bookmarkStart w:name="_bookmark18" w:id="19"/>
      <w:bookmarkEnd w:id="19"/>
      <w:r>
        <w:rPr>
          <w:b w:val="0"/>
        </w:rPr>
      </w:r>
      <w:r>
        <w:rPr>
          <w:color w:val="2E5395"/>
        </w:rPr>
        <w:t>Les</w:t>
      </w:r>
      <w:r>
        <w:rPr>
          <w:color w:val="2E5395"/>
          <w:spacing w:val="-4"/>
        </w:rPr>
        <w:t> </w:t>
      </w:r>
      <w:r>
        <w:rPr>
          <w:color w:val="2E5395"/>
        </w:rPr>
        <w:t>fondements</w:t>
      </w:r>
      <w:r>
        <w:rPr>
          <w:color w:val="2E5395"/>
          <w:spacing w:val="-3"/>
        </w:rPr>
        <w:t> </w:t>
      </w:r>
      <w:r>
        <w:rPr>
          <w:color w:val="2E5395"/>
        </w:rPr>
        <w:t>de</w:t>
      </w:r>
      <w:r>
        <w:rPr>
          <w:color w:val="2E5395"/>
          <w:spacing w:val="-3"/>
        </w:rPr>
        <w:t> </w:t>
      </w:r>
      <w:r>
        <w:rPr>
          <w:color w:val="2E5395"/>
        </w:rPr>
        <w:t>la</w:t>
      </w:r>
      <w:r>
        <w:rPr>
          <w:color w:val="2E5395"/>
          <w:spacing w:val="-4"/>
        </w:rPr>
        <w:t> </w:t>
      </w:r>
      <w:r>
        <w:rPr>
          <w:color w:val="2E5395"/>
          <w:spacing w:val="-2"/>
        </w:rPr>
        <w:t>stratégie</w:t>
      </w:r>
    </w:p>
    <w:p>
      <w:pPr>
        <w:pStyle w:val="ListParagraph"/>
        <w:numPr>
          <w:ilvl w:val="1"/>
          <w:numId w:val="1"/>
        </w:numPr>
        <w:tabs>
          <w:tab w:pos="1491" w:val="left" w:leader="none"/>
          <w:tab w:pos="1493" w:val="left" w:leader="none"/>
        </w:tabs>
        <w:spacing w:line="240" w:lineRule="auto" w:before="183" w:after="0"/>
        <w:ind w:left="1493" w:right="1127" w:hanging="360"/>
        <w:jc w:val="both"/>
        <w:rPr>
          <w:sz w:val="24"/>
        </w:rPr>
      </w:pPr>
      <w:r>
        <w:rPr>
          <w:sz w:val="24"/>
        </w:rPr>
        <w:t>La Stratégie Nationale pour l’Emergence et le Développement Durable (SNEDD 2024-2033) vise principalement à renforcer l’agenda des réformes structurelles contenues dans le Cadre Stratégique de la Refondation de l’Etat (CSRE 2023-2031), pour contribuer à la consolidation des fondements de la stabilité macroéconomique et installer l’économie sur une trajectoire de croissance forte, inclusive, durable de 10% en moyenne par an, créatrice d’emplois et préservant l’environnement et les ressources naturelles, conformément aux recommandations des ANR. De même, le développement du capital humain devrait être au centre de l’agenda des réformes, à travers surtout la refondation de notre système éducatif fondé sur les sciences et technologies et nos valeurs endogènes, mais aussi, sur un système de santé moderne, performant et accessible pour tous.</w:t>
      </w:r>
    </w:p>
    <w:p>
      <w:pPr>
        <w:pStyle w:val="ListParagraph"/>
        <w:numPr>
          <w:ilvl w:val="1"/>
          <w:numId w:val="1"/>
        </w:numPr>
        <w:tabs>
          <w:tab w:pos="1493" w:val="left" w:leader="none"/>
          <w:tab w:pos="1837" w:val="left" w:leader="none"/>
        </w:tabs>
        <w:spacing w:line="240" w:lineRule="auto" w:before="184" w:after="0"/>
        <w:ind w:left="1493" w:right="1127" w:hanging="360"/>
        <w:jc w:val="both"/>
        <w:rPr>
          <w:sz w:val="24"/>
        </w:rPr>
      </w:pPr>
      <w:r>
        <w:rPr>
          <w:sz w:val="24"/>
        </w:rPr>
        <w:t>Elle se présente aussi comme un plan de réponse à la crise multidimensionnelle en s'attaquant</w:t>
      </w:r>
      <w:r>
        <w:rPr>
          <w:spacing w:val="-4"/>
          <w:sz w:val="24"/>
        </w:rPr>
        <w:t> </w:t>
      </w:r>
      <w:r>
        <w:rPr>
          <w:sz w:val="24"/>
        </w:rPr>
        <w:t>aux causes profondes et en mobilisant des solutions innovantes pour la consolidation de la paix et de la sécurité, la stabilité macroéconomique du pays, l’exploration des financements alternatifs et le renforcement de la bonne gouvernance. Ainsi, elle ambitionne de développer autour de l’agriculture</w:t>
      </w:r>
      <w:r>
        <w:rPr>
          <w:spacing w:val="40"/>
          <w:sz w:val="24"/>
        </w:rPr>
        <w:t> </w:t>
      </w:r>
      <w:r>
        <w:rPr>
          <w:sz w:val="24"/>
        </w:rPr>
        <w:t>et l’agro-industrie, de la recherche et l’exploitation des ressources naturelles et de la maitrise d’énergie, une économie nationale intégrée, afin de mettre en place des conditions préalables pour l’émergence économique du Mali.</w:t>
      </w:r>
    </w:p>
    <w:p>
      <w:pPr>
        <w:pStyle w:val="ListParagraph"/>
        <w:numPr>
          <w:ilvl w:val="1"/>
          <w:numId w:val="1"/>
        </w:numPr>
        <w:tabs>
          <w:tab w:pos="1493" w:val="left" w:leader="none"/>
          <w:tab w:pos="1837" w:val="left" w:leader="none"/>
        </w:tabs>
        <w:spacing w:line="240" w:lineRule="auto" w:before="184" w:after="0"/>
        <w:ind w:left="1493" w:right="1132" w:hanging="360"/>
        <w:jc w:val="both"/>
        <w:rPr>
          <w:sz w:val="24"/>
        </w:rPr>
      </w:pPr>
      <w:r>
        <w:rPr>
          <w:sz w:val="24"/>
        </w:rPr>
        <w:t>L’approche</w:t>
      </w:r>
      <w:r>
        <w:rPr>
          <w:spacing w:val="40"/>
          <w:sz w:val="24"/>
        </w:rPr>
        <w:t> </w:t>
      </w:r>
      <w:r>
        <w:rPr>
          <w:sz w:val="24"/>
        </w:rPr>
        <w:t>sera</w:t>
      </w:r>
      <w:r>
        <w:rPr>
          <w:spacing w:val="40"/>
          <w:sz w:val="24"/>
        </w:rPr>
        <w:t> </w:t>
      </w:r>
      <w:r>
        <w:rPr>
          <w:sz w:val="24"/>
        </w:rPr>
        <w:t>basée</w:t>
      </w:r>
      <w:r>
        <w:rPr>
          <w:spacing w:val="40"/>
          <w:sz w:val="24"/>
        </w:rPr>
        <w:t> </w:t>
      </w:r>
      <w:r>
        <w:rPr>
          <w:sz w:val="24"/>
        </w:rPr>
        <w:t>sur</w:t>
      </w:r>
      <w:r>
        <w:rPr>
          <w:spacing w:val="40"/>
          <w:sz w:val="24"/>
        </w:rPr>
        <w:t> </w:t>
      </w:r>
      <w:r>
        <w:rPr>
          <w:sz w:val="24"/>
        </w:rPr>
        <w:t>le</w:t>
      </w:r>
      <w:r>
        <w:rPr>
          <w:spacing w:val="40"/>
          <w:sz w:val="24"/>
        </w:rPr>
        <w:t> </w:t>
      </w:r>
      <w:r>
        <w:rPr>
          <w:sz w:val="24"/>
        </w:rPr>
        <w:t>développement</w:t>
      </w:r>
      <w:r>
        <w:rPr>
          <w:spacing w:val="40"/>
          <w:sz w:val="24"/>
        </w:rPr>
        <w:t> </w:t>
      </w:r>
      <w:r>
        <w:rPr>
          <w:sz w:val="24"/>
        </w:rPr>
        <w:t>des</w:t>
      </w:r>
      <w:r>
        <w:rPr>
          <w:spacing w:val="40"/>
          <w:sz w:val="24"/>
        </w:rPr>
        <w:t> </w:t>
      </w:r>
      <w:r>
        <w:rPr>
          <w:sz w:val="24"/>
        </w:rPr>
        <w:t>pôles</w:t>
      </w:r>
      <w:r>
        <w:rPr>
          <w:spacing w:val="40"/>
          <w:sz w:val="24"/>
        </w:rPr>
        <w:t> </w:t>
      </w:r>
      <w:r>
        <w:rPr>
          <w:sz w:val="24"/>
        </w:rPr>
        <w:t>régionaux</w:t>
      </w:r>
      <w:r>
        <w:rPr>
          <w:spacing w:val="40"/>
          <w:sz w:val="24"/>
        </w:rPr>
        <w:t> </w:t>
      </w:r>
      <w:r>
        <w:rPr>
          <w:sz w:val="24"/>
        </w:rPr>
        <w:t>de</w:t>
      </w:r>
      <w:r>
        <w:rPr>
          <w:spacing w:val="40"/>
          <w:sz w:val="24"/>
        </w:rPr>
        <w:t> </w:t>
      </w:r>
      <w:r>
        <w:rPr>
          <w:sz w:val="24"/>
        </w:rPr>
        <w:t>développement</w:t>
      </w:r>
      <w:r>
        <w:rPr>
          <w:spacing w:val="40"/>
          <w:sz w:val="24"/>
        </w:rPr>
        <w:t> </w:t>
      </w:r>
      <w:r>
        <w:rPr>
          <w:sz w:val="24"/>
        </w:rPr>
        <w:t>qui consiste à :</w:t>
      </w:r>
    </w:p>
    <w:p>
      <w:pPr>
        <w:pStyle w:val="ListParagraph"/>
        <w:numPr>
          <w:ilvl w:val="2"/>
          <w:numId w:val="1"/>
        </w:numPr>
        <w:tabs>
          <w:tab w:pos="2213" w:val="left" w:leader="none"/>
        </w:tabs>
        <w:spacing w:line="240" w:lineRule="auto" w:before="184" w:after="0"/>
        <w:ind w:left="2213" w:right="1126" w:hanging="360"/>
        <w:jc w:val="both"/>
        <w:rPr>
          <w:sz w:val="24"/>
        </w:rPr>
      </w:pPr>
      <w:r>
        <w:rPr>
          <w:sz w:val="24"/>
        </w:rPr>
        <w:t>Relier tous les grands centres urbains et de production par les différents canaux (routier, aérien, ferroviaire, fluvial et internet) ;</w:t>
      </w:r>
    </w:p>
    <w:p>
      <w:pPr>
        <w:pStyle w:val="ListParagraph"/>
        <w:numPr>
          <w:ilvl w:val="2"/>
          <w:numId w:val="1"/>
        </w:numPr>
        <w:tabs>
          <w:tab w:pos="2212" w:val="left" w:leader="none"/>
        </w:tabs>
        <w:spacing w:line="275" w:lineRule="exact" w:before="1" w:after="0"/>
        <w:ind w:left="2212" w:right="0" w:hanging="359"/>
        <w:jc w:val="both"/>
        <w:rPr>
          <w:sz w:val="24"/>
        </w:rPr>
      </w:pPr>
      <w:r>
        <w:rPr>
          <w:sz w:val="24"/>
        </w:rPr>
        <w:t>Développer</w:t>
      </w:r>
      <w:r>
        <w:rPr>
          <w:spacing w:val="57"/>
          <w:sz w:val="24"/>
        </w:rPr>
        <w:t> </w:t>
      </w:r>
      <w:r>
        <w:rPr>
          <w:sz w:val="24"/>
        </w:rPr>
        <w:t>la</w:t>
      </w:r>
      <w:r>
        <w:rPr>
          <w:spacing w:val="60"/>
          <w:sz w:val="24"/>
        </w:rPr>
        <w:t> </w:t>
      </w:r>
      <w:r>
        <w:rPr>
          <w:sz w:val="24"/>
        </w:rPr>
        <w:t>production</w:t>
      </w:r>
      <w:r>
        <w:rPr>
          <w:spacing w:val="58"/>
          <w:sz w:val="24"/>
        </w:rPr>
        <w:t> </w:t>
      </w:r>
      <w:r>
        <w:rPr>
          <w:sz w:val="24"/>
        </w:rPr>
        <w:t>et</w:t>
      </w:r>
      <w:r>
        <w:rPr>
          <w:spacing w:val="61"/>
          <w:sz w:val="24"/>
        </w:rPr>
        <w:t> </w:t>
      </w:r>
      <w:r>
        <w:rPr>
          <w:sz w:val="24"/>
        </w:rPr>
        <w:t>le</w:t>
      </w:r>
      <w:r>
        <w:rPr>
          <w:spacing w:val="60"/>
          <w:sz w:val="24"/>
        </w:rPr>
        <w:t> </w:t>
      </w:r>
      <w:r>
        <w:rPr>
          <w:sz w:val="24"/>
        </w:rPr>
        <w:t>transport</w:t>
      </w:r>
      <w:r>
        <w:rPr>
          <w:spacing w:val="57"/>
          <w:sz w:val="24"/>
        </w:rPr>
        <w:t> </w:t>
      </w:r>
      <w:r>
        <w:rPr>
          <w:sz w:val="24"/>
        </w:rPr>
        <w:t>d’énergie</w:t>
      </w:r>
      <w:r>
        <w:rPr>
          <w:spacing w:val="58"/>
          <w:sz w:val="24"/>
        </w:rPr>
        <w:t> </w:t>
      </w:r>
      <w:r>
        <w:rPr>
          <w:sz w:val="24"/>
        </w:rPr>
        <w:t>et</w:t>
      </w:r>
      <w:r>
        <w:rPr>
          <w:spacing w:val="61"/>
          <w:sz w:val="24"/>
        </w:rPr>
        <w:t> </w:t>
      </w:r>
      <w:r>
        <w:rPr>
          <w:sz w:val="24"/>
        </w:rPr>
        <w:t>créer</w:t>
      </w:r>
      <w:r>
        <w:rPr>
          <w:spacing w:val="59"/>
          <w:sz w:val="24"/>
        </w:rPr>
        <w:t> </w:t>
      </w:r>
      <w:r>
        <w:rPr>
          <w:sz w:val="24"/>
        </w:rPr>
        <w:t>un</w:t>
      </w:r>
      <w:r>
        <w:rPr>
          <w:spacing w:val="61"/>
          <w:sz w:val="24"/>
        </w:rPr>
        <w:t> </w:t>
      </w:r>
      <w:r>
        <w:rPr>
          <w:sz w:val="24"/>
        </w:rPr>
        <w:t>réseau</w:t>
      </w:r>
      <w:r>
        <w:rPr>
          <w:spacing w:val="61"/>
          <w:sz w:val="24"/>
        </w:rPr>
        <w:t> </w:t>
      </w:r>
      <w:r>
        <w:rPr>
          <w:sz w:val="24"/>
        </w:rPr>
        <w:t>d’énergie</w:t>
      </w:r>
      <w:r>
        <w:rPr>
          <w:spacing w:val="61"/>
          <w:sz w:val="24"/>
        </w:rPr>
        <w:t> </w:t>
      </w:r>
      <w:r>
        <w:rPr>
          <w:spacing w:val="-2"/>
          <w:sz w:val="24"/>
        </w:rPr>
        <w:t>mixte</w:t>
      </w:r>
    </w:p>
    <w:p>
      <w:pPr>
        <w:pStyle w:val="BodyText"/>
        <w:spacing w:line="274" w:lineRule="exact" w:before="0"/>
        <w:ind w:left="2213" w:firstLine="0"/>
      </w:pPr>
      <w:r>
        <w:rPr/>
        <w:t>interconnecté</w:t>
      </w:r>
      <w:r>
        <w:rPr>
          <w:spacing w:val="-3"/>
        </w:rPr>
        <w:t> </w:t>
      </w:r>
      <w:r>
        <w:rPr/>
        <w:t>sur</w:t>
      </w:r>
      <w:r>
        <w:rPr>
          <w:spacing w:val="-4"/>
        </w:rPr>
        <w:t> </w:t>
      </w:r>
      <w:r>
        <w:rPr/>
        <w:t>tout</w:t>
      </w:r>
      <w:r>
        <w:rPr>
          <w:spacing w:val="-5"/>
        </w:rPr>
        <w:t> </w:t>
      </w:r>
      <w:r>
        <w:rPr/>
        <w:t>le</w:t>
      </w:r>
      <w:r>
        <w:rPr>
          <w:spacing w:val="-4"/>
        </w:rPr>
        <w:t> </w:t>
      </w:r>
      <w:r>
        <w:rPr/>
        <w:t>territoire</w:t>
      </w:r>
      <w:r>
        <w:rPr>
          <w:spacing w:val="-1"/>
        </w:rPr>
        <w:t> </w:t>
      </w:r>
      <w:r>
        <w:rPr>
          <w:spacing w:val="-10"/>
        </w:rPr>
        <w:t>;</w:t>
      </w:r>
    </w:p>
    <w:p>
      <w:pPr>
        <w:pStyle w:val="ListParagraph"/>
        <w:numPr>
          <w:ilvl w:val="2"/>
          <w:numId w:val="1"/>
        </w:numPr>
        <w:tabs>
          <w:tab w:pos="2213" w:val="left" w:leader="none"/>
        </w:tabs>
        <w:spacing w:line="240" w:lineRule="auto" w:before="1" w:after="0"/>
        <w:ind w:left="2213" w:right="1131" w:hanging="360"/>
        <w:jc w:val="both"/>
        <w:rPr>
          <w:sz w:val="24"/>
        </w:rPr>
      </w:pPr>
      <w:r>
        <w:rPr>
          <w:sz w:val="24"/>
        </w:rPr>
        <w:t>Développer des industries</w:t>
      </w:r>
      <w:r>
        <w:rPr>
          <w:spacing w:val="-1"/>
          <w:sz w:val="24"/>
        </w:rPr>
        <w:t> </w:t>
      </w:r>
      <w:r>
        <w:rPr>
          <w:sz w:val="24"/>
        </w:rPr>
        <w:t>de transformations</w:t>
      </w:r>
      <w:r>
        <w:rPr>
          <w:spacing w:val="-1"/>
          <w:sz w:val="24"/>
        </w:rPr>
        <w:t> </w:t>
      </w:r>
      <w:r>
        <w:rPr>
          <w:sz w:val="24"/>
        </w:rPr>
        <w:t>des produits locaux notamment les produits</w:t>
      </w:r>
      <w:r>
        <w:rPr>
          <w:spacing w:val="-1"/>
          <w:sz w:val="24"/>
        </w:rPr>
        <w:t> </w:t>
      </w:r>
      <w:r>
        <w:rPr>
          <w:sz w:val="24"/>
        </w:rPr>
        <w:t>du secteur primaire dans toutes les régions de production ;</w:t>
      </w:r>
    </w:p>
    <w:p>
      <w:pPr>
        <w:pStyle w:val="ListParagraph"/>
        <w:numPr>
          <w:ilvl w:val="2"/>
          <w:numId w:val="1"/>
        </w:numPr>
        <w:tabs>
          <w:tab w:pos="2213" w:val="left" w:leader="none"/>
        </w:tabs>
        <w:spacing w:line="240" w:lineRule="auto" w:before="1" w:after="0"/>
        <w:ind w:left="2213" w:right="1130" w:hanging="360"/>
        <w:jc w:val="both"/>
        <w:rPr>
          <w:sz w:val="24"/>
        </w:rPr>
      </w:pPr>
      <w:r>
        <w:rPr>
          <w:sz w:val="24"/>
        </w:rPr>
        <w:t>Renforcer la politique de formation à travers la création d’enseignements spécialisés dans</w:t>
      </w:r>
      <w:r>
        <w:rPr>
          <w:spacing w:val="80"/>
          <w:sz w:val="24"/>
        </w:rPr>
        <w:t> </w:t>
      </w:r>
      <w:r>
        <w:rPr>
          <w:sz w:val="24"/>
        </w:rPr>
        <w:t>les régions et le développement de l’enseignement à distance. Il s’agira également de développer la production de manuels scolaires. Pour ce faire l’acquisition d’une imprimerie scolaire est nécessaire ;</w:t>
      </w:r>
    </w:p>
    <w:p>
      <w:pPr>
        <w:pStyle w:val="ListParagraph"/>
        <w:numPr>
          <w:ilvl w:val="2"/>
          <w:numId w:val="1"/>
        </w:numPr>
        <w:tabs>
          <w:tab w:pos="2212" w:val="left" w:leader="none"/>
        </w:tabs>
        <w:spacing w:line="275" w:lineRule="exact" w:before="1" w:after="0"/>
        <w:ind w:left="2212" w:right="0" w:hanging="359"/>
        <w:jc w:val="both"/>
        <w:rPr>
          <w:sz w:val="24"/>
        </w:rPr>
      </w:pPr>
      <w:r>
        <w:rPr>
          <w:sz w:val="24"/>
        </w:rPr>
        <w:t>Améliorer</w:t>
      </w:r>
      <w:r>
        <w:rPr>
          <w:spacing w:val="57"/>
          <w:sz w:val="24"/>
        </w:rPr>
        <w:t> </w:t>
      </w:r>
      <w:r>
        <w:rPr>
          <w:sz w:val="24"/>
        </w:rPr>
        <w:t>la</w:t>
      </w:r>
      <w:r>
        <w:rPr>
          <w:spacing w:val="58"/>
          <w:sz w:val="24"/>
        </w:rPr>
        <w:t> </w:t>
      </w:r>
      <w:r>
        <w:rPr>
          <w:sz w:val="24"/>
        </w:rPr>
        <w:t>décentralisation</w:t>
      </w:r>
      <w:r>
        <w:rPr>
          <w:spacing w:val="59"/>
          <w:sz w:val="24"/>
        </w:rPr>
        <w:t> </w:t>
      </w:r>
      <w:r>
        <w:rPr>
          <w:sz w:val="24"/>
        </w:rPr>
        <w:t>par</w:t>
      </w:r>
      <w:r>
        <w:rPr>
          <w:spacing w:val="57"/>
          <w:sz w:val="24"/>
        </w:rPr>
        <w:t> </w:t>
      </w:r>
      <w:r>
        <w:rPr>
          <w:sz w:val="24"/>
        </w:rPr>
        <w:t>une</w:t>
      </w:r>
      <w:r>
        <w:rPr>
          <w:spacing w:val="58"/>
          <w:sz w:val="24"/>
        </w:rPr>
        <w:t> </w:t>
      </w:r>
      <w:r>
        <w:rPr>
          <w:sz w:val="24"/>
        </w:rPr>
        <w:t>plus</w:t>
      </w:r>
      <w:r>
        <w:rPr>
          <w:spacing w:val="59"/>
          <w:sz w:val="24"/>
        </w:rPr>
        <w:t> </w:t>
      </w:r>
      <w:r>
        <w:rPr>
          <w:sz w:val="24"/>
        </w:rPr>
        <w:t>grande</w:t>
      </w:r>
      <w:r>
        <w:rPr>
          <w:spacing w:val="58"/>
          <w:sz w:val="24"/>
        </w:rPr>
        <w:t> </w:t>
      </w:r>
      <w:r>
        <w:rPr>
          <w:sz w:val="24"/>
        </w:rPr>
        <w:t>implication</w:t>
      </w:r>
      <w:r>
        <w:rPr>
          <w:spacing w:val="58"/>
          <w:sz w:val="24"/>
        </w:rPr>
        <w:t> </w:t>
      </w:r>
      <w:r>
        <w:rPr>
          <w:sz w:val="24"/>
        </w:rPr>
        <w:t>de</w:t>
      </w:r>
      <w:r>
        <w:rPr>
          <w:spacing w:val="58"/>
          <w:sz w:val="24"/>
        </w:rPr>
        <w:t> </w:t>
      </w:r>
      <w:r>
        <w:rPr>
          <w:sz w:val="24"/>
        </w:rPr>
        <w:t>l’Etat</w:t>
      </w:r>
      <w:r>
        <w:rPr>
          <w:spacing w:val="59"/>
          <w:sz w:val="24"/>
        </w:rPr>
        <w:t> </w:t>
      </w:r>
      <w:r>
        <w:rPr>
          <w:sz w:val="24"/>
        </w:rPr>
        <w:t>central</w:t>
      </w:r>
      <w:r>
        <w:rPr>
          <w:spacing w:val="57"/>
          <w:sz w:val="24"/>
        </w:rPr>
        <w:t> </w:t>
      </w:r>
      <w:r>
        <w:rPr>
          <w:sz w:val="24"/>
        </w:rPr>
        <w:t>dans</w:t>
      </w:r>
      <w:r>
        <w:rPr>
          <w:spacing w:val="58"/>
          <w:sz w:val="24"/>
        </w:rPr>
        <w:t> </w:t>
      </w:r>
      <w:r>
        <w:rPr>
          <w:spacing w:val="-5"/>
          <w:sz w:val="24"/>
        </w:rPr>
        <w:t>la</w:t>
      </w:r>
    </w:p>
    <w:p>
      <w:pPr>
        <w:pStyle w:val="BodyText"/>
        <w:spacing w:line="274" w:lineRule="exact" w:before="0"/>
        <w:ind w:left="2213" w:firstLine="0"/>
      </w:pPr>
      <w:r>
        <w:rPr/>
        <w:t>définition</w:t>
      </w:r>
      <w:r>
        <w:rPr>
          <w:spacing w:val="-5"/>
        </w:rPr>
        <w:t> </w:t>
      </w:r>
      <w:r>
        <w:rPr/>
        <w:t>des</w:t>
      </w:r>
      <w:r>
        <w:rPr>
          <w:spacing w:val="-4"/>
        </w:rPr>
        <w:t> </w:t>
      </w:r>
      <w:r>
        <w:rPr/>
        <w:t>politiques,</w:t>
      </w:r>
      <w:r>
        <w:rPr>
          <w:spacing w:val="-4"/>
        </w:rPr>
        <w:t> </w:t>
      </w:r>
      <w:r>
        <w:rPr/>
        <w:t>le</w:t>
      </w:r>
      <w:r>
        <w:rPr>
          <w:spacing w:val="-6"/>
        </w:rPr>
        <w:t> </w:t>
      </w:r>
      <w:r>
        <w:rPr/>
        <w:t>suivi</w:t>
      </w:r>
      <w:r>
        <w:rPr>
          <w:spacing w:val="-6"/>
        </w:rPr>
        <w:t> </w:t>
      </w:r>
      <w:r>
        <w:rPr/>
        <w:t>et</w:t>
      </w:r>
      <w:r>
        <w:rPr>
          <w:spacing w:val="-4"/>
        </w:rPr>
        <w:t> </w:t>
      </w:r>
      <w:r>
        <w:rPr/>
        <w:t>la</w:t>
      </w:r>
      <w:r>
        <w:rPr>
          <w:spacing w:val="-4"/>
        </w:rPr>
        <w:t> </w:t>
      </w:r>
      <w:r>
        <w:rPr/>
        <w:t>surveillance</w:t>
      </w:r>
      <w:r>
        <w:rPr>
          <w:spacing w:val="-6"/>
        </w:rPr>
        <w:t> </w:t>
      </w:r>
      <w:r>
        <w:rPr/>
        <w:t>des</w:t>
      </w:r>
      <w:r>
        <w:rPr>
          <w:spacing w:val="-5"/>
        </w:rPr>
        <w:t> </w:t>
      </w:r>
      <w:r>
        <w:rPr/>
        <w:t>collectivités</w:t>
      </w:r>
      <w:r>
        <w:rPr>
          <w:spacing w:val="-5"/>
        </w:rPr>
        <w:t> </w:t>
      </w:r>
      <w:r>
        <w:rPr>
          <w:spacing w:val="-2"/>
        </w:rPr>
        <w:t>territoriales.</w:t>
      </w:r>
    </w:p>
    <w:p>
      <w:pPr>
        <w:pStyle w:val="ListParagraph"/>
        <w:numPr>
          <w:ilvl w:val="1"/>
          <w:numId w:val="1"/>
        </w:numPr>
        <w:tabs>
          <w:tab w:pos="1493" w:val="left" w:leader="none"/>
          <w:tab w:pos="1837" w:val="left" w:leader="none"/>
        </w:tabs>
        <w:spacing w:line="240" w:lineRule="auto" w:before="185" w:after="0"/>
        <w:ind w:left="1493" w:right="1127" w:hanging="360"/>
        <w:jc w:val="both"/>
        <w:rPr>
          <w:sz w:val="24"/>
        </w:rPr>
      </w:pPr>
      <w:r>
        <w:rPr>
          <w:sz w:val="24"/>
        </w:rPr>
        <w:t>La</w:t>
      </w:r>
      <w:r>
        <w:rPr>
          <w:spacing w:val="40"/>
          <w:sz w:val="24"/>
        </w:rPr>
        <w:t> </w:t>
      </w:r>
      <w:r>
        <w:rPr>
          <w:sz w:val="24"/>
        </w:rPr>
        <w:t>SNEDD</w:t>
      </w:r>
      <w:r>
        <w:rPr>
          <w:spacing w:val="40"/>
          <w:sz w:val="24"/>
        </w:rPr>
        <w:t> </w:t>
      </w:r>
      <w:r>
        <w:rPr>
          <w:sz w:val="24"/>
        </w:rPr>
        <w:t>se</w:t>
      </w:r>
      <w:r>
        <w:rPr>
          <w:spacing w:val="40"/>
          <w:sz w:val="24"/>
        </w:rPr>
        <w:t> </w:t>
      </w:r>
      <w:r>
        <w:rPr>
          <w:sz w:val="24"/>
        </w:rPr>
        <w:t>fonde</w:t>
      </w:r>
      <w:r>
        <w:rPr>
          <w:spacing w:val="40"/>
          <w:sz w:val="24"/>
        </w:rPr>
        <w:t> </w:t>
      </w:r>
      <w:r>
        <w:rPr>
          <w:sz w:val="24"/>
        </w:rPr>
        <w:t>également</w:t>
      </w:r>
      <w:r>
        <w:rPr>
          <w:spacing w:val="40"/>
          <w:sz w:val="24"/>
        </w:rPr>
        <w:t> </w:t>
      </w:r>
      <w:r>
        <w:rPr>
          <w:sz w:val="24"/>
        </w:rPr>
        <w:t>sur</w:t>
      </w:r>
      <w:r>
        <w:rPr>
          <w:spacing w:val="40"/>
          <w:sz w:val="24"/>
        </w:rPr>
        <w:t> </w:t>
      </w:r>
      <w:r>
        <w:rPr>
          <w:sz w:val="24"/>
        </w:rPr>
        <w:t>l’identification des</w:t>
      </w:r>
      <w:r>
        <w:rPr>
          <w:spacing w:val="40"/>
          <w:sz w:val="24"/>
        </w:rPr>
        <w:t> </w:t>
      </w:r>
      <w:r>
        <w:rPr>
          <w:sz w:val="24"/>
        </w:rPr>
        <w:t>Projets</w:t>
      </w:r>
      <w:r>
        <w:rPr>
          <w:spacing w:val="40"/>
          <w:sz w:val="24"/>
        </w:rPr>
        <w:t> </w:t>
      </w:r>
      <w:r>
        <w:rPr>
          <w:sz w:val="24"/>
        </w:rPr>
        <w:t>structurants</w:t>
      </w:r>
      <w:r>
        <w:rPr>
          <w:spacing w:val="40"/>
          <w:sz w:val="24"/>
        </w:rPr>
        <w:t> </w:t>
      </w:r>
      <w:r>
        <w:rPr>
          <w:sz w:val="24"/>
        </w:rPr>
        <w:t>intégrateurs et fédérateurs d’envergure dont la mise en œuvre efficace permettra d’amorcer un véritable</w:t>
      </w:r>
      <w:r>
        <w:rPr>
          <w:spacing w:val="40"/>
          <w:sz w:val="24"/>
        </w:rPr>
        <w:t> </w:t>
      </w:r>
      <w:r>
        <w:rPr>
          <w:sz w:val="24"/>
        </w:rPr>
        <w:t>changement dans la marche du pays en vue de la transformation structurelle de son économie. Il s’agira de fixer le cap de grands objectifs à atteindre par domaine de développement en cohérence avec la Vision et de les matérialiser par des grands programmes ou projets structurants et </w:t>
      </w:r>
      <w:r>
        <w:rPr>
          <w:spacing w:val="-2"/>
          <w:sz w:val="24"/>
        </w:rPr>
        <w:t>intégrateurs.</w:t>
      </w:r>
    </w:p>
    <w:p>
      <w:pPr>
        <w:pStyle w:val="Heading3"/>
        <w:numPr>
          <w:ilvl w:val="1"/>
          <w:numId w:val="10"/>
        </w:numPr>
        <w:tabs>
          <w:tab w:pos="1516" w:val="left" w:leader="none"/>
        </w:tabs>
        <w:spacing w:line="240" w:lineRule="auto" w:before="181" w:after="0"/>
        <w:ind w:left="1516" w:right="0" w:hanging="383"/>
        <w:jc w:val="left"/>
      </w:pPr>
      <w:bookmarkStart w:name="_bookmark19" w:id="20"/>
      <w:bookmarkEnd w:id="20"/>
      <w:r>
        <w:rPr>
          <w:b w:val="0"/>
        </w:rPr>
      </w:r>
      <w:r>
        <w:rPr>
          <w:color w:val="2E5395"/>
        </w:rPr>
        <w:t>Les</w:t>
      </w:r>
      <w:r>
        <w:rPr>
          <w:color w:val="2E5395"/>
          <w:spacing w:val="-4"/>
        </w:rPr>
        <w:t> </w:t>
      </w:r>
      <w:r>
        <w:rPr>
          <w:color w:val="2E5395"/>
        </w:rPr>
        <w:t>Axes</w:t>
      </w:r>
      <w:r>
        <w:rPr>
          <w:color w:val="2E5395"/>
          <w:spacing w:val="-4"/>
        </w:rPr>
        <w:t> </w:t>
      </w:r>
      <w:r>
        <w:rPr>
          <w:color w:val="2E5395"/>
          <w:spacing w:val="-2"/>
        </w:rPr>
        <w:t>stratégiques</w:t>
      </w:r>
    </w:p>
    <w:p>
      <w:pPr>
        <w:pStyle w:val="ListParagraph"/>
        <w:numPr>
          <w:ilvl w:val="1"/>
          <w:numId w:val="1"/>
        </w:numPr>
        <w:tabs>
          <w:tab w:pos="1493" w:val="left" w:leader="none"/>
          <w:tab w:pos="1837" w:val="left" w:leader="none"/>
        </w:tabs>
        <w:spacing w:line="240" w:lineRule="auto" w:before="186" w:after="0"/>
        <w:ind w:left="1493" w:right="1128" w:hanging="360"/>
        <w:jc w:val="both"/>
        <w:rPr>
          <w:sz w:val="24"/>
        </w:rPr>
      </w:pPr>
      <w:r>
        <w:rPr>
          <w:sz w:val="24"/>
        </w:rPr>
        <w:t>La Stratégie Nationale pour l’Emergence et le Développement Durable (SNEDD 2024-2033) est</w:t>
      </w:r>
      <w:r>
        <w:rPr>
          <w:spacing w:val="80"/>
          <w:w w:val="150"/>
          <w:sz w:val="24"/>
        </w:rPr>
        <w:t> </w:t>
      </w:r>
      <w:r>
        <w:rPr>
          <w:sz w:val="24"/>
        </w:rPr>
        <w:t>bâtie autour de cinq (5) Axes stratégiques, 13 Objectifs globaux et 38 Objectifs spécifiques dont la mise en œuvre permettra d’atteindre son objectif général : </w:t>
      </w:r>
      <w:r>
        <w:rPr>
          <w:b/>
          <w:sz w:val="24"/>
        </w:rPr>
        <w:t>« la Refondation de l’Etat et la transformation structurelle de l’économie ».</w:t>
      </w:r>
    </w:p>
    <w:p>
      <w:pPr>
        <w:pStyle w:val="ListParagraph"/>
        <w:spacing w:after="0" w:line="240" w:lineRule="auto"/>
        <w:jc w:val="both"/>
        <w:rPr>
          <w:sz w:val="24"/>
        </w:rPr>
        <w:sectPr>
          <w:pgSz w:w="11910" w:h="16840"/>
          <w:pgMar w:header="0" w:footer="680" w:top="1500" w:bottom="960" w:left="283" w:right="141"/>
        </w:sectPr>
      </w:pPr>
    </w:p>
    <w:p>
      <w:pPr>
        <w:pStyle w:val="Heading3"/>
        <w:numPr>
          <w:ilvl w:val="2"/>
          <w:numId w:val="10"/>
        </w:numPr>
        <w:tabs>
          <w:tab w:pos="1678" w:val="left" w:leader="none"/>
        </w:tabs>
        <w:spacing w:line="240" w:lineRule="auto" w:before="83" w:after="0"/>
        <w:ind w:left="1133" w:right="1554" w:firstLine="0"/>
        <w:jc w:val="left"/>
        <w:rPr>
          <w:color w:val="006FC0"/>
        </w:rPr>
      </w:pPr>
      <w:bookmarkStart w:name="_bookmark20" w:id="21"/>
      <w:bookmarkEnd w:id="21"/>
      <w:r>
        <w:rPr>
          <w:b w:val="0"/>
        </w:rPr>
      </w:r>
      <w:r>
        <w:rPr>
          <w:color w:val="006FC0"/>
        </w:rPr>
        <w:t>Axe</w:t>
      </w:r>
      <w:r>
        <w:rPr>
          <w:color w:val="006FC0"/>
          <w:spacing w:val="-2"/>
        </w:rPr>
        <w:t> </w:t>
      </w:r>
      <w:r>
        <w:rPr>
          <w:color w:val="006FC0"/>
        </w:rPr>
        <w:t>Stratégique</w:t>
      </w:r>
      <w:r>
        <w:rPr>
          <w:color w:val="006FC0"/>
          <w:spacing w:val="-2"/>
        </w:rPr>
        <w:t> </w:t>
      </w:r>
      <w:r>
        <w:rPr>
          <w:color w:val="006FC0"/>
        </w:rPr>
        <w:t>1 :</w:t>
      </w:r>
      <w:r>
        <w:rPr>
          <w:color w:val="006FC0"/>
          <w:spacing w:val="-5"/>
        </w:rPr>
        <w:t> </w:t>
      </w:r>
      <w:r>
        <w:rPr>
          <w:color w:val="006FC0"/>
        </w:rPr>
        <w:t>Renforcement</w:t>
      </w:r>
      <w:r>
        <w:rPr>
          <w:color w:val="006FC0"/>
          <w:spacing w:val="-3"/>
        </w:rPr>
        <w:t> </w:t>
      </w:r>
      <w:r>
        <w:rPr>
          <w:color w:val="006FC0"/>
        </w:rPr>
        <w:t>de</w:t>
      </w:r>
      <w:r>
        <w:rPr>
          <w:color w:val="006FC0"/>
          <w:spacing w:val="-3"/>
        </w:rPr>
        <w:t> </w:t>
      </w:r>
      <w:r>
        <w:rPr>
          <w:color w:val="006FC0"/>
        </w:rPr>
        <w:t>la</w:t>
      </w:r>
      <w:r>
        <w:rPr>
          <w:color w:val="006FC0"/>
          <w:spacing w:val="-1"/>
        </w:rPr>
        <w:t> </w:t>
      </w:r>
      <w:r>
        <w:rPr>
          <w:color w:val="006FC0"/>
        </w:rPr>
        <w:t>Souveraineté</w:t>
      </w:r>
      <w:r>
        <w:rPr>
          <w:color w:val="006FC0"/>
          <w:spacing w:val="-5"/>
        </w:rPr>
        <w:t> </w:t>
      </w:r>
      <w:r>
        <w:rPr>
          <w:color w:val="006FC0"/>
        </w:rPr>
        <w:t>et</w:t>
      </w:r>
      <w:r>
        <w:rPr>
          <w:color w:val="006FC0"/>
          <w:spacing w:val="-2"/>
        </w:rPr>
        <w:t> </w:t>
      </w:r>
      <w:r>
        <w:rPr>
          <w:color w:val="006FC0"/>
        </w:rPr>
        <w:t>Consolidation</w:t>
      </w:r>
      <w:r>
        <w:rPr>
          <w:color w:val="006FC0"/>
          <w:spacing w:val="-3"/>
        </w:rPr>
        <w:t> </w:t>
      </w:r>
      <w:r>
        <w:rPr>
          <w:color w:val="006FC0"/>
        </w:rPr>
        <w:t>de</w:t>
      </w:r>
      <w:r>
        <w:rPr>
          <w:color w:val="006FC0"/>
          <w:spacing w:val="-2"/>
        </w:rPr>
        <w:t> </w:t>
      </w:r>
      <w:r>
        <w:rPr>
          <w:color w:val="006FC0"/>
        </w:rPr>
        <w:t>la</w:t>
      </w:r>
      <w:r>
        <w:rPr>
          <w:color w:val="006FC0"/>
          <w:spacing w:val="-4"/>
        </w:rPr>
        <w:t> </w:t>
      </w:r>
      <w:r>
        <w:rPr>
          <w:color w:val="006FC0"/>
        </w:rPr>
        <w:t>Paix</w:t>
      </w:r>
      <w:r>
        <w:rPr>
          <w:color w:val="006FC0"/>
          <w:spacing w:val="-2"/>
        </w:rPr>
        <w:t> </w:t>
      </w:r>
      <w:r>
        <w:rPr>
          <w:color w:val="006FC0"/>
        </w:rPr>
        <w:t>et</w:t>
      </w:r>
      <w:r>
        <w:rPr>
          <w:color w:val="006FC0"/>
          <w:spacing w:val="-2"/>
        </w:rPr>
        <w:t> </w:t>
      </w:r>
      <w:r>
        <w:rPr>
          <w:color w:val="006FC0"/>
        </w:rPr>
        <w:t>de</w:t>
      </w:r>
      <w:r>
        <w:rPr>
          <w:color w:val="006FC0"/>
          <w:spacing w:val="-4"/>
        </w:rPr>
        <w:t> </w:t>
      </w:r>
      <w:r>
        <w:rPr>
          <w:color w:val="006FC0"/>
        </w:rPr>
        <w:t>la </w:t>
      </w:r>
      <w:r>
        <w:rPr>
          <w:color w:val="006FC0"/>
          <w:spacing w:val="-2"/>
        </w:rPr>
        <w:t>Sécurité</w:t>
      </w:r>
    </w:p>
    <w:p>
      <w:pPr>
        <w:pStyle w:val="ListParagraph"/>
        <w:numPr>
          <w:ilvl w:val="1"/>
          <w:numId w:val="1"/>
        </w:numPr>
        <w:tabs>
          <w:tab w:pos="1493" w:val="left" w:leader="none"/>
          <w:tab w:pos="1837" w:val="left" w:leader="none"/>
        </w:tabs>
        <w:spacing w:line="240" w:lineRule="auto" w:before="205" w:after="0"/>
        <w:ind w:left="1493" w:right="1127" w:hanging="360"/>
        <w:jc w:val="both"/>
        <w:rPr>
          <w:sz w:val="24"/>
        </w:rPr>
      </w:pPr>
      <w:r>
        <w:rPr>
          <w:sz w:val="24"/>
        </w:rPr>
        <w:t>Le renforcement de la Souveraineté et la consolidation de la Paix et de la Sécurité sont au cœur</w:t>
      </w:r>
      <w:r>
        <w:rPr>
          <w:spacing w:val="-2"/>
          <w:sz w:val="24"/>
        </w:rPr>
        <w:t> </w:t>
      </w:r>
      <w:r>
        <w:rPr>
          <w:sz w:val="24"/>
        </w:rPr>
        <w:t>des aspirations de la population malienne pour un Mali nouveau. La mise en œuvre de cet axe doit permettre d’établir la sécurité sur toute l’étendue du territoire national condition sine qua non pour amorcer véritablement le développement socioéconomique du pays, mais aussi, renforcer le climat</w:t>
      </w:r>
      <w:r>
        <w:rPr>
          <w:spacing w:val="40"/>
          <w:sz w:val="24"/>
        </w:rPr>
        <w:t> </w:t>
      </w:r>
      <w:r>
        <w:rPr>
          <w:sz w:val="24"/>
        </w:rPr>
        <w:t>de bon vivre ensemble séculaire des communautés. La montée en puissance des FDS amorcée durant la Transition sera renforcée et permettra d’accroitre les capacités opérationnelles des forces armées. Capitalisant sur la</w:t>
      </w:r>
      <w:r>
        <w:rPr>
          <w:spacing w:val="-1"/>
          <w:sz w:val="24"/>
        </w:rPr>
        <w:t> </w:t>
      </w:r>
      <w:r>
        <w:rPr>
          <w:sz w:val="24"/>
        </w:rPr>
        <w:t>prise de Kidal en</w:t>
      </w:r>
      <w:r>
        <w:rPr>
          <w:spacing w:val="-1"/>
          <w:sz w:val="24"/>
        </w:rPr>
        <w:t> </w:t>
      </w:r>
      <w:r>
        <w:rPr>
          <w:sz w:val="24"/>
        </w:rPr>
        <w:t>novembre 2023, les FDS ont assuré</w:t>
      </w:r>
      <w:r>
        <w:rPr>
          <w:spacing w:val="-1"/>
          <w:sz w:val="24"/>
        </w:rPr>
        <w:t> </w:t>
      </w:r>
      <w:r>
        <w:rPr>
          <w:sz w:val="24"/>
        </w:rPr>
        <w:t>un maillage</w:t>
      </w:r>
      <w:r>
        <w:rPr>
          <w:spacing w:val="-1"/>
          <w:sz w:val="24"/>
        </w:rPr>
        <w:t> </w:t>
      </w:r>
      <w:r>
        <w:rPr>
          <w:sz w:val="24"/>
        </w:rPr>
        <w:t>optimal du territoire permettant de sécuriser l’ensemble du pays avec également une large couverture sur l’espace de l’Alliance des Etats du Sahel (AES) grâce à la mutualisation des moyens.</w:t>
      </w:r>
    </w:p>
    <w:p>
      <w:pPr>
        <w:pStyle w:val="BodyText"/>
        <w:spacing w:before="2"/>
        <w:ind w:left="0" w:firstLine="0"/>
        <w:jc w:val="left"/>
        <w:rPr>
          <w:sz w:val="16"/>
        </w:rPr>
      </w:pPr>
    </w:p>
    <w:tbl>
      <w:tblPr>
        <w:tblW w:w="0" w:type="auto"/>
        <w:jc w:val="left"/>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89"/>
        <w:gridCol w:w="6250"/>
      </w:tblGrid>
      <w:tr>
        <w:trPr>
          <w:trHeight w:val="251" w:hRule="atLeast"/>
        </w:trPr>
        <w:tc>
          <w:tcPr>
            <w:tcW w:w="9639" w:type="dxa"/>
            <w:gridSpan w:val="2"/>
            <w:shd w:val="clear" w:color="auto" w:fill="B4C5E7"/>
          </w:tcPr>
          <w:p>
            <w:pPr>
              <w:pStyle w:val="TableParagraph"/>
              <w:spacing w:line="232" w:lineRule="exact"/>
              <w:ind w:left="69"/>
              <w:rPr>
                <w:b/>
                <w:sz w:val="22"/>
              </w:rPr>
            </w:pPr>
            <w:r>
              <w:rPr>
                <w:b/>
                <w:sz w:val="22"/>
              </w:rPr>
              <w:t>Axe</w:t>
            </w:r>
            <w:r>
              <w:rPr>
                <w:b/>
                <w:spacing w:val="-3"/>
                <w:sz w:val="22"/>
              </w:rPr>
              <w:t> </w:t>
            </w:r>
            <w:r>
              <w:rPr>
                <w:b/>
                <w:sz w:val="22"/>
              </w:rPr>
              <w:t>Stratégique</w:t>
            </w:r>
            <w:r>
              <w:rPr>
                <w:b/>
                <w:spacing w:val="-3"/>
                <w:sz w:val="22"/>
              </w:rPr>
              <w:t> </w:t>
            </w:r>
            <w:r>
              <w:rPr>
                <w:b/>
                <w:sz w:val="22"/>
              </w:rPr>
              <w:t>1</w:t>
            </w:r>
            <w:r>
              <w:rPr>
                <w:b/>
                <w:spacing w:val="-3"/>
                <w:sz w:val="22"/>
              </w:rPr>
              <w:t> </w:t>
            </w:r>
            <w:r>
              <w:rPr>
                <w:b/>
                <w:sz w:val="22"/>
              </w:rPr>
              <w:t>:</w:t>
            </w:r>
            <w:r>
              <w:rPr>
                <w:b/>
                <w:spacing w:val="-3"/>
                <w:sz w:val="22"/>
              </w:rPr>
              <w:t> </w:t>
            </w:r>
            <w:r>
              <w:rPr>
                <w:b/>
                <w:sz w:val="22"/>
              </w:rPr>
              <w:t>Renforcement</w:t>
            </w:r>
            <w:r>
              <w:rPr>
                <w:b/>
                <w:spacing w:val="-2"/>
                <w:sz w:val="22"/>
              </w:rPr>
              <w:t> </w:t>
            </w:r>
            <w:r>
              <w:rPr>
                <w:b/>
                <w:sz w:val="22"/>
              </w:rPr>
              <w:t>de</w:t>
            </w:r>
            <w:r>
              <w:rPr>
                <w:b/>
                <w:spacing w:val="-3"/>
                <w:sz w:val="22"/>
              </w:rPr>
              <w:t> </w:t>
            </w:r>
            <w:r>
              <w:rPr>
                <w:b/>
                <w:sz w:val="22"/>
              </w:rPr>
              <w:t>la</w:t>
            </w:r>
            <w:r>
              <w:rPr>
                <w:b/>
                <w:spacing w:val="-4"/>
                <w:sz w:val="22"/>
              </w:rPr>
              <w:t> </w:t>
            </w:r>
            <w:r>
              <w:rPr>
                <w:b/>
                <w:sz w:val="22"/>
              </w:rPr>
              <w:t>souveraineté</w:t>
            </w:r>
            <w:r>
              <w:rPr>
                <w:b/>
                <w:spacing w:val="-3"/>
                <w:sz w:val="22"/>
              </w:rPr>
              <w:t> </w:t>
            </w:r>
            <w:r>
              <w:rPr>
                <w:b/>
                <w:sz w:val="22"/>
              </w:rPr>
              <w:t>et</w:t>
            </w:r>
            <w:r>
              <w:rPr>
                <w:b/>
                <w:spacing w:val="-5"/>
                <w:sz w:val="22"/>
              </w:rPr>
              <w:t> </w:t>
            </w:r>
            <w:r>
              <w:rPr>
                <w:b/>
                <w:sz w:val="22"/>
              </w:rPr>
              <w:t>Consolidation</w:t>
            </w:r>
            <w:r>
              <w:rPr>
                <w:b/>
                <w:spacing w:val="-2"/>
                <w:sz w:val="22"/>
              </w:rPr>
              <w:t> </w:t>
            </w:r>
            <w:r>
              <w:rPr>
                <w:b/>
                <w:sz w:val="22"/>
              </w:rPr>
              <w:t>de</w:t>
            </w:r>
            <w:r>
              <w:rPr>
                <w:b/>
                <w:spacing w:val="-3"/>
                <w:sz w:val="22"/>
              </w:rPr>
              <w:t> </w:t>
            </w:r>
            <w:r>
              <w:rPr>
                <w:b/>
                <w:sz w:val="22"/>
              </w:rPr>
              <w:t>la</w:t>
            </w:r>
            <w:r>
              <w:rPr>
                <w:b/>
                <w:spacing w:val="-2"/>
                <w:sz w:val="22"/>
              </w:rPr>
              <w:t> </w:t>
            </w:r>
            <w:r>
              <w:rPr>
                <w:b/>
                <w:sz w:val="22"/>
              </w:rPr>
              <w:t>paix</w:t>
            </w:r>
            <w:r>
              <w:rPr>
                <w:b/>
                <w:spacing w:val="-5"/>
                <w:sz w:val="22"/>
              </w:rPr>
              <w:t> </w:t>
            </w:r>
            <w:r>
              <w:rPr>
                <w:b/>
                <w:sz w:val="22"/>
              </w:rPr>
              <w:t>et</w:t>
            </w:r>
            <w:r>
              <w:rPr>
                <w:b/>
                <w:spacing w:val="-2"/>
                <w:sz w:val="22"/>
              </w:rPr>
              <w:t> </w:t>
            </w:r>
            <w:r>
              <w:rPr>
                <w:b/>
                <w:sz w:val="22"/>
              </w:rPr>
              <w:t>de</w:t>
            </w:r>
            <w:r>
              <w:rPr>
                <w:b/>
                <w:spacing w:val="-3"/>
                <w:sz w:val="22"/>
              </w:rPr>
              <w:t> </w:t>
            </w:r>
            <w:r>
              <w:rPr>
                <w:b/>
                <w:sz w:val="22"/>
              </w:rPr>
              <w:t>la</w:t>
            </w:r>
            <w:r>
              <w:rPr>
                <w:b/>
                <w:spacing w:val="-1"/>
                <w:sz w:val="22"/>
              </w:rPr>
              <w:t> </w:t>
            </w:r>
            <w:r>
              <w:rPr>
                <w:b/>
                <w:spacing w:val="-2"/>
                <w:sz w:val="22"/>
              </w:rPr>
              <w:t>sécurité</w:t>
            </w:r>
          </w:p>
        </w:tc>
      </w:tr>
      <w:tr>
        <w:trPr>
          <w:trHeight w:val="551" w:hRule="atLeast"/>
        </w:trPr>
        <w:tc>
          <w:tcPr>
            <w:tcW w:w="3389" w:type="dxa"/>
            <w:vMerge w:val="restart"/>
            <w:shd w:val="clear" w:color="auto" w:fill="D9E1F3"/>
          </w:tcPr>
          <w:p>
            <w:pPr>
              <w:pStyle w:val="TableParagraph"/>
              <w:spacing w:before="156"/>
              <w:ind w:left="69" w:right="55"/>
              <w:jc w:val="both"/>
              <w:rPr>
                <w:sz w:val="22"/>
              </w:rPr>
            </w:pPr>
            <w:r>
              <w:rPr>
                <w:b/>
                <w:sz w:val="22"/>
              </w:rPr>
              <w:t>Objectif Global 1.1</w:t>
            </w:r>
            <w:r>
              <w:rPr>
                <w:sz w:val="22"/>
              </w:rPr>
              <w:t>.</w:t>
            </w:r>
            <w:r>
              <w:rPr>
                <w:spacing w:val="-5"/>
                <w:sz w:val="22"/>
              </w:rPr>
              <w:t> </w:t>
            </w:r>
            <w:r>
              <w:rPr>
                <w:sz w:val="22"/>
              </w:rPr>
              <w:t>: Renforcer la capacité de défense et de sécurité du </w:t>
            </w:r>
            <w:r>
              <w:rPr>
                <w:spacing w:val="-4"/>
                <w:sz w:val="22"/>
              </w:rPr>
              <w:t>pays</w:t>
            </w:r>
          </w:p>
        </w:tc>
        <w:tc>
          <w:tcPr>
            <w:tcW w:w="6250" w:type="dxa"/>
            <w:shd w:val="clear" w:color="auto" w:fill="D9E1F3"/>
          </w:tcPr>
          <w:p>
            <w:pPr>
              <w:pStyle w:val="TableParagraph"/>
              <w:ind w:left="69"/>
              <w:rPr>
                <w:sz w:val="24"/>
              </w:rPr>
            </w:pPr>
            <w:r>
              <w:rPr>
                <w:sz w:val="22"/>
              </w:rPr>
              <w:t>Objectif</w:t>
            </w:r>
            <w:r>
              <w:rPr>
                <w:spacing w:val="9"/>
                <w:sz w:val="22"/>
              </w:rPr>
              <w:t> </w:t>
            </w:r>
            <w:r>
              <w:rPr>
                <w:sz w:val="22"/>
              </w:rPr>
              <w:t>Spécifique</w:t>
            </w:r>
            <w:r>
              <w:rPr>
                <w:spacing w:val="12"/>
                <w:sz w:val="22"/>
              </w:rPr>
              <w:t> </w:t>
            </w:r>
            <w:r>
              <w:rPr>
                <w:sz w:val="22"/>
              </w:rPr>
              <w:t>1.1.1.</w:t>
            </w:r>
            <w:r>
              <w:rPr>
                <w:spacing w:val="12"/>
                <w:sz w:val="22"/>
              </w:rPr>
              <w:t> </w:t>
            </w:r>
            <w:r>
              <w:rPr>
                <w:sz w:val="22"/>
              </w:rPr>
              <w:t>:</w:t>
            </w:r>
            <w:r>
              <w:rPr>
                <w:spacing w:val="13"/>
                <w:sz w:val="22"/>
              </w:rPr>
              <w:t> </w:t>
            </w:r>
            <w:r>
              <w:rPr>
                <w:sz w:val="24"/>
              </w:rPr>
              <w:t>Acquérir</w:t>
            </w:r>
            <w:r>
              <w:rPr>
                <w:spacing w:val="11"/>
                <w:sz w:val="24"/>
              </w:rPr>
              <w:t> </w:t>
            </w:r>
            <w:r>
              <w:rPr>
                <w:sz w:val="24"/>
              </w:rPr>
              <w:t>des</w:t>
            </w:r>
            <w:r>
              <w:rPr>
                <w:spacing w:val="10"/>
                <w:sz w:val="24"/>
              </w:rPr>
              <w:t> </w:t>
            </w:r>
            <w:r>
              <w:rPr>
                <w:sz w:val="24"/>
              </w:rPr>
              <w:t>capacités</w:t>
            </w:r>
            <w:r>
              <w:rPr>
                <w:spacing w:val="12"/>
                <w:sz w:val="24"/>
              </w:rPr>
              <w:t> </w:t>
            </w:r>
            <w:r>
              <w:rPr>
                <w:sz w:val="24"/>
              </w:rPr>
              <w:t>militaires</w:t>
            </w:r>
            <w:r>
              <w:rPr>
                <w:spacing w:val="13"/>
                <w:sz w:val="24"/>
              </w:rPr>
              <w:t> </w:t>
            </w:r>
            <w:r>
              <w:rPr>
                <w:spacing w:val="-2"/>
                <w:sz w:val="24"/>
              </w:rPr>
              <w:t>suffisantes</w:t>
            </w:r>
          </w:p>
          <w:p>
            <w:pPr>
              <w:pStyle w:val="TableParagraph"/>
              <w:spacing w:line="255" w:lineRule="exact" w:before="1"/>
              <w:ind w:left="69"/>
              <w:rPr>
                <w:sz w:val="24"/>
              </w:rPr>
            </w:pPr>
            <w:r>
              <w:rPr>
                <w:sz w:val="24"/>
              </w:rPr>
              <w:t>pour</w:t>
            </w:r>
            <w:r>
              <w:rPr>
                <w:spacing w:val="-4"/>
                <w:sz w:val="24"/>
              </w:rPr>
              <w:t> </w:t>
            </w:r>
            <w:r>
              <w:rPr>
                <w:sz w:val="24"/>
              </w:rPr>
              <w:t>la</w:t>
            </w:r>
            <w:r>
              <w:rPr>
                <w:spacing w:val="-4"/>
                <w:sz w:val="24"/>
              </w:rPr>
              <w:t> </w:t>
            </w:r>
            <w:r>
              <w:rPr>
                <w:sz w:val="24"/>
              </w:rPr>
              <w:t>défense</w:t>
            </w:r>
            <w:r>
              <w:rPr>
                <w:spacing w:val="-3"/>
                <w:sz w:val="24"/>
              </w:rPr>
              <w:t> </w:t>
            </w:r>
            <w:r>
              <w:rPr>
                <w:sz w:val="24"/>
              </w:rPr>
              <w:t>de</w:t>
            </w:r>
            <w:r>
              <w:rPr>
                <w:spacing w:val="-3"/>
                <w:sz w:val="24"/>
              </w:rPr>
              <w:t> </w:t>
            </w:r>
            <w:r>
              <w:rPr>
                <w:sz w:val="24"/>
              </w:rPr>
              <w:t>l’intégrité</w:t>
            </w:r>
            <w:r>
              <w:rPr>
                <w:spacing w:val="-3"/>
                <w:sz w:val="24"/>
              </w:rPr>
              <w:t> </w:t>
            </w:r>
            <w:r>
              <w:rPr>
                <w:spacing w:val="-2"/>
                <w:sz w:val="24"/>
              </w:rPr>
              <w:t>territoriale</w:t>
            </w:r>
          </w:p>
        </w:tc>
      </w:tr>
      <w:tr>
        <w:trPr>
          <w:trHeight w:val="501" w:hRule="atLeast"/>
        </w:trPr>
        <w:tc>
          <w:tcPr>
            <w:tcW w:w="3389" w:type="dxa"/>
            <w:vMerge/>
            <w:tcBorders>
              <w:top w:val="nil"/>
            </w:tcBorders>
            <w:shd w:val="clear" w:color="auto" w:fill="D9E1F3"/>
          </w:tcPr>
          <w:p>
            <w:pPr>
              <w:rPr>
                <w:sz w:val="2"/>
                <w:szCs w:val="2"/>
              </w:rPr>
            </w:pPr>
          </w:p>
        </w:tc>
        <w:tc>
          <w:tcPr>
            <w:tcW w:w="6250" w:type="dxa"/>
            <w:tcBorders>
              <w:bottom w:val="double" w:sz="4" w:space="0" w:color="000000"/>
            </w:tcBorders>
            <w:shd w:val="clear" w:color="auto" w:fill="D9E1F3"/>
          </w:tcPr>
          <w:p>
            <w:pPr>
              <w:pStyle w:val="TableParagraph"/>
              <w:spacing w:line="252" w:lineRule="exact"/>
              <w:ind w:left="69"/>
              <w:rPr>
                <w:sz w:val="22"/>
              </w:rPr>
            </w:pPr>
            <w:r>
              <w:rPr>
                <w:sz w:val="22"/>
              </w:rPr>
              <w:t>Objectif</w:t>
            </w:r>
            <w:r>
              <w:rPr>
                <w:spacing w:val="29"/>
                <w:sz w:val="22"/>
              </w:rPr>
              <w:t> </w:t>
            </w:r>
            <w:r>
              <w:rPr>
                <w:sz w:val="22"/>
              </w:rPr>
              <w:t>Spécifique</w:t>
            </w:r>
            <w:r>
              <w:rPr>
                <w:spacing w:val="30"/>
                <w:sz w:val="22"/>
              </w:rPr>
              <w:t> </w:t>
            </w:r>
            <w:r>
              <w:rPr>
                <w:sz w:val="22"/>
              </w:rPr>
              <w:t>1.1.2</w:t>
            </w:r>
            <w:r>
              <w:rPr>
                <w:spacing w:val="31"/>
                <w:sz w:val="22"/>
              </w:rPr>
              <w:t> </w:t>
            </w:r>
            <w:r>
              <w:rPr>
                <w:sz w:val="22"/>
              </w:rPr>
              <w:t>:</w:t>
            </w:r>
            <w:r>
              <w:rPr>
                <w:spacing w:val="31"/>
                <w:sz w:val="22"/>
              </w:rPr>
              <w:t> </w:t>
            </w:r>
            <w:r>
              <w:rPr>
                <w:sz w:val="22"/>
              </w:rPr>
              <w:t>Eradiquer</w:t>
            </w:r>
            <w:r>
              <w:rPr>
                <w:spacing w:val="31"/>
                <w:sz w:val="22"/>
              </w:rPr>
              <w:t> </w:t>
            </w:r>
            <w:r>
              <w:rPr>
                <w:sz w:val="22"/>
              </w:rPr>
              <w:t>le</w:t>
            </w:r>
            <w:r>
              <w:rPr>
                <w:spacing w:val="31"/>
                <w:sz w:val="22"/>
              </w:rPr>
              <w:t> </w:t>
            </w:r>
            <w:r>
              <w:rPr>
                <w:sz w:val="22"/>
              </w:rPr>
              <w:t>terrorisme</w:t>
            </w:r>
            <w:r>
              <w:rPr>
                <w:spacing w:val="31"/>
                <w:sz w:val="22"/>
              </w:rPr>
              <w:t> </w:t>
            </w:r>
            <w:r>
              <w:rPr>
                <w:sz w:val="22"/>
              </w:rPr>
              <w:t>et</w:t>
            </w:r>
            <w:r>
              <w:rPr>
                <w:spacing w:val="31"/>
                <w:sz w:val="22"/>
              </w:rPr>
              <w:t> </w:t>
            </w:r>
            <w:r>
              <w:rPr>
                <w:sz w:val="22"/>
              </w:rPr>
              <w:t>l’extrémisme</w:t>
            </w:r>
            <w:r>
              <w:rPr>
                <w:spacing w:val="31"/>
                <w:sz w:val="22"/>
              </w:rPr>
              <w:t> </w:t>
            </w:r>
            <w:r>
              <w:rPr>
                <w:spacing w:val="-2"/>
                <w:sz w:val="22"/>
              </w:rPr>
              <w:t>violent</w:t>
            </w:r>
          </w:p>
          <w:p>
            <w:pPr>
              <w:pStyle w:val="TableParagraph"/>
              <w:spacing w:line="230" w:lineRule="exact"/>
              <w:ind w:left="69"/>
              <w:rPr>
                <w:sz w:val="22"/>
              </w:rPr>
            </w:pPr>
            <w:r>
              <w:rPr>
                <w:sz w:val="22"/>
              </w:rPr>
              <w:t>sous</w:t>
            </w:r>
            <w:r>
              <w:rPr>
                <w:spacing w:val="-5"/>
                <w:sz w:val="22"/>
              </w:rPr>
              <w:t> </w:t>
            </w:r>
            <w:r>
              <w:rPr>
                <w:sz w:val="22"/>
              </w:rPr>
              <w:t>toutes</w:t>
            </w:r>
            <w:r>
              <w:rPr>
                <w:spacing w:val="-5"/>
                <w:sz w:val="22"/>
              </w:rPr>
              <w:t> </w:t>
            </w:r>
            <w:r>
              <w:rPr>
                <w:sz w:val="22"/>
              </w:rPr>
              <w:t>ses</w:t>
            </w:r>
            <w:r>
              <w:rPr>
                <w:spacing w:val="-4"/>
                <w:sz w:val="22"/>
              </w:rPr>
              <w:t> </w:t>
            </w:r>
            <w:r>
              <w:rPr>
                <w:spacing w:val="-2"/>
                <w:sz w:val="22"/>
              </w:rPr>
              <w:t>formes</w:t>
            </w:r>
          </w:p>
        </w:tc>
      </w:tr>
      <w:tr>
        <w:trPr>
          <w:trHeight w:val="535" w:hRule="atLeast"/>
        </w:trPr>
        <w:tc>
          <w:tcPr>
            <w:tcW w:w="3389" w:type="dxa"/>
            <w:vMerge w:val="restart"/>
            <w:shd w:val="clear" w:color="auto" w:fill="D9E1F3"/>
          </w:tcPr>
          <w:p>
            <w:pPr>
              <w:pStyle w:val="TableParagraph"/>
              <w:spacing w:before="12"/>
              <w:rPr>
                <w:sz w:val="22"/>
              </w:rPr>
            </w:pPr>
          </w:p>
          <w:p>
            <w:pPr>
              <w:pStyle w:val="TableParagraph"/>
              <w:ind w:left="69"/>
              <w:rPr>
                <w:sz w:val="22"/>
              </w:rPr>
            </w:pPr>
            <w:r>
              <w:rPr>
                <w:b/>
                <w:sz w:val="22"/>
              </w:rPr>
              <w:t>Objectif</w:t>
            </w:r>
            <w:r>
              <w:rPr>
                <w:b/>
                <w:spacing w:val="80"/>
                <w:sz w:val="22"/>
              </w:rPr>
              <w:t> </w:t>
            </w:r>
            <w:r>
              <w:rPr>
                <w:b/>
                <w:sz w:val="22"/>
              </w:rPr>
              <w:t>Global</w:t>
            </w:r>
            <w:r>
              <w:rPr>
                <w:b/>
                <w:spacing w:val="80"/>
                <w:sz w:val="22"/>
              </w:rPr>
              <w:t> </w:t>
            </w:r>
            <w:r>
              <w:rPr>
                <w:b/>
                <w:sz w:val="22"/>
              </w:rPr>
              <w:t>1.2</w:t>
            </w:r>
            <w:r>
              <w:rPr>
                <w:b/>
                <w:spacing w:val="-1"/>
                <w:sz w:val="22"/>
              </w:rPr>
              <w:t> </w:t>
            </w:r>
            <w:r>
              <w:rPr>
                <w:sz w:val="22"/>
              </w:rPr>
              <w:t>:</w:t>
            </w:r>
            <w:r>
              <w:rPr>
                <w:spacing w:val="80"/>
                <w:sz w:val="22"/>
              </w:rPr>
              <w:t> </w:t>
            </w:r>
            <w:r>
              <w:rPr>
                <w:sz w:val="22"/>
              </w:rPr>
              <w:t>Préserver</w:t>
            </w:r>
            <w:r>
              <w:rPr>
                <w:spacing w:val="80"/>
                <w:sz w:val="22"/>
              </w:rPr>
              <w:t> </w:t>
            </w:r>
            <w:r>
              <w:rPr>
                <w:sz w:val="22"/>
              </w:rPr>
              <w:t>et Consolider la paix sociale</w:t>
            </w:r>
          </w:p>
        </w:tc>
        <w:tc>
          <w:tcPr>
            <w:tcW w:w="6250" w:type="dxa"/>
            <w:tcBorders>
              <w:top w:val="double" w:sz="4" w:space="0" w:color="000000"/>
            </w:tcBorders>
            <w:shd w:val="clear" w:color="auto" w:fill="D9E1F3"/>
          </w:tcPr>
          <w:p>
            <w:pPr>
              <w:pStyle w:val="TableParagraph"/>
              <w:spacing w:line="252" w:lineRule="exact" w:before="11"/>
              <w:ind w:left="69"/>
              <w:rPr>
                <w:sz w:val="22"/>
              </w:rPr>
            </w:pPr>
            <w:r>
              <w:rPr>
                <w:sz w:val="22"/>
              </w:rPr>
              <w:t>Objectif</w:t>
            </w:r>
            <w:r>
              <w:rPr>
                <w:spacing w:val="80"/>
                <w:sz w:val="22"/>
              </w:rPr>
              <w:t> </w:t>
            </w:r>
            <w:r>
              <w:rPr>
                <w:sz w:val="22"/>
              </w:rPr>
              <w:t>Spécifique 1.2.1.</w:t>
            </w:r>
            <w:r>
              <w:rPr>
                <w:spacing w:val="80"/>
                <w:sz w:val="22"/>
              </w:rPr>
              <w:t> </w:t>
            </w:r>
            <w:r>
              <w:rPr>
                <w:sz w:val="22"/>
              </w:rPr>
              <w:t>:</w:t>
            </w:r>
            <w:r>
              <w:rPr>
                <w:spacing w:val="80"/>
                <w:sz w:val="22"/>
              </w:rPr>
              <w:t> </w:t>
            </w:r>
            <w:r>
              <w:rPr>
                <w:sz w:val="22"/>
              </w:rPr>
              <w:t>Restaurer</w:t>
            </w:r>
            <w:r>
              <w:rPr>
                <w:spacing w:val="80"/>
                <w:sz w:val="22"/>
              </w:rPr>
              <w:t> </w:t>
            </w:r>
            <w:r>
              <w:rPr>
                <w:sz w:val="22"/>
              </w:rPr>
              <w:t>la</w:t>
            </w:r>
            <w:r>
              <w:rPr>
                <w:spacing w:val="80"/>
                <w:sz w:val="22"/>
              </w:rPr>
              <w:t> </w:t>
            </w:r>
            <w:r>
              <w:rPr>
                <w:sz w:val="22"/>
              </w:rPr>
              <w:t>cohésion</w:t>
            </w:r>
            <w:r>
              <w:rPr>
                <w:spacing w:val="80"/>
                <w:sz w:val="22"/>
              </w:rPr>
              <w:t> </w:t>
            </w:r>
            <w:r>
              <w:rPr>
                <w:sz w:val="22"/>
              </w:rPr>
              <w:t>sociale</w:t>
            </w:r>
            <w:r>
              <w:rPr>
                <w:spacing w:val="80"/>
                <w:sz w:val="22"/>
              </w:rPr>
              <w:t> </w:t>
            </w:r>
            <w:r>
              <w:rPr>
                <w:sz w:val="22"/>
              </w:rPr>
              <w:t>et</w:t>
            </w:r>
            <w:r>
              <w:rPr>
                <w:spacing w:val="80"/>
                <w:sz w:val="22"/>
              </w:rPr>
              <w:t> </w:t>
            </w:r>
            <w:r>
              <w:rPr>
                <w:sz w:val="22"/>
              </w:rPr>
              <w:t>le</w:t>
            </w:r>
            <w:r>
              <w:rPr>
                <w:spacing w:val="80"/>
                <w:sz w:val="22"/>
              </w:rPr>
              <w:t> </w:t>
            </w:r>
            <w:r>
              <w:rPr>
                <w:sz w:val="22"/>
              </w:rPr>
              <w:t>vivre </w:t>
            </w:r>
            <w:r>
              <w:rPr>
                <w:spacing w:val="-2"/>
                <w:sz w:val="22"/>
              </w:rPr>
              <w:t>ensemble</w:t>
            </w:r>
          </w:p>
        </w:tc>
      </w:tr>
      <w:tr>
        <w:trPr>
          <w:trHeight w:val="508" w:hRule="atLeast"/>
        </w:trPr>
        <w:tc>
          <w:tcPr>
            <w:tcW w:w="3389" w:type="dxa"/>
            <w:vMerge/>
            <w:tcBorders>
              <w:top w:val="nil"/>
            </w:tcBorders>
            <w:shd w:val="clear" w:color="auto" w:fill="D9E1F3"/>
          </w:tcPr>
          <w:p>
            <w:pPr>
              <w:rPr>
                <w:sz w:val="2"/>
                <w:szCs w:val="2"/>
              </w:rPr>
            </w:pPr>
          </w:p>
        </w:tc>
        <w:tc>
          <w:tcPr>
            <w:tcW w:w="6250" w:type="dxa"/>
            <w:shd w:val="clear" w:color="auto" w:fill="D9E1F3"/>
          </w:tcPr>
          <w:p>
            <w:pPr>
              <w:pStyle w:val="TableParagraph"/>
              <w:spacing w:line="252" w:lineRule="exact" w:before="2"/>
              <w:ind w:left="69"/>
              <w:rPr>
                <w:sz w:val="22"/>
              </w:rPr>
            </w:pPr>
            <w:r>
              <w:rPr>
                <w:sz w:val="22"/>
              </w:rPr>
              <w:t>Objectif</w:t>
            </w:r>
            <w:r>
              <w:rPr>
                <w:spacing w:val="62"/>
                <w:w w:val="150"/>
                <w:sz w:val="22"/>
              </w:rPr>
              <w:t> </w:t>
            </w:r>
            <w:r>
              <w:rPr>
                <w:sz w:val="22"/>
              </w:rPr>
              <w:t>Spécifique</w:t>
            </w:r>
            <w:r>
              <w:rPr>
                <w:spacing w:val="-2"/>
                <w:sz w:val="22"/>
              </w:rPr>
              <w:t> </w:t>
            </w:r>
            <w:r>
              <w:rPr>
                <w:sz w:val="22"/>
              </w:rPr>
              <w:t>1.2.2</w:t>
            </w:r>
            <w:r>
              <w:rPr>
                <w:spacing w:val="-2"/>
                <w:sz w:val="22"/>
              </w:rPr>
              <w:t> </w:t>
            </w:r>
            <w:r>
              <w:rPr>
                <w:sz w:val="22"/>
              </w:rPr>
              <w:t>:</w:t>
            </w:r>
            <w:r>
              <w:rPr>
                <w:spacing w:val="59"/>
                <w:w w:val="150"/>
                <w:sz w:val="22"/>
              </w:rPr>
              <w:t> </w:t>
            </w:r>
            <w:r>
              <w:rPr>
                <w:sz w:val="22"/>
              </w:rPr>
              <w:t>Mettre</w:t>
            </w:r>
            <w:r>
              <w:rPr>
                <w:spacing w:val="63"/>
                <w:w w:val="150"/>
                <w:sz w:val="22"/>
              </w:rPr>
              <w:t> </w:t>
            </w:r>
            <w:r>
              <w:rPr>
                <w:sz w:val="22"/>
              </w:rPr>
              <w:t>en</w:t>
            </w:r>
            <w:r>
              <w:rPr>
                <w:spacing w:val="60"/>
                <w:w w:val="150"/>
                <w:sz w:val="22"/>
              </w:rPr>
              <w:t> </w:t>
            </w:r>
            <w:r>
              <w:rPr>
                <w:sz w:val="22"/>
              </w:rPr>
              <w:t>œuvre</w:t>
            </w:r>
            <w:r>
              <w:rPr>
                <w:spacing w:val="60"/>
                <w:w w:val="150"/>
                <w:sz w:val="22"/>
              </w:rPr>
              <w:t> </w:t>
            </w:r>
            <w:r>
              <w:rPr>
                <w:sz w:val="22"/>
              </w:rPr>
              <w:t>les</w:t>
            </w:r>
            <w:r>
              <w:rPr>
                <w:spacing w:val="61"/>
                <w:w w:val="150"/>
                <w:sz w:val="22"/>
              </w:rPr>
              <w:t> </w:t>
            </w:r>
            <w:r>
              <w:rPr>
                <w:sz w:val="22"/>
              </w:rPr>
              <w:t>recommandations</w:t>
            </w:r>
            <w:r>
              <w:rPr>
                <w:spacing w:val="60"/>
                <w:w w:val="150"/>
                <w:sz w:val="22"/>
              </w:rPr>
              <w:t> </w:t>
            </w:r>
            <w:r>
              <w:rPr>
                <w:spacing w:val="-5"/>
                <w:sz w:val="22"/>
              </w:rPr>
              <w:t>du</w:t>
            </w:r>
          </w:p>
          <w:p>
            <w:pPr>
              <w:pStyle w:val="TableParagraph"/>
              <w:spacing w:line="234" w:lineRule="exact"/>
              <w:ind w:left="69"/>
              <w:rPr>
                <w:sz w:val="22"/>
              </w:rPr>
            </w:pPr>
            <w:r>
              <w:rPr>
                <w:sz w:val="22"/>
              </w:rPr>
              <w:t>Dialogue</w:t>
            </w:r>
            <w:r>
              <w:rPr>
                <w:spacing w:val="-9"/>
                <w:sz w:val="22"/>
              </w:rPr>
              <w:t> </w:t>
            </w:r>
            <w:r>
              <w:rPr>
                <w:sz w:val="22"/>
              </w:rPr>
              <w:t>Inter-</w:t>
            </w:r>
            <w:r>
              <w:rPr>
                <w:spacing w:val="-2"/>
                <w:sz w:val="22"/>
              </w:rPr>
              <w:t>Maliens</w:t>
            </w:r>
          </w:p>
        </w:tc>
      </w:tr>
    </w:tbl>
    <w:p>
      <w:pPr>
        <w:pStyle w:val="Heading3"/>
        <w:numPr>
          <w:ilvl w:val="2"/>
          <w:numId w:val="10"/>
        </w:numPr>
        <w:tabs>
          <w:tab w:pos="1678" w:val="left" w:leader="none"/>
        </w:tabs>
        <w:spacing w:line="240" w:lineRule="auto" w:before="186" w:after="0"/>
        <w:ind w:left="1678" w:right="0" w:hanging="545"/>
        <w:jc w:val="left"/>
        <w:rPr>
          <w:color w:val="006FC0"/>
        </w:rPr>
      </w:pPr>
      <w:bookmarkStart w:name="_bookmark21" w:id="22"/>
      <w:bookmarkEnd w:id="22"/>
      <w:r>
        <w:rPr>
          <w:b w:val="0"/>
        </w:rPr>
      </w:r>
      <w:r>
        <w:rPr>
          <w:color w:val="006FC0"/>
        </w:rPr>
        <w:t>Axe</w:t>
      </w:r>
      <w:r>
        <w:rPr>
          <w:color w:val="006FC0"/>
          <w:spacing w:val="-2"/>
        </w:rPr>
        <w:t> </w:t>
      </w:r>
      <w:r>
        <w:rPr>
          <w:color w:val="006FC0"/>
        </w:rPr>
        <w:t>Stratégique</w:t>
      </w:r>
      <w:r>
        <w:rPr>
          <w:color w:val="006FC0"/>
          <w:spacing w:val="-2"/>
        </w:rPr>
        <w:t> </w:t>
      </w:r>
      <w:r>
        <w:rPr>
          <w:color w:val="006FC0"/>
        </w:rPr>
        <w:t>2</w:t>
      </w:r>
      <w:r>
        <w:rPr>
          <w:color w:val="006FC0"/>
          <w:spacing w:val="1"/>
        </w:rPr>
        <w:t> </w:t>
      </w:r>
      <w:r>
        <w:rPr>
          <w:color w:val="006FC0"/>
        </w:rPr>
        <w:t>:</w:t>
      </w:r>
      <w:r>
        <w:rPr>
          <w:color w:val="006FC0"/>
          <w:spacing w:val="-4"/>
        </w:rPr>
        <w:t> </w:t>
      </w:r>
      <w:r>
        <w:rPr>
          <w:color w:val="006FC0"/>
        </w:rPr>
        <w:t>Refondation</w:t>
      </w:r>
      <w:r>
        <w:rPr>
          <w:color w:val="006FC0"/>
          <w:spacing w:val="-3"/>
        </w:rPr>
        <w:t> </w:t>
      </w:r>
      <w:r>
        <w:rPr>
          <w:color w:val="006FC0"/>
        </w:rPr>
        <w:t>de</w:t>
      </w:r>
      <w:r>
        <w:rPr>
          <w:color w:val="006FC0"/>
          <w:spacing w:val="-2"/>
        </w:rPr>
        <w:t> </w:t>
      </w:r>
      <w:r>
        <w:rPr>
          <w:color w:val="006FC0"/>
        </w:rPr>
        <w:t>la</w:t>
      </w:r>
      <w:r>
        <w:rPr>
          <w:color w:val="006FC0"/>
          <w:spacing w:val="-1"/>
        </w:rPr>
        <w:t> </w:t>
      </w:r>
      <w:r>
        <w:rPr>
          <w:color w:val="006FC0"/>
          <w:spacing w:val="-2"/>
        </w:rPr>
        <w:t>gouvernance.</w:t>
      </w:r>
    </w:p>
    <w:p>
      <w:pPr>
        <w:pStyle w:val="ListParagraph"/>
        <w:numPr>
          <w:ilvl w:val="1"/>
          <w:numId w:val="1"/>
        </w:numPr>
        <w:tabs>
          <w:tab w:pos="1493" w:val="left" w:leader="none"/>
          <w:tab w:pos="1837" w:val="left" w:leader="none"/>
        </w:tabs>
        <w:spacing w:line="240" w:lineRule="auto" w:before="183" w:after="0"/>
        <w:ind w:left="1493" w:right="1134" w:hanging="360"/>
        <w:jc w:val="both"/>
        <w:rPr>
          <w:sz w:val="24"/>
        </w:rPr>
      </w:pPr>
      <w:r>
        <w:rPr>
          <w:sz w:val="24"/>
        </w:rPr>
        <w:t>L’un des principaux résultats du diagnostic stratégique est d’avoir mis en lumière le rôle moteur et structurant de la gouvernance pour le Mali. Ce résultat est une constante structurelle dans la mesure où il est également apparu lors du même type d’analyse menée il y a une vingtaine d’années ainsi qu'en</w:t>
      </w:r>
      <w:r>
        <w:rPr>
          <w:spacing w:val="-2"/>
          <w:sz w:val="24"/>
        </w:rPr>
        <w:t> </w:t>
      </w:r>
      <w:r>
        <w:rPr>
          <w:sz w:val="24"/>
        </w:rPr>
        <w:t>2018 lors</w:t>
      </w:r>
      <w:r>
        <w:rPr>
          <w:spacing w:val="-3"/>
          <w:sz w:val="24"/>
        </w:rPr>
        <w:t> </w:t>
      </w:r>
      <w:r>
        <w:rPr>
          <w:sz w:val="24"/>
        </w:rPr>
        <w:t>de</w:t>
      </w:r>
      <w:r>
        <w:rPr>
          <w:spacing w:val="-1"/>
          <w:sz w:val="24"/>
        </w:rPr>
        <w:t> </w:t>
      </w:r>
      <w:r>
        <w:rPr>
          <w:sz w:val="24"/>
        </w:rPr>
        <w:t>l'élaboration</w:t>
      </w:r>
      <w:r>
        <w:rPr>
          <w:spacing w:val="-2"/>
          <w:sz w:val="24"/>
        </w:rPr>
        <w:t> </w:t>
      </w:r>
      <w:r>
        <w:rPr>
          <w:sz w:val="24"/>
        </w:rPr>
        <w:t>du CREDD</w:t>
      </w:r>
      <w:r>
        <w:rPr>
          <w:spacing w:val="-3"/>
          <w:sz w:val="24"/>
        </w:rPr>
        <w:t> </w:t>
      </w:r>
      <w:r>
        <w:rPr>
          <w:sz w:val="24"/>
        </w:rPr>
        <w:t>2019-2023.</w:t>
      </w:r>
      <w:r>
        <w:rPr>
          <w:spacing w:val="-2"/>
          <w:sz w:val="24"/>
        </w:rPr>
        <w:t> </w:t>
      </w:r>
      <w:r>
        <w:rPr>
          <w:sz w:val="24"/>
        </w:rPr>
        <w:t>L’amélioration</w:t>
      </w:r>
      <w:r>
        <w:rPr>
          <w:spacing w:val="-2"/>
          <w:sz w:val="24"/>
        </w:rPr>
        <w:t> </w:t>
      </w:r>
      <w:r>
        <w:rPr>
          <w:sz w:val="24"/>
        </w:rPr>
        <w:t>de la gouvernance est donc</w:t>
      </w:r>
      <w:r>
        <w:rPr>
          <w:spacing w:val="-3"/>
          <w:sz w:val="24"/>
        </w:rPr>
        <w:t> </w:t>
      </w:r>
      <w:r>
        <w:rPr>
          <w:sz w:val="24"/>
        </w:rPr>
        <w:t>un défi important à relever pour donner plus de chance aux politiques et stratégies dans tous les autres domaines d’atteindre leurs résultats.</w:t>
      </w:r>
    </w:p>
    <w:p>
      <w:pPr>
        <w:pStyle w:val="ListParagraph"/>
        <w:numPr>
          <w:ilvl w:val="1"/>
          <w:numId w:val="1"/>
        </w:numPr>
        <w:tabs>
          <w:tab w:pos="1493" w:val="left" w:leader="none"/>
          <w:tab w:pos="1837" w:val="left" w:leader="none"/>
        </w:tabs>
        <w:spacing w:line="240" w:lineRule="auto" w:before="184" w:after="0"/>
        <w:ind w:left="1493" w:right="1127" w:hanging="360"/>
        <w:jc w:val="both"/>
        <w:rPr>
          <w:sz w:val="24"/>
        </w:rPr>
      </w:pPr>
      <w:r>
        <w:rPr>
          <w:sz w:val="24"/>
        </w:rPr>
        <w:t>Le</w:t>
      </w:r>
      <w:r>
        <w:rPr>
          <w:spacing w:val="40"/>
          <w:sz w:val="24"/>
        </w:rPr>
        <w:t> </w:t>
      </w:r>
      <w:r>
        <w:rPr>
          <w:sz w:val="24"/>
        </w:rPr>
        <w:t>Gouvernement</w:t>
      </w:r>
      <w:r>
        <w:rPr>
          <w:spacing w:val="40"/>
          <w:sz w:val="24"/>
        </w:rPr>
        <w:t> </w:t>
      </w:r>
      <w:r>
        <w:rPr>
          <w:sz w:val="24"/>
        </w:rPr>
        <w:t>entend</w:t>
      </w:r>
      <w:r>
        <w:rPr>
          <w:spacing w:val="40"/>
          <w:sz w:val="24"/>
        </w:rPr>
        <w:t> </w:t>
      </w:r>
      <w:r>
        <w:rPr>
          <w:sz w:val="24"/>
        </w:rPr>
        <w:t>poursuivre</w:t>
      </w:r>
      <w:r>
        <w:rPr>
          <w:spacing w:val="40"/>
          <w:sz w:val="24"/>
        </w:rPr>
        <w:t> </w:t>
      </w:r>
      <w:r>
        <w:rPr>
          <w:sz w:val="24"/>
        </w:rPr>
        <w:t>la</w:t>
      </w:r>
      <w:r>
        <w:rPr>
          <w:spacing w:val="40"/>
          <w:sz w:val="24"/>
        </w:rPr>
        <w:t> </w:t>
      </w:r>
      <w:r>
        <w:rPr>
          <w:sz w:val="24"/>
        </w:rPr>
        <w:t>refondation</w:t>
      </w:r>
      <w:r>
        <w:rPr>
          <w:spacing w:val="40"/>
          <w:sz w:val="24"/>
        </w:rPr>
        <w:t> </w:t>
      </w:r>
      <w:r>
        <w:rPr>
          <w:sz w:val="24"/>
        </w:rPr>
        <w:t>de</w:t>
      </w:r>
      <w:r>
        <w:rPr>
          <w:spacing w:val="40"/>
          <w:sz w:val="24"/>
        </w:rPr>
        <w:t> </w:t>
      </w:r>
      <w:r>
        <w:rPr>
          <w:sz w:val="24"/>
        </w:rPr>
        <w:t>la</w:t>
      </w:r>
      <w:r>
        <w:rPr>
          <w:spacing w:val="40"/>
          <w:sz w:val="24"/>
        </w:rPr>
        <w:t> </w:t>
      </w:r>
      <w:r>
        <w:rPr>
          <w:sz w:val="24"/>
        </w:rPr>
        <w:t>gouvernance</w:t>
      </w:r>
      <w:r>
        <w:rPr>
          <w:spacing w:val="40"/>
          <w:sz w:val="24"/>
        </w:rPr>
        <w:t> </w:t>
      </w:r>
      <w:r>
        <w:rPr>
          <w:sz w:val="24"/>
        </w:rPr>
        <w:t>à</w:t>
      </w:r>
      <w:r>
        <w:rPr>
          <w:spacing w:val="40"/>
          <w:sz w:val="24"/>
        </w:rPr>
        <w:t> </w:t>
      </w:r>
      <w:r>
        <w:rPr>
          <w:sz w:val="24"/>
        </w:rPr>
        <w:t>travers</w:t>
      </w:r>
      <w:r>
        <w:rPr>
          <w:spacing w:val="40"/>
          <w:sz w:val="24"/>
        </w:rPr>
        <w:t> </w:t>
      </w:r>
      <w:r>
        <w:rPr>
          <w:sz w:val="24"/>
        </w:rPr>
        <w:t>la</w:t>
      </w:r>
      <w:r>
        <w:rPr>
          <w:spacing w:val="40"/>
          <w:sz w:val="24"/>
        </w:rPr>
        <w:t> </w:t>
      </w:r>
      <w:r>
        <w:rPr>
          <w:sz w:val="24"/>
        </w:rPr>
        <w:t>mise</w:t>
      </w:r>
      <w:r>
        <w:rPr>
          <w:spacing w:val="40"/>
          <w:sz w:val="24"/>
        </w:rPr>
        <w:t> </w:t>
      </w:r>
      <w:r>
        <w:rPr>
          <w:sz w:val="24"/>
        </w:rPr>
        <w:t>en œuvre des objectifs globaux suivants : (i) Renforcer l’autorité et le leadership de l’Etat ; (ii) Améliorer la Gouvernance politique, administrative et judiciaire et (iii) Améliorer la Gouvernance économique et </w:t>
      </w:r>
      <w:r>
        <w:rPr>
          <w:spacing w:val="-2"/>
          <w:sz w:val="24"/>
        </w:rPr>
        <w:t>financière.</w:t>
      </w:r>
    </w:p>
    <w:p>
      <w:pPr>
        <w:pStyle w:val="BodyText"/>
        <w:spacing w:before="0" w:after="1"/>
        <w:ind w:left="0" w:firstLine="0"/>
        <w:jc w:val="left"/>
        <w:rPr>
          <w:sz w:val="12"/>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4"/>
        <w:gridCol w:w="7866"/>
      </w:tblGrid>
      <w:tr>
        <w:trPr>
          <w:trHeight w:val="302" w:hRule="atLeast"/>
        </w:trPr>
        <w:tc>
          <w:tcPr>
            <w:tcW w:w="10770" w:type="dxa"/>
            <w:gridSpan w:val="2"/>
            <w:shd w:val="clear" w:color="auto" w:fill="C5DFB3"/>
          </w:tcPr>
          <w:p>
            <w:pPr>
              <w:pStyle w:val="TableParagraph"/>
              <w:spacing w:line="232" w:lineRule="exact" w:before="51"/>
              <w:ind w:left="69"/>
              <w:rPr>
                <w:b/>
                <w:sz w:val="22"/>
              </w:rPr>
            </w:pPr>
            <w:r>
              <w:rPr>
                <w:b/>
                <w:sz w:val="22"/>
              </w:rPr>
              <w:t>Axe</w:t>
            </w:r>
            <w:r>
              <w:rPr>
                <w:b/>
                <w:spacing w:val="-3"/>
                <w:sz w:val="22"/>
              </w:rPr>
              <w:t> </w:t>
            </w:r>
            <w:r>
              <w:rPr>
                <w:b/>
                <w:sz w:val="22"/>
              </w:rPr>
              <w:t>Stratégique</w:t>
            </w:r>
            <w:r>
              <w:rPr>
                <w:b/>
                <w:spacing w:val="-3"/>
                <w:sz w:val="22"/>
              </w:rPr>
              <w:t> </w:t>
            </w:r>
            <w:r>
              <w:rPr>
                <w:b/>
                <w:sz w:val="22"/>
              </w:rPr>
              <w:t>2</w:t>
            </w:r>
            <w:r>
              <w:rPr>
                <w:b/>
                <w:spacing w:val="-3"/>
                <w:sz w:val="22"/>
              </w:rPr>
              <w:t> </w:t>
            </w:r>
            <w:r>
              <w:rPr>
                <w:b/>
                <w:sz w:val="22"/>
              </w:rPr>
              <w:t>:</w:t>
            </w:r>
            <w:r>
              <w:rPr>
                <w:b/>
                <w:spacing w:val="-4"/>
                <w:sz w:val="22"/>
              </w:rPr>
              <w:t> </w:t>
            </w:r>
            <w:r>
              <w:rPr>
                <w:b/>
                <w:sz w:val="22"/>
              </w:rPr>
              <w:t>Refondation</w:t>
            </w:r>
            <w:r>
              <w:rPr>
                <w:b/>
                <w:spacing w:val="-4"/>
                <w:sz w:val="22"/>
              </w:rPr>
              <w:t> </w:t>
            </w:r>
            <w:r>
              <w:rPr>
                <w:b/>
                <w:sz w:val="22"/>
              </w:rPr>
              <w:t>de</w:t>
            </w:r>
            <w:r>
              <w:rPr>
                <w:b/>
                <w:spacing w:val="-3"/>
                <w:sz w:val="22"/>
              </w:rPr>
              <w:t> </w:t>
            </w:r>
            <w:r>
              <w:rPr>
                <w:b/>
                <w:sz w:val="22"/>
              </w:rPr>
              <w:t>la</w:t>
            </w:r>
            <w:r>
              <w:rPr>
                <w:b/>
                <w:spacing w:val="-2"/>
                <w:sz w:val="22"/>
              </w:rPr>
              <w:t> gouvernance</w:t>
            </w:r>
          </w:p>
        </w:tc>
      </w:tr>
      <w:tr>
        <w:trPr>
          <w:trHeight w:val="256" w:hRule="atLeast"/>
        </w:trPr>
        <w:tc>
          <w:tcPr>
            <w:tcW w:w="2904" w:type="dxa"/>
            <w:vMerge w:val="restart"/>
            <w:shd w:val="clear" w:color="auto" w:fill="E1EED9"/>
          </w:tcPr>
          <w:p>
            <w:pPr>
              <w:pStyle w:val="TableParagraph"/>
              <w:tabs>
                <w:tab w:pos="952" w:val="left" w:leader="none"/>
                <w:tab w:pos="1693" w:val="left" w:leader="none"/>
              </w:tabs>
              <w:spacing w:line="252" w:lineRule="exact" w:before="9"/>
              <w:ind w:left="69"/>
              <w:rPr>
                <w:sz w:val="22"/>
              </w:rPr>
            </w:pPr>
            <w:r>
              <w:rPr>
                <w:b/>
                <w:spacing w:val="-2"/>
                <w:sz w:val="22"/>
              </w:rPr>
              <w:t>Objectif</w:t>
            </w:r>
            <w:r>
              <w:rPr>
                <w:b/>
                <w:sz w:val="22"/>
              </w:rPr>
              <w:tab/>
            </w:r>
            <w:r>
              <w:rPr>
                <w:b/>
                <w:spacing w:val="-2"/>
                <w:sz w:val="22"/>
              </w:rPr>
              <w:t>global</w:t>
            </w:r>
            <w:r>
              <w:rPr>
                <w:b/>
                <w:sz w:val="22"/>
              </w:rPr>
              <w:tab/>
              <w:t>2.1.</w:t>
            </w:r>
            <w:r>
              <w:rPr>
                <w:b/>
                <w:spacing w:val="-4"/>
                <w:sz w:val="22"/>
              </w:rPr>
              <w:t> </w:t>
            </w:r>
            <w:r>
              <w:rPr>
                <w:spacing w:val="-2"/>
                <w:sz w:val="22"/>
              </w:rPr>
              <w:t>Renforcer</w:t>
            </w:r>
          </w:p>
          <w:p>
            <w:pPr>
              <w:pStyle w:val="TableParagraph"/>
              <w:spacing w:line="241" w:lineRule="exact"/>
              <w:ind w:left="69"/>
              <w:rPr>
                <w:sz w:val="22"/>
              </w:rPr>
            </w:pPr>
            <w:r>
              <w:rPr>
                <w:sz w:val="22"/>
              </w:rPr>
              <w:t>l’autorité</w:t>
            </w:r>
            <w:r>
              <w:rPr>
                <w:spacing w:val="-4"/>
                <w:sz w:val="22"/>
              </w:rPr>
              <w:t> </w:t>
            </w:r>
            <w:r>
              <w:rPr>
                <w:sz w:val="22"/>
              </w:rPr>
              <w:t>et</w:t>
            </w:r>
            <w:r>
              <w:rPr>
                <w:spacing w:val="-5"/>
                <w:sz w:val="22"/>
              </w:rPr>
              <w:t> </w:t>
            </w:r>
            <w:r>
              <w:rPr>
                <w:sz w:val="22"/>
              </w:rPr>
              <w:t>le</w:t>
            </w:r>
            <w:r>
              <w:rPr>
                <w:spacing w:val="-4"/>
                <w:sz w:val="22"/>
              </w:rPr>
              <w:t> </w:t>
            </w:r>
            <w:r>
              <w:rPr>
                <w:sz w:val="22"/>
              </w:rPr>
              <w:t>leadership</w:t>
            </w:r>
            <w:r>
              <w:rPr>
                <w:spacing w:val="-3"/>
                <w:sz w:val="22"/>
              </w:rPr>
              <w:t> </w:t>
            </w:r>
            <w:r>
              <w:rPr>
                <w:sz w:val="22"/>
              </w:rPr>
              <w:t>de</w:t>
            </w:r>
            <w:r>
              <w:rPr>
                <w:spacing w:val="-3"/>
                <w:sz w:val="22"/>
              </w:rPr>
              <w:t> </w:t>
            </w:r>
            <w:r>
              <w:rPr>
                <w:spacing w:val="-2"/>
                <w:sz w:val="22"/>
              </w:rPr>
              <w:t>l’Etat</w:t>
            </w:r>
          </w:p>
        </w:tc>
        <w:tc>
          <w:tcPr>
            <w:tcW w:w="7866" w:type="dxa"/>
            <w:shd w:val="clear" w:color="auto" w:fill="E1EED9"/>
          </w:tcPr>
          <w:p>
            <w:pPr>
              <w:pStyle w:val="TableParagraph"/>
              <w:spacing w:line="236" w:lineRule="exact"/>
              <w:ind w:left="72"/>
              <w:rPr>
                <w:sz w:val="22"/>
              </w:rPr>
            </w:pPr>
            <w:r>
              <w:rPr>
                <w:sz w:val="22"/>
              </w:rPr>
              <w:t>Objectif</w:t>
            </w:r>
            <w:r>
              <w:rPr>
                <w:spacing w:val="-8"/>
                <w:sz w:val="22"/>
              </w:rPr>
              <w:t> </w:t>
            </w:r>
            <w:r>
              <w:rPr>
                <w:sz w:val="22"/>
              </w:rPr>
              <w:t>Spécifique</w:t>
            </w:r>
            <w:r>
              <w:rPr>
                <w:spacing w:val="-3"/>
                <w:sz w:val="22"/>
              </w:rPr>
              <w:t> </w:t>
            </w:r>
            <w:r>
              <w:rPr>
                <w:sz w:val="22"/>
              </w:rPr>
              <w:t>2.1.1.</w:t>
            </w:r>
            <w:r>
              <w:rPr>
                <w:spacing w:val="-6"/>
                <w:sz w:val="22"/>
              </w:rPr>
              <w:t> </w:t>
            </w:r>
            <w:r>
              <w:rPr>
                <w:sz w:val="22"/>
              </w:rPr>
              <w:t>:</w:t>
            </w:r>
            <w:r>
              <w:rPr>
                <w:spacing w:val="-5"/>
                <w:sz w:val="22"/>
              </w:rPr>
              <w:t> </w:t>
            </w:r>
            <w:r>
              <w:rPr>
                <w:sz w:val="22"/>
              </w:rPr>
              <w:t>Améliorer</w:t>
            </w:r>
            <w:r>
              <w:rPr>
                <w:spacing w:val="-8"/>
                <w:sz w:val="22"/>
              </w:rPr>
              <w:t> </w:t>
            </w:r>
            <w:r>
              <w:rPr>
                <w:sz w:val="22"/>
              </w:rPr>
              <w:t>la</w:t>
            </w:r>
            <w:r>
              <w:rPr>
                <w:spacing w:val="-6"/>
                <w:sz w:val="22"/>
              </w:rPr>
              <w:t> </w:t>
            </w:r>
            <w:r>
              <w:rPr>
                <w:sz w:val="22"/>
              </w:rPr>
              <w:t>gouvernance</w:t>
            </w:r>
            <w:r>
              <w:rPr>
                <w:spacing w:val="-5"/>
                <w:sz w:val="22"/>
              </w:rPr>
              <w:t> </w:t>
            </w:r>
            <w:r>
              <w:rPr>
                <w:sz w:val="22"/>
              </w:rPr>
              <w:t>des</w:t>
            </w:r>
            <w:r>
              <w:rPr>
                <w:spacing w:val="-7"/>
                <w:sz w:val="22"/>
              </w:rPr>
              <w:t> </w:t>
            </w:r>
            <w:r>
              <w:rPr>
                <w:sz w:val="22"/>
              </w:rPr>
              <w:t>secteurs</w:t>
            </w:r>
            <w:r>
              <w:rPr>
                <w:spacing w:val="-7"/>
                <w:sz w:val="22"/>
              </w:rPr>
              <w:t> </w:t>
            </w:r>
            <w:r>
              <w:rPr>
                <w:spacing w:val="-2"/>
                <w:sz w:val="22"/>
              </w:rPr>
              <w:t>stratégiques</w:t>
            </w:r>
          </w:p>
        </w:tc>
      </w:tr>
      <w:tr>
        <w:trPr>
          <w:trHeight w:val="256" w:hRule="atLeast"/>
        </w:trPr>
        <w:tc>
          <w:tcPr>
            <w:tcW w:w="2904" w:type="dxa"/>
            <w:vMerge/>
            <w:tcBorders>
              <w:top w:val="nil"/>
            </w:tcBorders>
            <w:shd w:val="clear" w:color="auto" w:fill="E1EED9"/>
          </w:tcPr>
          <w:p>
            <w:pPr>
              <w:rPr>
                <w:sz w:val="2"/>
                <w:szCs w:val="2"/>
              </w:rPr>
            </w:pPr>
          </w:p>
        </w:tc>
        <w:tc>
          <w:tcPr>
            <w:tcW w:w="7866" w:type="dxa"/>
            <w:shd w:val="clear" w:color="auto" w:fill="E1EED9"/>
          </w:tcPr>
          <w:p>
            <w:pPr>
              <w:pStyle w:val="TableParagraph"/>
              <w:spacing w:line="236" w:lineRule="exact"/>
              <w:ind w:left="72"/>
              <w:rPr>
                <w:sz w:val="22"/>
              </w:rPr>
            </w:pPr>
            <w:r>
              <w:rPr>
                <w:sz w:val="22"/>
              </w:rPr>
              <w:t>Objectif</w:t>
            </w:r>
            <w:r>
              <w:rPr>
                <w:spacing w:val="-7"/>
                <w:sz w:val="22"/>
              </w:rPr>
              <w:t> </w:t>
            </w:r>
            <w:r>
              <w:rPr>
                <w:sz w:val="22"/>
              </w:rPr>
              <w:t>Spécifique</w:t>
            </w:r>
            <w:r>
              <w:rPr>
                <w:spacing w:val="-4"/>
                <w:sz w:val="22"/>
              </w:rPr>
              <w:t> </w:t>
            </w:r>
            <w:r>
              <w:rPr>
                <w:sz w:val="22"/>
              </w:rPr>
              <w:t>2.1.2.</w:t>
            </w:r>
            <w:r>
              <w:rPr>
                <w:spacing w:val="-5"/>
                <w:sz w:val="22"/>
              </w:rPr>
              <w:t> </w:t>
            </w:r>
            <w:r>
              <w:rPr>
                <w:sz w:val="22"/>
              </w:rPr>
              <w:t>:</w:t>
            </w:r>
            <w:r>
              <w:rPr>
                <w:spacing w:val="-5"/>
                <w:sz w:val="22"/>
              </w:rPr>
              <w:t> </w:t>
            </w:r>
            <w:r>
              <w:rPr>
                <w:sz w:val="22"/>
              </w:rPr>
              <w:t>Renforcer</w:t>
            </w:r>
            <w:r>
              <w:rPr>
                <w:spacing w:val="-4"/>
                <w:sz w:val="22"/>
              </w:rPr>
              <w:t> </w:t>
            </w:r>
            <w:r>
              <w:rPr>
                <w:sz w:val="22"/>
              </w:rPr>
              <w:t>la</w:t>
            </w:r>
            <w:r>
              <w:rPr>
                <w:spacing w:val="-5"/>
                <w:sz w:val="22"/>
              </w:rPr>
              <w:t> </w:t>
            </w:r>
            <w:r>
              <w:rPr>
                <w:sz w:val="22"/>
              </w:rPr>
              <w:t>confiance</w:t>
            </w:r>
            <w:r>
              <w:rPr>
                <w:spacing w:val="-4"/>
                <w:sz w:val="22"/>
              </w:rPr>
              <w:t> </w:t>
            </w:r>
            <w:r>
              <w:rPr>
                <w:sz w:val="22"/>
              </w:rPr>
              <w:t>dans</w:t>
            </w:r>
            <w:r>
              <w:rPr>
                <w:spacing w:val="-5"/>
                <w:sz w:val="22"/>
              </w:rPr>
              <w:t> </w:t>
            </w:r>
            <w:r>
              <w:rPr>
                <w:sz w:val="22"/>
              </w:rPr>
              <w:t>les</w:t>
            </w:r>
            <w:r>
              <w:rPr>
                <w:spacing w:val="-4"/>
                <w:sz w:val="22"/>
              </w:rPr>
              <w:t> </w:t>
            </w:r>
            <w:r>
              <w:rPr>
                <w:spacing w:val="-2"/>
                <w:sz w:val="22"/>
              </w:rPr>
              <w:t>institutions</w:t>
            </w:r>
          </w:p>
        </w:tc>
      </w:tr>
      <w:tr>
        <w:trPr>
          <w:trHeight w:val="254" w:hRule="atLeast"/>
        </w:trPr>
        <w:tc>
          <w:tcPr>
            <w:tcW w:w="2904" w:type="dxa"/>
            <w:vMerge w:val="restart"/>
            <w:shd w:val="clear" w:color="auto" w:fill="E1EED9"/>
          </w:tcPr>
          <w:p>
            <w:pPr>
              <w:pStyle w:val="TableParagraph"/>
              <w:tabs>
                <w:tab w:pos="2113" w:val="left" w:leader="none"/>
              </w:tabs>
              <w:spacing w:before="21"/>
              <w:ind w:left="69" w:right="56"/>
              <w:jc w:val="both"/>
              <w:rPr>
                <w:sz w:val="22"/>
              </w:rPr>
            </w:pPr>
            <w:r>
              <w:rPr>
                <w:b/>
                <w:sz w:val="22"/>
              </w:rPr>
              <w:t>Objectif global 2.2.</w:t>
            </w:r>
            <w:r>
              <w:rPr>
                <w:b/>
                <w:spacing w:val="-5"/>
                <w:sz w:val="22"/>
              </w:rPr>
              <w:t> </w:t>
            </w:r>
            <w:r>
              <w:rPr>
                <w:sz w:val="22"/>
              </w:rPr>
              <w:t>: Améliorer la </w:t>
            </w:r>
            <w:r>
              <w:rPr>
                <w:spacing w:val="-2"/>
                <w:sz w:val="22"/>
              </w:rPr>
              <w:t>Gouvernance</w:t>
            </w:r>
            <w:r>
              <w:rPr>
                <w:sz w:val="22"/>
              </w:rPr>
              <w:tab/>
            </w:r>
            <w:r>
              <w:rPr>
                <w:spacing w:val="-2"/>
                <w:sz w:val="22"/>
              </w:rPr>
              <w:t>politique, </w:t>
            </w:r>
            <w:r>
              <w:rPr>
                <w:sz w:val="22"/>
              </w:rPr>
              <w:t>administrative et judiciaire</w:t>
            </w:r>
          </w:p>
        </w:tc>
        <w:tc>
          <w:tcPr>
            <w:tcW w:w="7866" w:type="dxa"/>
            <w:shd w:val="clear" w:color="auto" w:fill="E1EED9"/>
          </w:tcPr>
          <w:p>
            <w:pPr>
              <w:pStyle w:val="TableParagraph"/>
              <w:spacing w:line="234" w:lineRule="exact"/>
              <w:ind w:left="72"/>
              <w:rPr>
                <w:sz w:val="22"/>
              </w:rPr>
            </w:pPr>
            <w:r>
              <w:rPr>
                <w:sz w:val="22"/>
              </w:rPr>
              <w:t>Objectif</w:t>
            </w:r>
            <w:r>
              <w:rPr>
                <w:spacing w:val="-6"/>
                <w:sz w:val="22"/>
              </w:rPr>
              <w:t> </w:t>
            </w:r>
            <w:r>
              <w:rPr>
                <w:sz w:val="22"/>
              </w:rPr>
              <w:t>Spécifique</w:t>
            </w:r>
            <w:r>
              <w:rPr>
                <w:spacing w:val="-4"/>
                <w:sz w:val="22"/>
              </w:rPr>
              <w:t> </w:t>
            </w:r>
            <w:r>
              <w:rPr>
                <w:sz w:val="22"/>
              </w:rPr>
              <w:t>2.2.1.</w:t>
            </w:r>
            <w:r>
              <w:rPr>
                <w:spacing w:val="-1"/>
                <w:sz w:val="22"/>
              </w:rPr>
              <w:t> </w:t>
            </w:r>
            <w:r>
              <w:rPr>
                <w:sz w:val="22"/>
              </w:rPr>
              <w:t>:</w:t>
            </w:r>
            <w:r>
              <w:rPr>
                <w:spacing w:val="-4"/>
                <w:sz w:val="22"/>
              </w:rPr>
              <w:t> </w:t>
            </w:r>
            <w:r>
              <w:rPr>
                <w:sz w:val="22"/>
              </w:rPr>
              <w:t>Promouvoir</w:t>
            </w:r>
            <w:r>
              <w:rPr>
                <w:spacing w:val="-3"/>
                <w:sz w:val="22"/>
              </w:rPr>
              <w:t> </w:t>
            </w:r>
            <w:r>
              <w:rPr>
                <w:sz w:val="22"/>
              </w:rPr>
              <w:t>la</w:t>
            </w:r>
            <w:r>
              <w:rPr>
                <w:spacing w:val="-7"/>
                <w:sz w:val="22"/>
              </w:rPr>
              <w:t> </w:t>
            </w:r>
            <w:r>
              <w:rPr>
                <w:sz w:val="22"/>
              </w:rPr>
              <w:t>justice</w:t>
            </w:r>
            <w:r>
              <w:rPr>
                <w:spacing w:val="-3"/>
                <w:sz w:val="22"/>
              </w:rPr>
              <w:t> </w:t>
            </w:r>
            <w:r>
              <w:rPr>
                <w:sz w:val="22"/>
              </w:rPr>
              <w:t>et</w:t>
            </w:r>
            <w:r>
              <w:rPr>
                <w:spacing w:val="-4"/>
                <w:sz w:val="22"/>
              </w:rPr>
              <w:t> </w:t>
            </w:r>
            <w:r>
              <w:rPr>
                <w:sz w:val="22"/>
              </w:rPr>
              <w:t>les</w:t>
            </w:r>
            <w:r>
              <w:rPr>
                <w:spacing w:val="-4"/>
                <w:sz w:val="22"/>
              </w:rPr>
              <w:t> </w:t>
            </w:r>
            <w:r>
              <w:rPr>
                <w:sz w:val="22"/>
              </w:rPr>
              <w:t>droits</w:t>
            </w:r>
            <w:r>
              <w:rPr>
                <w:spacing w:val="-5"/>
                <w:sz w:val="22"/>
              </w:rPr>
              <w:t> </w:t>
            </w:r>
            <w:r>
              <w:rPr>
                <w:sz w:val="22"/>
              </w:rPr>
              <w:t>de</w:t>
            </w:r>
            <w:r>
              <w:rPr>
                <w:spacing w:val="-3"/>
                <w:sz w:val="22"/>
              </w:rPr>
              <w:t> </w:t>
            </w:r>
            <w:r>
              <w:rPr>
                <w:spacing w:val="-2"/>
                <w:sz w:val="22"/>
              </w:rPr>
              <w:t>l'Homme</w:t>
            </w:r>
          </w:p>
        </w:tc>
      </w:tr>
      <w:tr>
        <w:trPr>
          <w:trHeight w:val="253" w:hRule="atLeast"/>
        </w:trPr>
        <w:tc>
          <w:tcPr>
            <w:tcW w:w="2904" w:type="dxa"/>
            <w:vMerge/>
            <w:tcBorders>
              <w:top w:val="nil"/>
            </w:tcBorders>
            <w:shd w:val="clear" w:color="auto" w:fill="E1EED9"/>
          </w:tcPr>
          <w:p>
            <w:pPr>
              <w:rPr>
                <w:sz w:val="2"/>
                <w:szCs w:val="2"/>
              </w:rPr>
            </w:pPr>
          </w:p>
        </w:tc>
        <w:tc>
          <w:tcPr>
            <w:tcW w:w="7866" w:type="dxa"/>
            <w:shd w:val="clear" w:color="auto" w:fill="E1EED9"/>
          </w:tcPr>
          <w:p>
            <w:pPr>
              <w:pStyle w:val="TableParagraph"/>
              <w:spacing w:line="232" w:lineRule="exact" w:before="2"/>
              <w:ind w:left="72"/>
              <w:rPr>
                <w:sz w:val="22"/>
              </w:rPr>
            </w:pPr>
            <w:r>
              <w:rPr>
                <w:sz w:val="22"/>
              </w:rPr>
              <w:t>Objectif</w:t>
            </w:r>
            <w:r>
              <w:rPr>
                <w:spacing w:val="-8"/>
                <w:sz w:val="22"/>
              </w:rPr>
              <w:t> </w:t>
            </w:r>
            <w:r>
              <w:rPr>
                <w:sz w:val="22"/>
              </w:rPr>
              <w:t>Spécifique</w:t>
            </w:r>
            <w:r>
              <w:rPr>
                <w:spacing w:val="-5"/>
                <w:sz w:val="22"/>
              </w:rPr>
              <w:t> </w:t>
            </w:r>
            <w:r>
              <w:rPr>
                <w:sz w:val="22"/>
              </w:rPr>
              <w:t>2.2.2.</w:t>
            </w:r>
            <w:r>
              <w:rPr>
                <w:spacing w:val="-3"/>
                <w:sz w:val="22"/>
              </w:rPr>
              <w:t> </w:t>
            </w:r>
            <w:r>
              <w:rPr>
                <w:sz w:val="22"/>
              </w:rPr>
              <w:t>:</w:t>
            </w:r>
            <w:r>
              <w:rPr>
                <w:spacing w:val="-6"/>
                <w:sz w:val="22"/>
              </w:rPr>
              <w:t> </w:t>
            </w:r>
            <w:r>
              <w:rPr>
                <w:sz w:val="22"/>
              </w:rPr>
              <w:t>Renforcer</w:t>
            </w:r>
            <w:r>
              <w:rPr>
                <w:spacing w:val="-5"/>
                <w:sz w:val="22"/>
              </w:rPr>
              <w:t> </w:t>
            </w:r>
            <w:r>
              <w:rPr>
                <w:sz w:val="22"/>
              </w:rPr>
              <w:t>l’efficacité</w:t>
            </w:r>
            <w:r>
              <w:rPr>
                <w:spacing w:val="-5"/>
                <w:sz w:val="22"/>
              </w:rPr>
              <w:t> </w:t>
            </w:r>
            <w:r>
              <w:rPr>
                <w:sz w:val="22"/>
              </w:rPr>
              <w:t>de</w:t>
            </w:r>
            <w:r>
              <w:rPr>
                <w:spacing w:val="-7"/>
                <w:sz w:val="22"/>
              </w:rPr>
              <w:t> </w:t>
            </w:r>
            <w:r>
              <w:rPr>
                <w:sz w:val="22"/>
              </w:rPr>
              <w:t>la</w:t>
            </w:r>
            <w:r>
              <w:rPr>
                <w:spacing w:val="-5"/>
                <w:sz w:val="22"/>
              </w:rPr>
              <w:t> </w:t>
            </w:r>
            <w:r>
              <w:rPr>
                <w:sz w:val="22"/>
              </w:rPr>
              <w:t>politique</w:t>
            </w:r>
            <w:r>
              <w:rPr>
                <w:spacing w:val="-5"/>
                <w:sz w:val="22"/>
              </w:rPr>
              <w:t> </w:t>
            </w:r>
            <w:r>
              <w:rPr>
                <w:spacing w:val="-2"/>
                <w:sz w:val="22"/>
              </w:rPr>
              <w:t>extérieure</w:t>
            </w:r>
          </w:p>
        </w:tc>
      </w:tr>
      <w:tr>
        <w:trPr>
          <w:trHeight w:val="251" w:hRule="atLeast"/>
        </w:trPr>
        <w:tc>
          <w:tcPr>
            <w:tcW w:w="2904" w:type="dxa"/>
            <w:vMerge/>
            <w:tcBorders>
              <w:top w:val="nil"/>
            </w:tcBorders>
            <w:shd w:val="clear" w:color="auto" w:fill="E1EED9"/>
          </w:tcPr>
          <w:p>
            <w:pPr>
              <w:rPr>
                <w:sz w:val="2"/>
                <w:szCs w:val="2"/>
              </w:rPr>
            </w:pPr>
          </w:p>
        </w:tc>
        <w:tc>
          <w:tcPr>
            <w:tcW w:w="7866" w:type="dxa"/>
            <w:shd w:val="clear" w:color="auto" w:fill="E1EED9"/>
          </w:tcPr>
          <w:p>
            <w:pPr>
              <w:pStyle w:val="TableParagraph"/>
              <w:spacing w:line="232" w:lineRule="exact"/>
              <w:ind w:left="72"/>
              <w:rPr>
                <w:sz w:val="22"/>
              </w:rPr>
            </w:pPr>
            <w:r>
              <w:rPr>
                <w:sz w:val="22"/>
              </w:rPr>
              <w:t>Objectif</w:t>
            </w:r>
            <w:r>
              <w:rPr>
                <w:spacing w:val="-9"/>
                <w:sz w:val="22"/>
              </w:rPr>
              <w:t> </w:t>
            </w:r>
            <w:r>
              <w:rPr>
                <w:sz w:val="22"/>
              </w:rPr>
              <w:t>Spécifique</w:t>
            </w:r>
            <w:r>
              <w:rPr>
                <w:spacing w:val="-5"/>
                <w:sz w:val="22"/>
              </w:rPr>
              <w:t> </w:t>
            </w:r>
            <w:r>
              <w:rPr>
                <w:sz w:val="22"/>
              </w:rPr>
              <w:t>2.2.3.:</w:t>
            </w:r>
            <w:r>
              <w:rPr>
                <w:spacing w:val="-6"/>
                <w:sz w:val="22"/>
              </w:rPr>
              <w:t> </w:t>
            </w:r>
            <w:r>
              <w:rPr>
                <w:sz w:val="22"/>
              </w:rPr>
              <w:t>Rendre</w:t>
            </w:r>
            <w:r>
              <w:rPr>
                <w:spacing w:val="-7"/>
                <w:sz w:val="22"/>
              </w:rPr>
              <w:t> </w:t>
            </w:r>
            <w:r>
              <w:rPr>
                <w:sz w:val="22"/>
              </w:rPr>
              <w:t>l’administration</w:t>
            </w:r>
            <w:r>
              <w:rPr>
                <w:spacing w:val="-6"/>
                <w:sz w:val="22"/>
              </w:rPr>
              <w:t> </w:t>
            </w:r>
            <w:r>
              <w:rPr>
                <w:sz w:val="22"/>
              </w:rPr>
              <w:t>publique</w:t>
            </w:r>
            <w:r>
              <w:rPr>
                <w:spacing w:val="-7"/>
                <w:sz w:val="22"/>
              </w:rPr>
              <w:t> </w:t>
            </w:r>
            <w:r>
              <w:rPr>
                <w:sz w:val="22"/>
              </w:rPr>
              <w:t>moderne</w:t>
            </w:r>
            <w:r>
              <w:rPr>
                <w:spacing w:val="-6"/>
                <w:sz w:val="22"/>
              </w:rPr>
              <w:t> </w:t>
            </w:r>
            <w:r>
              <w:rPr>
                <w:sz w:val="22"/>
              </w:rPr>
              <w:t>et</w:t>
            </w:r>
            <w:r>
              <w:rPr>
                <w:spacing w:val="-8"/>
                <w:sz w:val="22"/>
              </w:rPr>
              <w:t> </w:t>
            </w:r>
            <w:r>
              <w:rPr>
                <w:spacing w:val="-2"/>
                <w:sz w:val="22"/>
              </w:rPr>
              <w:t>performante</w:t>
            </w:r>
          </w:p>
        </w:tc>
      </w:tr>
      <w:tr>
        <w:trPr>
          <w:trHeight w:val="263" w:hRule="atLeast"/>
        </w:trPr>
        <w:tc>
          <w:tcPr>
            <w:tcW w:w="2904" w:type="dxa"/>
            <w:vMerge/>
            <w:tcBorders>
              <w:top w:val="nil"/>
            </w:tcBorders>
            <w:shd w:val="clear" w:color="auto" w:fill="E1EED9"/>
          </w:tcPr>
          <w:p>
            <w:pPr>
              <w:rPr>
                <w:sz w:val="2"/>
                <w:szCs w:val="2"/>
              </w:rPr>
            </w:pPr>
          </w:p>
        </w:tc>
        <w:tc>
          <w:tcPr>
            <w:tcW w:w="7866" w:type="dxa"/>
            <w:shd w:val="clear" w:color="auto" w:fill="E1EED9"/>
          </w:tcPr>
          <w:p>
            <w:pPr>
              <w:pStyle w:val="TableParagraph"/>
              <w:spacing w:line="244" w:lineRule="exact"/>
              <w:ind w:left="72"/>
              <w:rPr>
                <w:sz w:val="22"/>
              </w:rPr>
            </w:pPr>
            <w:r>
              <w:rPr>
                <w:sz w:val="22"/>
              </w:rPr>
              <w:t>Objectif</w:t>
            </w:r>
            <w:r>
              <w:rPr>
                <w:spacing w:val="-7"/>
                <w:sz w:val="22"/>
              </w:rPr>
              <w:t> </w:t>
            </w:r>
            <w:r>
              <w:rPr>
                <w:sz w:val="22"/>
              </w:rPr>
              <w:t>Spécifique</w:t>
            </w:r>
            <w:r>
              <w:rPr>
                <w:spacing w:val="-3"/>
                <w:sz w:val="22"/>
              </w:rPr>
              <w:t> </w:t>
            </w:r>
            <w:r>
              <w:rPr>
                <w:sz w:val="22"/>
              </w:rPr>
              <w:t>2.2.4.</w:t>
            </w:r>
            <w:r>
              <w:rPr>
                <w:spacing w:val="-5"/>
                <w:sz w:val="22"/>
              </w:rPr>
              <w:t> </w:t>
            </w:r>
            <w:r>
              <w:rPr>
                <w:sz w:val="22"/>
              </w:rPr>
              <w:t>:</w:t>
            </w:r>
            <w:r>
              <w:rPr>
                <w:spacing w:val="-4"/>
                <w:sz w:val="22"/>
              </w:rPr>
              <w:t> </w:t>
            </w:r>
            <w:r>
              <w:rPr>
                <w:sz w:val="22"/>
              </w:rPr>
              <w:t>Améliorer</w:t>
            </w:r>
            <w:r>
              <w:rPr>
                <w:spacing w:val="-7"/>
                <w:sz w:val="22"/>
              </w:rPr>
              <w:t> </w:t>
            </w:r>
            <w:r>
              <w:rPr>
                <w:sz w:val="22"/>
              </w:rPr>
              <w:t>l'administration</w:t>
            </w:r>
            <w:r>
              <w:rPr>
                <w:spacing w:val="-5"/>
                <w:sz w:val="22"/>
              </w:rPr>
              <w:t> </w:t>
            </w:r>
            <w:r>
              <w:rPr>
                <w:sz w:val="22"/>
              </w:rPr>
              <w:t>du</w:t>
            </w:r>
            <w:r>
              <w:rPr>
                <w:spacing w:val="-5"/>
                <w:sz w:val="22"/>
              </w:rPr>
              <w:t> </w:t>
            </w:r>
            <w:r>
              <w:rPr>
                <w:sz w:val="22"/>
              </w:rPr>
              <w:t>territoire</w:t>
            </w:r>
            <w:r>
              <w:rPr>
                <w:spacing w:val="-4"/>
                <w:sz w:val="22"/>
              </w:rPr>
              <w:t> </w:t>
            </w:r>
            <w:r>
              <w:rPr>
                <w:sz w:val="22"/>
              </w:rPr>
              <w:t>et</w:t>
            </w:r>
            <w:r>
              <w:rPr>
                <w:spacing w:val="-5"/>
                <w:sz w:val="22"/>
              </w:rPr>
              <w:t> </w:t>
            </w:r>
            <w:r>
              <w:rPr>
                <w:sz w:val="22"/>
              </w:rPr>
              <w:t>la</w:t>
            </w:r>
            <w:r>
              <w:rPr>
                <w:spacing w:val="-4"/>
                <w:sz w:val="22"/>
              </w:rPr>
              <w:t> </w:t>
            </w:r>
            <w:r>
              <w:rPr>
                <w:spacing w:val="-2"/>
                <w:sz w:val="22"/>
              </w:rPr>
              <w:t>décentralisation</w:t>
            </w:r>
          </w:p>
        </w:tc>
      </w:tr>
      <w:tr>
        <w:trPr>
          <w:trHeight w:val="506" w:hRule="atLeast"/>
        </w:trPr>
        <w:tc>
          <w:tcPr>
            <w:tcW w:w="2904" w:type="dxa"/>
            <w:vMerge w:val="restart"/>
            <w:shd w:val="clear" w:color="auto" w:fill="E1EED9"/>
          </w:tcPr>
          <w:p>
            <w:pPr>
              <w:pStyle w:val="TableParagraph"/>
              <w:spacing w:before="12"/>
              <w:ind w:left="69" w:right="56"/>
              <w:jc w:val="both"/>
              <w:rPr>
                <w:sz w:val="22"/>
              </w:rPr>
            </w:pPr>
            <w:r>
              <w:rPr>
                <w:b/>
                <w:sz w:val="22"/>
              </w:rPr>
              <w:t>Objectif</w:t>
            </w:r>
            <w:r>
              <w:rPr>
                <w:b/>
                <w:spacing w:val="-5"/>
                <w:sz w:val="22"/>
              </w:rPr>
              <w:t> </w:t>
            </w:r>
            <w:r>
              <w:rPr>
                <w:b/>
                <w:sz w:val="22"/>
              </w:rPr>
              <w:t>Global</w:t>
            </w:r>
            <w:r>
              <w:rPr>
                <w:b/>
                <w:spacing w:val="-4"/>
                <w:sz w:val="22"/>
              </w:rPr>
              <w:t> </w:t>
            </w:r>
            <w:r>
              <w:rPr>
                <w:b/>
                <w:sz w:val="22"/>
              </w:rPr>
              <w:t>2.3.</w:t>
            </w:r>
            <w:r>
              <w:rPr>
                <w:b/>
                <w:spacing w:val="-5"/>
                <w:sz w:val="22"/>
              </w:rPr>
              <w:t> </w:t>
            </w:r>
            <w:r>
              <w:rPr>
                <w:sz w:val="22"/>
              </w:rPr>
              <w:t>:</w:t>
            </w:r>
            <w:r>
              <w:rPr>
                <w:spacing w:val="-4"/>
                <w:sz w:val="22"/>
              </w:rPr>
              <w:t> </w:t>
            </w:r>
            <w:r>
              <w:rPr>
                <w:sz w:val="22"/>
              </w:rPr>
              <w:t>Améliorer</w:t>
            </w:r>
            <w:r>
              <w:rPr>
                <w:spacing w:val="-2"/>
                <w:sz w:val="22"/>
              </w:rPr>
              <w:t> </w:t>
            </w:r>
            <w:r>
              <w:rPr>
                <w:sz w:val="22"/>
              </w:rPr>
              <w:t>la Gouvernance économique et </w:t>
            </w:r>
            <w:r>
              <w:rPr>
                <w:spacing w:val="-2"/>
                <w:sz w:val="22"/>
              </w:rPr>
              <w:t>financière</w:t>
            </w:r>
          </w:p>
        </w:tc>
        <w:tc>
          <w:tcPr>
            <w:tcW w:w="7866" w:type="dxa"/>
            <w:shd w:val="clear" w:color="auto" w:fill="E1EED9"/>
          </w:tcPr>
          <w:p>
            <w:pPr>
              <w:pStyle w:val="TableParagraph"/>
              <w:spacing w:line="254" w:lineRule="exact"/>
              <w:ind w:left="72"/>
              <w:rPr>
                <w:sz w:val="22"/>
              </w:rPr>
            </w:pPr>
            <w:r>
              <w:rPr>
                <w:sz w:val="22"/>
              </w:rPr>
              <w:t>Objectif Spécifique 2.3.1. : Améliorer le système de planification du développement et la gestion économique et financière</w:t>
            </w:r>
          </w:p>
        </w:tc>
      </w:tr>
      <w:tr>
        <w:trPr>
          <w:trHeight w:val="249" w:hRule="atLeast"/>
        </w:trPr>
        <w:tc>
          <w:tcPr>
            <w:tcW w:w="2904" w:type="dxa"/>
            <w:vMerge/>
            <w:tcBorders>
              <w:top w:val="nil"/>
            </w:tcBorders>
            <w:shd w:val="clear" w:color="auto" w:fill="E1EED9"/>
          </w:tcPr>
          <w:p>
            <w:pPr>
              <w:rPr>
                <w:sz w:val="2"/>
                <w:szCs w:val="2"/>
              </w:rPr>
            </w:pPr>
          </w:p>
        </w:tc>
        <w:tc>
          <w:tcPr>
            <w:tcW w:w="7866" w:type="dxa"/>
            <w:shd w:val="clear" w:color="auto" w:fill="E1EED9"/>
          </w:tcPr>
          <w:p>
            <w:pPr>
              <w:pStyle w:val="TableParagraph"/>
              <w:spacing w:line="230" w:lineRule="exact"/>
              <w:ind w:left="72"/>
              <w:rPr>
                <w:sz w:val="22"/>
              </w:rPr>
            </w:pPr>
            <w:r>
              <w:rPr>
                <w:sz w:val="22"/>
              </w:rPr>
              <w:t>Objectif</w:t>
            </w:r>
            <w:r>
              <w:rPr>
                <w:spacing w:val="-7"/>
                <w:sz w:val="22"/>
              </w:rPr>
              <w:t> </w:t>
            </w:r>
            <w:r>
              <w:rPr>
                <w:sz w:val="22"/>
              </w:rPr>
              <w:t>Spécifique</w:t>
            </w:r>
            <w:r>
              <w:rPr>
                <w:spacing w:val="-3"/>
                <w:sz w:val="22"/>
              </w:rPr>
              <w:t> </w:t>
            </w:r>
            <w:r>
              <w:rPr>
                <w:sz w:val="22"/>
              </w:rPr>
              <w:t>2.3.2.</w:t>
            </w:r>
            <w:r>
              <w:rPr>
                <w:spacing w:val="-4"/>
                <w:sz w:val="22"/>
              </w:rPr>
              <w:t> </w:t>
            </w:r>
            <w:r>
              <w:rPr>
                <w:sz w:val="22"/>
              </w:rPr>
              <w:t>:</w:t>
            </w:r>
            <w:r>
              <w:rPr>
                <w:spacing w:val="-5"/>
                <w:sz w:val="22"/>
              </w:rPr>
              <w:t> </w:t>
            </w:r>
            <w:r>
              <w:rPr>
                <w:sz w:val="22"/>
              </w:rPr>
              <w:t>Renforcer</w:t>
            </w:r>
            <w:r>
              <w:rPr>
                <w:spacing w:val="-4"/>
                <w:sz w:val="22"/>
              </w:rPr>
              <w:t> </w:t>
            </w:r>
            <w:r>
              <w:rPr>
                <w:sz w:val="22"/>
              </w:rPr>
              <w:t>la</w:t>
            </w:r>
            <w:r>
              <w:rPr>
                <w:spacing w:val="-5"/>
                <w:sz w:val="22"/>
              </w:rPr>
              <w:t> </w:t>
            </w:r>
            <w:r>
              <w:rPr>
                <w:sz w:val="22"/>
              </w:rPr>
              <w:t>lutte</w:t>
            </w:r>
            <w:r>
              <w:rPr>
                <w:spacing w:val="-4"/>
                <w:sz w:val="22"/>
              </w:rPr>
              <w:t> </w:t>
            </w:r>
            <w:r>
              <w:rPr>
                <w:sz w:val="22"/>
              </w:rPr>
              <w:t>contre</w:t>
            </w:r>
            <w:r>
              <w:rPr>
                <w:spacing w:val="-5"/>
                <w:sz w:val="22"/>
              </w:rPr>
              <w:t> </w:t>
            </w:r>
            <w:r>
              <w:rPr>
                <w:sz w:val="22"/>
              </w:rPr>
              <w:t>la</w:t>
            </w:r>
            <w:r>
              <w:rPr>
                <w:spacing w:val="-6"/>
                <w:sz w:val="22"/>
              </w:rPr>
              <w:t> </w:t>
            </w:r>
            <w:r>
              <w:rPr>
                <w:sz w:val="22"/>
              </w:rPr>
              <w:t>corruption</w:t>
            </w:r>
            <w:r>
              <w:rPr>
                <w:spacing w:val="-4"/>
                <w:sz w:val="22"/>
              </w:rPr>
              <w:t> </w:t>
            </w:r>
            <w:r>
              <w:rPr>
                <w:sz w:val="22"/>
              </w:rPr>
              <w:t>et</w:t>
            </w:r>
            <w:r>
              <w:rPr>
                <w:spacing w:val="-7"/>
                <w:sz w:val="22"/>
              </w:rPr>
              <w:t> </w:t>
            </w:r>
            <w:r>
              <w:rPr>
                <w:sz w:val="22"/>
              </w:rPr>
              <w:t>la</w:t>
            </w:r>
            <w:r>
              <w:rPr>
                <w:spacing w:val="-4"/>
                <w:sz w:val="22"/>
              </w:rPr>
              <w:t> </w:t>
            </w:r>
            <w:r>
              <w:rPr>
                <w:sz w:val="22"/>
              </w:rPr>
              <w:t>délinquance</w:t>
            </w:r>
            <w:r>
              <w:rPr>
                <w:spacing w:val="-7"/>
                <w:sz w:val="22"/>
              </w:rPr>
              <w:t> </w:t>
            </w:r>
            <w:r>
              <w:rPr>
                <w:spacing w:val="-2"/>
                <w:sz w:val="22"/>
              </w:rPr>
              <w:t>financière</w:t>
            </w:r>
          </w:p>
        </w:tc>
      </w:tr>
      <w:tr>
        <w:trPr>
          <w:trHeight w:val="253" w:hRule="atLeast"/>
        </w:trPr>
        <w:tc>
          <w:tcPr>
            <w:tcW w:w="2904" w:type="dxa"/>
            <w:vMerge/>
            <w:tcBorders>
              <w:top w:val="nil"/>
            </w:tcBorders>
            <w:shd w:val="clear" w:color="auto" w:fill="E1EED9"/>
          </w:tcPr>
          <w:p>
            <w:pPr>
              <w:rPr>
                <w:sz w:val="2"/>
                <w:szCs w:val="2"/>
              </w:rPr>
            </w:pPr>
          </w:p>
        </w:tc>
        <w:tc>
          <w:tcPr>
            <w:tcW w:w="7866" w:type="dxa"/>
            <w:shd w:val="clear" w:color="auto" w:fill="E1EED9"/>
          </w:tcPr>
          <w:p>
            <w:pPr>
              <w:pStyle w:val="TableParagraph"/>
              <w:spacing w:line="234" w:lineRule="exact"/>
              <w:ind w:left="72"/>
              <w:rPr>
                <w:sz w:val="22"/>
              </w:rPr>
            </w:pPr>
            <w:r>
              <w:rPr>
                <w:sz w:val="22"/>
              </w:rPr>
              <w:t>Objectif</w:t>
            </w:r>
            <w:r>
              <w:rPr>
                <w:spacing w:val="-7"/>
                <w:sz w:val="22"/>
              </w:rPr>
              <w:t> </w:t>
            </w:r>
            <w:r>
              <w:rPr>
                <w:sz w:val="22"/>
              </w:rPr>
              <w:t>Spécifique</w:t>
            </w:r>
            <w:r>
              <w:rPr>
                <w:spacing w:val="-5"/>
                <w:sz w:val="22"/>
              </w:rPr>
              <w:t> </w:t>
            </w:r>
            <w:r>
              <w:rPr>
                <w:sz w:val="22"/>
              </w:rPr>
              <w:t>2.3.3.</w:t>
            </w:r>
            <w:r>
              <w:rPr>
                <w:spacing w:val="-4"/>
                <w:sz w:val="22"/>
              </w:rPr>
              <w:t> </w:t>
            </w:r>
            <w:r>
              <w:rPr>
                <w:sz w:val="22"/>
              </w:rPr>
              <w:t>:</w:t>
            </w:r>
            <w:r>
              <w:rPr>
                <w:spacing w:val="-5"/>
                <w:sz w:val="22"/>
              </w:rPr>
              <w:t> </w:t>
            </w:r>
            <w:r>
              <w:rPr>
                <w:sz w:val="22"/>
              </w:rPr>
              <w:t>Assainir</w:t>
            </w:r>
            <w:r>
              <w:rPr>
                <w:spacing w:val="-7"/>
                <w:sz w:val="22"/>
              </w:rPr>
              <w:t> </w:t>
            </w:r>
            <w:r>
              <w:rPr>
                <w:sz w:val="22"/>
              </w:rPr>
              <w:t>la</w:t>
            </w:r>
            <w:r>
              <w:rPr>
                <w:spacing w:val="-5"/>
                <w:sz w:val="22"/>
              </w:rPr>
              <w:t> </w:t>
            </w:r>
            <w:r>
              <w:rPr>
                <w:sz w:val="22"/>
              </w:rPr>
              <w:t>gestion</w:t>
            </w:r>
            <w:r>
              <w:rPr>
                <w:spacing w:val="-4"/>
                <w:sz w:val="22"/>
              </w:rPr>
              <w:t> </w:t>
            </w:r>
            <w:r>
              <w:rPr>
                <w:spacing w:val="-2"/>
                <w:sz w:val="22"/>
              </w:rPr>
              <w:t>foncière</w:t>
            </w:r>
          </w:p>
        </w:tc>
      </w:tr>
    </w:tbl>
    <w:p>
      <w:pPr>
        <w:pStyle w:val="Heading3"/>
        <w:numPr>
          <w:ilvl w:val="2"/>
          <w:numId w:val="10"/>
        </w:numPr>
        <w:tabs>
          <w:tab w:pos="1678" w:val="left" w:leader="none"/>
        </w:tabs>
        <w:spacing w:line="240" w:lineRule="auto" w:before="188" w:after="0"/>
        <w:ind w:left="1678" w:right="0" w:hanging="545"/>
        <w:jc w:val="left"/>
        <w:rPr>
          <w:color w:val="006FC0"/>
        </w:rPr>
      </w:pPr>
      <w:bookmarkStart w:name="_bookmark22" w:id="23"/>
      <w:bookmarkEnd w:id="23"/>
      <w:r>
        <w:rPr>
          <w:b w:val="0"/>
        </w:rPr>
      </w:r>
      <w:r>
        <w:rPr>
          <w:color w:val="006FC0"/>
        </w:rPr>
        <w:t>Axe</w:t>
      </w:r>
      <w:r>
        <w:rPr>
          <w:color w:val="006FC0"/>
          <w:spacing w:val="-4"/>
        </w:rPr>
        <w:t> </w:t>
      </w:r>
      <w:r>
        <w:rPr>
          <w:color w:val="006FC0"/>
        </w:rPr>
        <w:t>Stratégique</w:t>
      </w:r>
      <w:r>
        <w:rPr>
          <w:color w:val="006FC0"/>
          <w:spacing w:val="-3"/>
        </w:rPr>
        <w:t> </w:t>
      </w:r>
      <w:r>
        <w:rPr>
          <w:color w:val="006FC0"/>
        </w:rPr>
        <w:t>3</w:t>
      </w:r>
      <w:r>
        <w:rPr>
          <w:color w:val="006FC0"/>
          <w:spacing w:val="-1"/>
        </w:rPr>
        <w:t> </w:t>
      </w:r>
      <w:r>
        <w:rPr>
          <w:color w:val="006FC0"/>
        </w:rPr>
        <w:t>:</w:t>
      </w:r>
      <w:r>
        <w:rPr>
          <w:color w:val="006FC0"/>
          <w:spacing w:val="-6"/>
        </w:rPr>
        <w:t> </w:t>
      </w:r>
      <w:r>
        <w:rPr>
          <w:color w:val="006FC0"/>
        </w:rPr>
        <w:t>Transformation</w:t>
      </w:r>
      <w:r>
        <w:rPr>
          <w:color w:val="006FC0"/>
          <w:spacing w:val="-5"/>
        </w:rPr>
        <w:t> </w:t>
      </w:r>
      <w:r>
        <w:rPr>
          <w:color w:val="006FC0"/>
        </w:rPr>
        <w:t>structurelle</w:t>
      </w:r>
      <w:r>
        <w:rPr>
          <w:color w:val="006FC0"/>
          <w:spacing w:val="-2"/>
        </w:rPr>
        <w:t> </w:t>
      </w:r>
      <w:r>
        <w:rPr>
          <w:color w:val="006FC0"/>
        </w:rPr>
        <w:t>de</w:t>
      </w:r>
      <w:r>
        <w:rPr>
          <w:color w:val="006FC0"/>
          <w:spacing w:val="-4"/>
        </w:rPr>
        <w:t> </w:t>
      </w:r>
      <w:r>
        <w:rPr>
          <w:color w:val="006FC0"/>
        </w:rPr>
        <w:t>l’économie</w:t>
      </w:r>
      <w:r>
        <w:rPr>
          <w:color w:val="006FC0"/>
          <w:spacing w:val="-3"/>
        </w:rPr>
        <w:t> </w:t>
      </w:r>
      <w:r>
        <w:rPr>
          <w:color w:val="006FC0"/>
        </w:rPr>
        <w:t>et</w:t>
      </w:r>
      <w:r>
        <w:rPr>
          <w:color w:val="006FC0"/>
          <w:spacing w:val="-6"/>
        </w:rPr>
        <w:t> </w:t>
      </w:r>
      <w:r>
        <w:rPr>
          <w:color w:val="006FC0"/>
          <w:spacing w:val="-2"/>
        </w:rPr>
        <w:t>croissance</w:t>
      </w:r>
    </w:p>
    <w:p>
      <w:pPr>
        <w:pStyle w:val="ListParagraph"/>
        <w:numPr>
          <w:ilvl w:val="1"/>
          <w:numId w:val="1"/>
        </w:numPr>
        <w:tabs>
          <w:tab w:pos="707" w:val="left" w:leader="none"/>
        </w:tabs>
        <w:spacing w:line="240" w:lineRule="auto" w:before="195" w:after="0"/>
        <w:ind w:left="707" w:right="1127" w:hanging="707"/>
        <w:jc w:val="right"/>
        <w:rPr>
          <w:sz w:val="24"/>
        </w:rPr>
      </w:pPr>
      <w:r>
        <w:rPr>
          <w:sz w:val="24"/>
        </w:rPr>
        <w:t>Cet</w:t>
      </w:r>
      <w:r>
        <w:rPr>
          <w:spacing w:val="16"/>
          <w:sz w:val="24"/>
        </w:rPr>
        <w:t> </w:t>
      </w:r>
      <w:r>
        <w:rPr>
          <w:sz w:val="24"/>
        </w:rPr>
        <w:t>axe</w:t>
      </w:r>
      <w:r>
        <w:rPr>
          <w:spacing w:val="16"/>
          <w:sz w:val="24"/>
        </w:rPr>
        <w:t> </w:t>
      </w:r>
      <w:r>
        <w:rPr>
          <w:sz w:val="24"/>
        </w:rPr>
        <w:t>stratégique</w:t>
      </w:r>
      <w:r>
        <w:rPr>
          <w:spacing w:val="13"/>
          <w:sz w:val="24"/>
        </w:rPr>
        <w:t> </w:t>
      </w:r>
      <w:r>
        <w:rPr>
          <w:sz w:val="24"/>
        </w:rPr>
        <w:t>vise</w:t>
      </w:r>
      <w:r>
        <w:rPr>
          <w:spacing w:val="15"/>
          <w:sz w:val="24"/>
        </w:rPr>
        <w:t> </w:t>
      </w:r>
      <w:r>
        <w:rPr>
          <w:sz w:val="24"/>
        </w:rPr>
        <w:t>à</w:t>
      </w:r>
      <w:r>
        <w:rPr>
          <w:spacing w:val="12"/>
          <w:sz w:val="24"/>
        </w:rPr>
        <w:t> </w:t>
      </w:r>
      <w:r>
        <w:rPr>
          <w:sz w:val="24"/>
        </w:rPr>
        <w:t>assurer</w:t>
      </w:r>
      <w:r>
        <w:rPr>
          <w:spacing w:val="14"/>
          <w:sz w:val="24"/>
        </w:rPr>
        <w:t> </w:t>
      </w:r>
      <w:r>
        <w:rPr>
          <w:sz w:val="24"/>
        </w:rPr>
        <w:t>une</w:t>
      </w:r>
      <w:r>
        <w:rPr>
          <w:spacing w:val="13"/>
          <w:sz w:val="24"/>
        </w:rPr>
        <w:t> </w:t>
      </w:r>
      <w:r>
        <w:rPr>
          <w:sz w:val="24"/>
        </w:rPr>
        <w:t>«</w:t>
      </w:r>
      <w:r>
        <w:rPr>
          <w:spacing w:val="3"/>
          <w:sz w:val="24"/>
        </w:rPr>
        <w:t> </w:t>
      </w:r>
      <w:r>
        <w:rPr>
          <w:sz w:val="24"/>
        </w:rPr>
        <w:t>transformation</w:t>
      </w:r>
      <w:r>
        <w:rPr>
          <w:spacing w:val="16"/>
          <w:sz w:val="24"/>
        </w:rPr>
        <w:t> </w:t>
      </w:r>
      <w:r>
        <w:rPr>
          <w:sz w:val="24"/>
        </w:rPr>
        <w:t>structurelle</w:t>
      </w:r>
      <w:r>
        <w:rPr>
          <w:spacing w:val="16"/>
          <w:sz w:val="24"/>
        </w:rPr>
        <w:t> </w:t>
      </w:r>
      <w:r>
        <w:rPr>
          <w:sz w:val="24"/>
        </w:rPr>
        <w:t>de</w:t>
      </w:r>
      <w:r>
        <w:rPr>
          <w:spacing w:val="16"/>
          <w:sz w:val="24"/>
        </w:rPr>
        <w:t> </w:t>
      </w:r>
      <w:r>
        <w:rPr>
          <w:sz w:val="24"/>
        </w:rPr>
        <w:t>l’économie</w:t>
      </w:r>
      <w:r>
        <w:rPr>
          <w:spacing w:val="-1"/>
          <w:sz w:val="24"/>
        </w:rPr>
        <w:t> </w:t>
      </w:r>
      <w:r>
        <w:rPr>
          <w:sz w:val="24"/>
        </w:rPr>
        <w:t>»,</w:t>
      </w:r>
      <w:r>
        <w:rPr>
          <w:spacing w:val="13"/>
          <w:sz w:val="24"/>
        </w:rPr>
        <w:t> </w:t>
      </w:r>
      <w:r>
        <w:rPr>
          <w:sz w:val="24"/>
        </w:rPr>
        <w:t>à</w:t>
      </w:r>
      <w:r>
        <w:rPr>
          <w:spacing w:val="16"/>
          <w:sz w:val="24"/>
        </w:rPr>
        <w:t> </w:t>
      </w:r>
      <w:r>
        <w:rPr>
          <w:sz w:val="24"/>
        </w:rPr>
        <w:t>travers</w:t>
      </w:r>
      <w:r>
        <w:rPr>
          <w:spacing w:val="-1"/>
          <w:sz w:val="24"/>
        </w:rPr>
        <w:t> </w:t>
      </w:r>
      <w:r>
        <w:rPr>
          <w:spacing w:val="-10"/>
          <w:sz w:val="24"/>
        </w:rPr>
        <w:t>:</w:t>
      </w:r>
    </w:p>
    <w:p>
      <w:pPr>
        <w:pStyle w:val="BodyText"/>
        <w:spacing w:before="1"/>
        <w:ind w:left="0" w:right="1128" w:firstLine="0"/>
        <w:jc w:val="right"/>
      </w:pPr>
      <w:r>
        <w:rPr/>
        <w:t>(i)</w:t>
      </w:r>
      <w:r>
        <w:rPr>
          <w:spacing w:val="50"/>
        </w:rPr>
        <w:t> </w:t>
      </w:r>
      <w:r>
        <w:rPr/>
        <w:t>l’accroissement</w:t>
      </w:r>
      <w:r>
        <w:rPr>
          <w:spacing w:val="51"/>
        </w:rPr>
        <w:t> </w:t>
      </w:r>
      <w:r>
        <w:rPr/>
        <w:t>de</w:t>
      </w:r>
      <w:r>
        <w:rPr>
          <w:spacing w:val="51"/>
        </w:rPr>
        <w:t> </w:t>
      </w:r>
      <w:r>
        <w:rPr/>
        <w:t>la</w:t>
      </w:r>
      <w:r>
        <w:rPr>
          <w:spacing w:val="52"/>
        </w:rPr>
        <w:t> </w:t>
      </w:r>
      <w:r>
        <w:rPr/>
        <w:t>productivité</w:t>
      </w:r>
      <w:r>
        <w:rPr>
          <w:spacing w:val="51"/>
        </w:rPr>
        <w:t> </w:t>
      </w:r>
      <w:r>
        <w:rPr/>
        <w:t>globale</w:t>
      </w:r>
      <w:r>
        <w:rPr>
          <w:spacing w:val="51"/>
        </w:rPr>
        <w:t> </w:t>
      </w:r>
      <w:r>
        <w:rPr/>
        <w:t>et</w:t>
      </w:r>
      <w:r>
        <w:rPr>
          <w:spacing w:val="51"/>
        </w:rPr>
        <w:t> </w:t>
      </w:r>
      <w:r>
        <w:rPr/>
        <w:t>la</w:t>
      </w:r>
      <w:r>
        <w:rPr>
          <w:spacing w:val="51"/>
        </w:rPr>
        <w:t> </w:t>
      </w:r>
      <w:r>
        <w:rPr/>
        <w:t>diversification</w:t>
      </w:r>
      <w:r>
        <w:rPr>
          <w:spacing w:val="51"/>
        </w:rPr>
        <w:t> </w:t>
      </w:r>
      <w:r>
        <w:rPr/>
        <w:t>des</w:t>
      </w:r>
      <w:r>
        <w:rPr>
          <w:spacing w:val="51"/>
        </w:rPr>
        <w:t> </w:t>
      </w:r>
      <w:r>
        <w:rPr/>
        <w:t>activités</w:t>
      </w:r>
      <w:r>
        <w:rPr>
          <w:spacing w:val="48"/>
        </w:rPr>
        <w:t> </w:t>
      </w:r>
      <w:r>
        <w:rPr/>
        <w:t>économiques,</w:t>
      </w:r>
      <w:r>
        <w:rPr>
          <w:spacing w:val="51"/>
        </w:rPr>
        <w:t> </w:t>
      </w:r>
      <w:r>
        <w:rPr>
          <w:spacing w:val="-4"/>
        </w:rPr>
        <w:t>(ii)</w:t>
      </w:r>
    </w:p>
    <w:p>
      <w:pPr>
        <w:pStyle w:val="BodyText"/>
        <w:spacing w:after="0"/>
        <w:jc w:val="right"/>
        <w:sectPr>
          <w:pgSz w:w="11910" w:h="16840"/>
          <w:pgMar w:header="0" w:footer="680" w:top="1500" w:bottom="960" w:left="283" w:right="141"/>
        </w:sectPr>
      </w:pPr>
    </w:p>
    <w:p>
      <w:pPr>
        <w:pStyle w:val="BodyText"/>
        <w:spacing w:before="78"/>
        <w:ind w:firstLine="0"/>
        <w:jc w:val="left"/>
      </w:pPr>
      <w:r>
        <w:rPr/>
        <w:t>l’accélération</w:t>
      </w:r>
      <w:r>
        <w:rPr>
          <w:spacing w:val="-6"/>
        </w:rPr>
        <w:t> </w:t>
      </w:r>
      <w:r>
        <w:rPr/>
        <w:t>du</w:t>
      </w:r>
      <w:r>
        <w:rPr>
          <w:spacing w:val="-3"/>
        </w:rPr>
        <w:t> </w:t>
      </w:r>
      <w:r>
        <w:rPr/>
        <w:t>développement des</w:t>
      </w:r>
      <w:r>
        <w:rPr>
          <w:spacing w:val="-2"/>
        </w:rPr>
        <w:t> </w:t>
      </w:r>
      <w:r>
        <w:rPr/>
        <w:t>secteurs</w:t>
      </w:r>
      <w:r>
        <w:rPr>
          <w:spacing w:val="-2"/>
        </w:rPr>
        <w:t> </w:t>
      </w:r>
      <w:r>
        <w:rPr/>
        <w:t>d’appui</w:t>
      </w:r>
      <w:r>
        <w:rPr>
          <w:spacing w:val="-4"/>
        </w:rPr>
        <w:t> </w:t>
      </w:r>
      <w:r>
        <w:rPr/>
        <w:t>à</w:t>
      </w:r>
      <w:r>
        <w:rPr>
          <w:spacing w:val="-1"/>
        </w:rPr>
        <w:t> </w:t>
      </w:r>
      <w:r>
        <w:rPr/>
        <w:t>la croissance</w:t>
      </w:r>
      <w:r>
        <w:rPr>
          <w:spacing w:val="7"/>
        </w:rPr>
        <w:t> </w:t>
      </w:r>
      <w:r>
        <w:rPr/>
        <w:t>et (iii)</w:t>
      </w:r>
      <w:r>
        <w:rPr>
          <w:spacing w:val="-3"/>
        </w:rPr>
        <w:t> </w:t>
      </w:r>
      <w:r>
        <w:rPr/>
        <w:t>assurer</w:t>
      </w:r>
      <w:r>
        <w:rPr>
          <w:spacing w:val="-1"/>
        </w:rPr>
        <w:t> </w:t>
      </w:r>
      <w:r>
        <w:rPr/>
        <w:t>la </w:t>
      </w:r>
      <w:r>
        <w:rPr>
          <w:spacing w:val="-2"/>
        </w:rPr>
        <w:t>transformation</w:t>
      </w:r>
    </w:p>
    <w:p>
      <w:pPr>
        <w:pStyle w:val="BodyText"/>
        <w:spacing w:before="1"/>
        <w:ind w:firstLine="0"/>
        <w:jc w:val="left"/>
      </w:pPr>
      <w:r>
        <w:rPr/>
        <w:t>industrielle</w:t>
      </w:r>
      <w:r>
        <w:rPr>
          <w:spacing w:val="-8"/>
        </w:rPr>
        <w:t> </w:t>
      </w:r>
      <w:r>
        <w:rPr/>
        <w:t>de</w:t>
      </w:r>
      <w:r>
        <w:rPr>
          <w:spacing w:val="-3"/>
        </w:rPr>
        <w:t> </w:t>
      </w:r>
      <w:r>
        <w:rPr>
          <w:spacing w:val="-2"/>
        </w:rPr>
        <w:t>l’économie.</w:t>
      </w:r>
    </w:p>
    <w:p>
      <w:pPr>
        <w:pStyle w:val="BodyText"/>
        <w:spacing w:before="1"/>
        <w:ind w:left="0" w:firstLine="0"/>
        <w:jc w:val="left"/>
        <w:rPr>
          <w:sz w:val="12"/>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40"/>
        <w:gridCol w:w="6731"/>
      </w:tblGrid>
      <w:tr>
        <w:trPr>
          <w:trHeight w:val="313" w:hRule="atLeast"/>
        </w:trPr>
        <w:tc>
          <w:tcPr>
            <w:tcW w:w="10771" w:type="dxa"/>
            <w:gridSpan w:val="2"/>
            <w:shd w:val="clear" w:color="auto" w:fill="FFD966"/>
          </w:tcPr>
          <w:p>
            <w:pPr>
              <w:pStyle w:val="TableParagraph"/>
              <w:spacing w:line="232" w:lineRule="exact" w:before="62"/>
              <w:ind w:left="69"/>
              <w:rPr>
                <w:b/>
                <w:sz w:val="22"/>
              </w:rPr>
            </w:pPr>
            <w:r>
              <w:rPr>
                <w:b/>
                <w:sz w:val="22"/>
              </w:rPr>
              <w:t>Axe</w:t>
            </w:r>
            <w:r>
              <w:rPr>
                <w:b/>
                <w:spacing w:val="-6"/>
                <w:sz w:val="22"/>
              </w:rPr>
              <w:t> </w:t>
            </w:r>
            <w:r>
              <w:rPr>
                <w:b/>
                <w:sz w:val="22"/>
              </w:rPr>
              <w:t>Stratégique</w:t>
            </w:r>
            <w:r>
              <w:rPr>
                <w:b/>
                <w:spacing w:val="-4"/>
                <w:sz w:val="22"/>
              </w:rPr>
              <w:t> </w:t>
            </w:r>
            <w:r>
              <w:rPr>
                <w:b/>
                <w:sz w:val="22"/>
              </w:rPr>
              <w:t>3</w:t>
            </w:r>
            <w:r>
              <w:rPr>
                <w:b/>
                <w:spacing w:val="-4"/>
                <w:sz w:val="22"/>
              </w:rPr>
              <w:t> </w:t>
            </w:r>
            <w:r>
              <w:rPr>
                <w:b/>
                <w:sz w:val="22"/>
              </w:rPr>
              <w:t>:</w:t>
            </w:r>
            <w:r>
              <w:rPr>
                <w:b/>
                <w:spacing w:val="-4"/>
                <w:sz w:val="22"/>
              </w:rPr>
              <w:t> </w:t>
            </w:r>
            <w:r>
              <w:rPr>
                <w:b/>
                <w:sz w:val="22"/>
              </w:rPr>
              <w:t>Transformation</w:t>
            </w:r>
            <w:r>
              <w:rPr>
                <w:b/>
                <w:spacing w:val="-5"/>
                <w:sz w:val="22"/>
              </w:rPr>
              <w:t> </w:t>
            </w:r>
            <w:r>
              <w:rPr>
                <w:b/>
                <w:sz w:val="22"/>
              </w:rPr>
              <w:t>structurelle</w:t>
            </w:r>
            <w:r>
              <w:rPr>
                <w:b/>
                <w:spacing w:val="-4"/>
                <w:sz w:val="22"/>
              </w:rPr>
              <w:t> </w:t>
            </w:r>
            <w:r>
              <w:rPr>
                <w:b/>
                <w:sz w:val="22"/>
              </w:rPr>
              <w:t>de</w:t>
            </w:r>
            <w:r>
              <w:rPr>
                <w:b/>
                <w:spacing w:val="-4"/>
                <w:sz w:val="22"/>
              </w:rPr>
              <w:t> </w:t>
            </w:r>
            <w:r>
              <w:rPr>
                <w:b/>
                <w:sz w:val="22"/>
              </w:rPr>
              <w:t>l’économie</w:t>
            </w:r>
            <w:r>
              <w:rPr>
                <w:b/>
                <w:spacing w:val="-4"/>
                <w:sz w:val="22"/>
              </w:rPr>
              <w:t> </w:t>
            </w:r>
            <w:r>
              <w:rPr>
                <w:b/>
                <w:sz w:val="22"/>
              </w:rPr>
              <w:t>et</w:t>
            </w:r>
            <w:r>
              <w:rPr>
                <w:b/>
                <w:spacing w:val="-3"/>
                <w:sz w:val="22"/>
              </w:rPr>
              <w:t> </w:t>
            </w:r>
            <w:r>
              <w:rPr>
                <w:b/>
                <w:spacing w:val="-2"/>
                <w:sz w:val="22"/>
              </w:rPr>
              <w:t>croissance</w:t>
            </w:r>
          </w:p>
        </w:tc>
      </w:tr>
      <w:tr>
        <w:trPr>
          <w:trHeight w:val="757" w:hRule="atLeast"/>
        </w:trPr>
        <w:tc>
          <w:tcPr>
            <w:tcW w:w="4040" w:type="dxa"/>
            <w:vMerge w:val="restart"/>
            <w:shd w:val="clear" w:color="auto" w:fill="FFE699"/>
          </w:tcPr>
          <w:p>
            <w:pPr>
              <w:pStyle w:val="TableParagraph"/>
              <w:spacing w:before="136"/>
              <w:rPr>
                <w:sz w:val="22"/>
              </w:rPr>
            </w:pPr>
          </w:p>
          <w:p>
            <w:pPr>
              <w:pStyle w:val="TableParagraph"/>
              <w:ind w:left="69"/>
              <w:rPr>
                <w:sz w:val="22"/>
              </w:rPr>
            </w:pPr>
            <w:r>
              <w:rPr>
                <w:b/>
                <w:sz w:val="22"/>
              </w:rPr>
              <w:t>Objectif</w:t>
            </w:r>
            <w:r>
              <w:rPr>
                <w:b/>
                <w:spacing w:val="36"/>
                <w:sz w:val="22"/>
              </w:rPr>
              <w:t> </w:t>
            </w:r>
            <w:r>
              <w:rPr>
                <w:b/>
                <w:sz w:val="22"/>
              </w:rPr>
              <w:t>global</w:t>
            </w:r>
            <w:r>
              <w:rPr>
                <w:b/>
                <w:spacing w:val="37"/>
                <w:sz w:val="22"/>
              </w:rPr>
              <w:t> </w:t>
            </w:r>
            <w:r>
              <w:rPr>
                <w:b/>
                <w:sz w:val="22"/>
              </w:rPr>
              <w:t>3.1.</w:t>
            </w:r>
            <w:r>
              <w:rPr>
                <w:b/>
                <w:spacing w:val="35"/>
                <w:sz w:val="22"/>
              </w:rPr>
              <w:t> </w:t>
            </w:r>
            <w:r>
              <w:rPr>
                <w:b/>
                <w:sz w:val="22"/>
              </w:rPr>
              <w:t>:</w:t>
            </w:r>
            <w:r>
              <w:rPr>
                <w:b/>
                <w:spacing w:val="38"/>
                <w:sz w:val="22"/>
              </w:rPr>
              <w:t> </w:t>
            </w:r>
            <w:r>
              <w:rPr>
                <w:sz w:val="22"/>
              </w:rPr>
              <w:t>Accroitre</w:t>
            </w:r>
            <w:r>
              <w:rPr>
                <w:spacing w:val="36"/>
                <w:sz w:val="22"/>
              </w:rPr>
              <w:t> </w:t>
            </w:r>
            <w:r>
              <w:rPr>
                <w:sz w:val="22"/>
              </w:rPr>
              <w:t>la</w:t>
            </w:r>
            <w:r>
              <w:rPr>
                <w:spacing w:val="37"/>
                <w:sz w:val="22"/>
              </w:rPr>
              <w:t> </w:t>
            </w:r>
            <w:r>
              <w:rPr>
                <w:sz w:val="22"/>
              </w:rPr>
              <w:t>productivité globale et diversifier les activités économiques</w:t>
            </w:r>
          </w:p>
        </w:tc>
        <w:tc>
          <w:tcPr>
            <w:tcW w:w="6731" w:type="dxa"/>
            <w:shd w:val="clear" w:color="auto" w:fill="FFF1CC"/>
          </w:tcPr>
          <w:p>
            <w:pPr>
              <w:pStyle w:val="TableParagraph"/>
              <w:spacing w:line="252" w:lineRule="exact"/>
              <w:ind w:left="69" w:right="59"/>
              <w:jc w:val="both"/>
              <w:rPr>
                <w:sz w:val="22"/>
              </w:rPr>
            </w:pPr>
            <w:r>
              <w:rPr>
                <w:sz w:val="22"/>
              </w:rPr>
              <w:t>Objectif Spécifique</w:t>
            </w:r>
            <w:r>
              <w:rPr>
                <w:spacing w:val="-2"/>
                <w:sz w:val="22"/>
              </w:rPr>
              <w:t> </w:t>
            </w:r>
            <w:r>
              <w:rPr>
                <w:sz w:val="22"/>
              </w:rPr>
              <w:t>3.1.1. : Accroitre durablement les productions agricoles, animales et halieutiques pour assurer la souveraineté alimentaire et nutritionnelle au Mali</w:t>
            </w:r>
          </w:p>
        </w:tc>
      </w:tr>
      <w:tr>
        <w:trPr>
          <w:trHeight w:val="505" w:hRule="atLeast"/>
        </w:trPr>
        <w:tc>
          <w:tcPr>
            <w:tcW w:w="4040" w:type="dxa"/>
            <w:vMerge/>
            <w:tcBorders>
              <w:top w:val="nil"/>
            </w:tcBorders>
            <w:shd w:val="clear" w:color="auto" w:fill="FFE699"/>
          </w:tcPr>
          <w:p>
            <w:pPr>
              <w:rPr>
                <w:sz w:val="2"/>
                <w:szCs w:val="2"/>
              </w:rPr>
            </w:pPr>
          </w:p>
        </w:tc>
        <w:tc>
          <w:tcPr>
            <w:tcW w:w="6731" w:type="dxa"/>
            <w:shd w:val="clear" w:color="auto" w:fill="FFF1CC"/>
          </w:tcPr>
          <w:p>
            <w:pPr>
              <w:pStyle w:val="TableParagraph"/>
              <w:spacing w:line="252" w:lineRule="exact"/>
              <w:ind w:left="69"/>
              <w:rPr>
                <w:sz w:val="22"/>
              </w:rPr>
            </w:pPr>
            <w:r>
              <w:rPr>
                <w:sz w:val="22"/>
              </w:rPr>
              <w:t>Objectif</w:t>
            </w:r>
            <w:r>
              <w:rPr>
                <w:spacing w:val="40"/>
                <w:sz w:val="22"/>
              </w:rPr>
              <w:t> </w:t>
            </w:r>
            <w:r>
              <w:rPr>
                <w:sz w:val="22"/>
              </w:rPr>
              <w:t>Spécifique 3.1.2.</w:t>
            </w:r>
            <w:r>
              <w:rPr>
                <w:spacing w:val="40"/>
                <w:sz w:val="22"/>
              </w:rPr>
              <w:t> </w:t>
            </w:r>
            <w:r>
              <w:rPr>
                <w:sz w:val="22"/>
              </w:rPr>
              <w:t>:</w:t>
            </w:r>
            <w:r>
              <w:rPr>
                <w:spacing w:val="40"/>
                <w:sz w:val="22"/>
              </w:rPr>
              <w:t> </w:t>
            </w:r>
            <w:r>
              <w:rPr>
                <w:sz w:val="22"/>
              </w:rPr>
              <w:t>Faire</w:t>
            </w:r>
            <w:r>
              <w:rPr>
                <w:spacing w:val="40"/>
                <w:sz w:val="22"/>
              </w:rPr>
              <w:t> </w:t>
            </w:r>
            <w:r>
              <w:rPr>
                <w:sz w:val="22"/>
              </w:rPr>
              <w:t>de</w:t>
            </w:r>
            <w:r>
              <w:rPr>
                <w:spacing w:val="40"/>
                <w:sz w:val="22"/>
              </w:rPr>
              <w:t> </w:t>
            </w:r>
            <w:r>
              <w:rPr>
                <w:sz w:val="22"/>
              </w:rPr>
              <w:t>l’artisanat,</w:t>
            </w:r>
            <w:r>
              <w:rPr>
                <w:spacing w:val="40"/>
                <w:sz w:val="22"/>
              </w:rPr>
              <w:t> </w:t>
            </w:r>
            <w:r>
              <w:rPr>
                <w:sz w:val="22"/>
              </w:rPr>
              <w:t>le</w:t>
            </w:r>
            <w:r>
              <w:rPr>
                <w:spacing w:val="40"/>
                <w:sz w:val="22"/>
              </w:rPr>
              <w:t> </w:t>
            </w:r>
            <w:r>
              <w:rPr>
                <w:sz w:val="22"/>
              </w:rPr>
              <w:t>tourisme</w:t>
            </w:r>
            <w:r>
              <w:rPr>
                <w:spacing w:val="40"/>
                <w:sz w:val="22"/>
              </w:rPr>
              <w:t> </w:t>
            </w:r>
            <w:r>
              <w:rPr>
                <w:sz w:val="22"/>
              </w:rPr>
              <w:t>et</w:t>
            </w:r>
            <w:r>
              <w:rPr>
                <w:spacing w:val="40"/>
                <w:sz w:val="22"/>
              </w:rPr>
              <w:t> </w:t>
            </w:r>
            <w:r>
              <w:rPr>
                <w:sz w:val="22"/>
              </w:rPr>
              <w:t>la</w:t>
            </w:r>
            <w:r>
              <w:rPr>
                <w:spacing w:val="40"/>
                <w:sz w:val="22"/>
              </w:rPr>
              <w:t> </w:t>
            </w:r>
            <w:r>
              <w:rPr>
                <w:sz w:val="22"/>
              </w:rPr>
              <w:t>culture</w:t>
            </w:r>
            <w:r>
              <w:rPr>
                <w:spacing w:val="40"/>
                <w:sz w:val="22"/>
              </w:rPr>
              <w:t> </w:t>
            </w:r>
            <w:r>
              <w:rPr>
                <w:sz w:val="22"/>
              </w:rPr>
              <w:t>des facteurs de développement</w:t>
            </w:r>
          </w:p>
        </w:tc>
      </w:tr>
      <w:tr>
        <w:trPr>
          <w:trHeight w:val="251" w:hRule="atLeast"/>
        </w:trPr>
        <w:tc>
          <w:tcPr>
            <w:tcW w:w="4040" w:type="dxa"/>
            <w:vMerge/>
            <w:tcBorders>
              <w:top w:val="nil"/>
            </w:tcBorders>
            <w:shd w:val="clear" w:color="auto" w:fill="FFE699"/>
          </w:tcPr>
          <w:p>
            <w:pPr>
              <w:rPr>
                <w:sz w:val="2"/>
                <w:szCs w:val="2"/>
              </w:rPr>
            </w:pPr>
          </w:p>
        </w:tc>
        <w:tc>
          <w:tcPr>
            <w:tcW w:w="6731" w:type="dxa"/>
            <w:shd w:val="clear" w:color="auto" w:fill="FFF1CC"/>
          </w:tcPr>
          <w:p>
            <w:pPr>
              <w:pStyle w:val="TableParagraph"/>
              <w:spacing w:line="232" w:lineRule="exact"/>
              <w:ind w:left="69"/>
              <w:rPr>
                <w:sz w:val="22"/>
              </w:rPr>
            </w:pPr>
            <w:r>
              <w:rPr>
                <w:sz w:val="22"/>
              </w:rPr>
              <w:t>Objectif</w:t>
            </w:r>
            <w:r>
              <w:rPr>
                <w:spacing w:val="-7"/>
                <w:sz w:val="22"/>
              </w:rPr>
              <w:t> </w:t>
            </w:r>
            <w:r>
              <w:rPr>
                <w:sz w:val="22"/>
              </w:rPr>
              <w:t>Spécifique</w:t>
            </w:r>
            <w:r>
              <w:rPr>
                <w:spacing w:val="-4"/>
                <w:sz w:val="22"/>
              </w:rPr>
              <w:t> </w:t>
            </w:r>
            <w:r>
              <w:rPr>
                <w:sz w:val="22"/>
              </w:rPr>
              <w:t>3.1.3.</w:t>
            </w:r>
            <w:r>
              <w:rPr>
                <w:spacing w:val="-5"/>
                <w:sz w:val="22"/>
              </w:rPr>
              <w:t> </w:t>
            </w:r>
            <w:r>
              <w:rPr>
                <w:sz w:val="22"/>
              </w:rPr>
              <w:t>:</w:t>
            </w:r>
            <w:r>
              <w:rPr>
                <w:spacing w:val="-4"/>
                <w:sz w:val="22"/>
              </w:rPr>
              <w:t> </w:t>
            </w:r>
            <w:r>
              <w:rPr>
                <w:sz w:val="22"/>
              </w:rPr>
              <w:t>Diversifier</w:t>
            </w:r>
            <w:r>
              <w:rPr>
                <w:spacing w:val="-8"/>
                <w:sz w:val="22"/>
              </w:rPr>
              <w:t> </w:t>
            </w:r>
            <w:r>
              <w:rPr>
                <w:sz w:val="22"/>
              </w:rPr>
              <w:t>et</w:t>
            </w:r>
            <w:r>
              <w:rPr>
                <w:spacing w:val="-5"/>
                <w:sz w:val="22"/>
              </w:rPr>
              <w:t> </w:t>
            </w:r>
            <w:r>
              <w:rPr>
                <w:sz w:val="22"/>
              </w:rPr>
              <w:t>intégrer</w:t>
            </w:r>
            <w:r>
              <w:rPr>
                <w:spacing w:val="-5"/>
                <w:sz w:val="22"/>
              </w:rPr>
              <w:t> </w:t>
            </w:r>
            <w:r>
              <w:rPr>
                <w:sz w:val="22"/>
              </w:rPr>
              <w:t>l’exploitation</w:t>
            </w:r>
            <w:r>
              <w:rPr>
                <w:spacing w:val="-8"/>
                <w:sz w:val="22"/>
              </w:rPr>
              <w:t> </w:t>
            </w:r>
            <w:r>
              <w:rPr>
                <w:sz w:val="22"/>
              </w:rPr>
              <w:t>minière</w:t>
            </w:r>
            <w:r>
              <w:rPr>
                <w:spacing w:val="-5"/>
                <w:sz w:val="22"/>
              </w:rPr>
              <w:t> </w:t>
            </w:r>
            <w:r>
              <w:rPr>
                <w:sz w:val="22"/>
              </w:rPr>
              <w:t>à</w:t>
            </w:r>
            <w:r>
              <w:rPr>
                <w:spacing w:val="-4"/>
                <w:sz w:val="22"/>
              </w:rPr>
              <w:t> </w:t>
            </w:r>
            <w:r>
              <w:rPr>
                <w:spacing w:val="-2"/>
                <w:sz w:val="22"/>
              </w:rPr>
              <w:t>l’économie</w:t>
            </w:r>
          </w:p>
        </w:tc>
      </w:tr>
      <w:tr>
        <w:trPr>
          <w:trHeight w:val="282" w:hRule="atLeast"/>
        </w:trPr>
        <w:tc>
          <w:tcPr>
            <w:tcW w:w="4040" w:type="dxa"/>
            <w:vMerge w:val="restart"/>
            <w:shd w:val="clear" w:color="auto" w:fill="FFE499"/>
          </w:tcPr>
          <w:p>
            <w:pPr>
              <w:pStyle w:val="TableParagraph"/>
              <w:spacing w:line="252" w:lineRule="exact"/>
              <w:ind w:left="69" w:right="60"/>
              <w:jc w:val="both"/>
              <w:rPr>
                <w:sz w:val="22"/>
              </w:rPr>
            </w:pPr>
            <w:r>
              <w:rPr>
                <w:b/>
                <w:sz w:val="22"/>
              </w:rPr>
              <w:t>Objectif global 3.2. : </w:t>
            </w:r>
            <w:r>
              <w:rPr>
                <w:sz w:val="22"/>
              </w:rPr>
              <w:t>Assurer la transformation industrielle de l’économie et faire du Mali une plaque tournante du commerce sous régional</w:t>
            </w:r>
          </w:p>
        </w:tc>
        <w:tc>
          <w:tcPr>
            <w:tcW w:w="6731" w:type="dxa"/>
            <w:shd w:val="clear" w:color="auto" w:fill="FFF1CC"/>
          </w:tcPr>
          <w:p>
            <w:pPr>
              <w:pStyle w:val="TableParagraph"/>
              <w:ind w:left="69"/>
              <w:rPr>
                <w:sz w:val="22"/>
              </w:rPr>
            </w:pPr>
            <w:r>
              <w:rPr>
                <w:sz w:val="22"/>
              </w:rPr>
              <w:t>Objectif</w:t>
            </w:r>
            <w:r>
              <w:rPr>
                <w:spacing w:val="-8"/>
                <w:sz w:val="22"/>
              </w:rPr>
              <w:t> </w:t>
            </w:r>
            <w:r>
              <w:rPr>
                <w:sz w:val="22"/>
              </w:rPr>
              <w:t>Spécifique</w:t>
            </w:r>
            <w:r>
              <w:rPr>
                <w:spacing w:val="-3"/>
                <w:sz w:val="22"/>
              </w:rPr>
              <w:t> </w:t>
            </w:r>
            <w:r>
              <w:rPr>
                <w:sz w:val="22"/>
              </w:rPr>
              <w:t>3.2.1.</w:t>
            </w:r>
            <w:r>
              <w:rPr>
                <w:spacing w:val="-5"/>
                <w:sz w:val="22"/>
              </w:rPr>
              <w:t> </w:t>
            </w:r>
            <w:r>
              <w:rPr>
                <w:sz w:val="22"/>
              </w:rPr>
              <w:t>:</w:t>
            </w:r>
            <w:r>
              <w:rPr>
                <w:spacing w:val="-5"/>
                <w:sz w:val="22"/>
              </w:rPr>
              <w:t> </w:t>
            </w:r>
            <w:r>
              <w:rPr>
                <w:sz w:val="22"/>
              </w:rPr>
              <w:t>Assurer</w:t>
            </w:r>
            <w:r>
              <w:rPr>
                <w:spacing w:val="-5"/>
                <w:sz w:val="22"/>
              </w:rPr>
              <w:t> </w:t>
            </w:r>
            <w:r>
              <w:rPr>
                <w:sz w:val="22"/>
              </w:rPr>
              <w:t>la</w:t>
            </w:r>
            <w:r>
              <w:rPr>
                <w:spacing w:val="-7"/>
                <w:sz w:val="22"/>
              </w:rPr>
              <w:t> </w:t>
            </w:r>
            <w:r>
              <w:rPr>
                <w:sz w:val="22"/>
              </w:rPr>
              <w:t>transformation</w:t>
            </w:r>
            <w:r>
              <w:rPr>
                <w:spacing w:val="-6"/>
                <w:sz w:val="22"/>
              </w:rPr>
              <w:t> </w:t>
            </w:r>
            <w:r>
              <w:rPr>
                <w:sz w:val="22"/>
              </w:rPr>
              <w:t>industrielle</w:t>
            </w:r>
            <w:r>
              <w:rPr>
                <w:spacing w:val="-5"/>
                <w:sz w:val="22"/>
              </w:rPr>
              <w:t> </w:t>
            </w:r>
            <w:r>
              <w:rPr>
                <w:sz w:val="22"/>
              </w:rPr>
              <w:t>de</w:t>
            </w:r>
            <w:r>
              <w:rPr>
                <w:spacing w:val="-7"/>
                <w:sz w:val="22"/>
              </w:rPr>
              <w:t> </w:t>
            </w:r>
            <w:r>
              <w:rPr>
                <w:spacing w:val="-2"/>
                <w:sz w:val="22"/>
              </w:rPr>
              <w:t>l’économie</w:t>
            </w:r>
          </w:p>
        </w:tc>
      </w:tr>
      <w:tr>
        <w:trPr>
          <w:trHeight w:val="465" w:hRule="atLeast"/>
        </w:trPr>
        <w:tc>
          <w:tcPr>
            <w:tcW w:w="4040" w:type="dxa"/>
            <w:vMerge/>
            <w:tcBorders>
              <w:top w:val="nil"/>
            </w:tcBorders>
            <w:shd w:val="clear" w:color="auto" w:fill="FFE499"/>
          </w:tcPr>
          <w:p>
            <w:pPr>
              <w:rPr>
                <w:sz w:val="2"/>
                <w:szCs w:val="2"/>
              </w:rPr>
            </w:pPr>
          </w:p>
        </w:tc>
        <w:tc>
          <w:tcPr>
            <w:tcW w:w="6731" w:type="dxa"/>
            <w:shd w:val="clear" w:color="auto" w:fill="FFF1CC"/>
          </w:tcPr>
          <w:p>
            <w:pPr>
              <w:pStyle w:val="TableParagraph"/>
              <w:spacing w:before="2"/>
              <w:ind w:left="69"/>
              <w:rPr>
                <w:sz w:val="22"/>
              </w:rPr>
            </w:pPr>
            <w:r>
              <w:rPr>
                <w:sz w:val="22"/>
              </w:rPr>
              <w:t>Objectif</w:t>
            </w:r>
            <w:r>
              <w:rPr>
                <w:spacing w:val="-5"/>
                <w:sz w:val="22"/>
              </w:rPr>
              <w:t> </w:t>
            </w:r>
            <w:r>
              <w:rPr>
                <w:sz w:val="22"/>
              </w:rPr>
              <w:t>Spécifique</w:t>
            </w:r>
            <w:r>
              <w:rPr>
                <w:spacing w:val="-2"/>
                <w:sz w:val="22"/>
              </w:rPr>
              <w:t> </w:t>
            </w:r>
            <w:r>
              <w:rPr>
                <w:sz w:val="22"/>
              </w:rPr>
              <w:t>3.2.2.</w:t>
            </w:r>
            <w:r>
              <w:rPr>
                <w:spacing w:val="-4"/>
                <w:sz w:val="22"/>
              </w:rPr>
              <w:t> </w:t>
            </w:r>
            <w:r>
              <w:rPr>
                <w:sz w:val="22"/>
              </w:rPr>
              <w:t>:</w:t>
            </w:r>
            <w:r>
              <w:rPr>
                <w:spacing w:val="61"/>
                <w:w w:val="150"/>
                <w:sz w:val="22"/>
              </w:rPr>
              <w:t> </w:t>
            </w:r>
            <w:r>
              <w:rPr>
                <w:sz w:val="22"/>
              </w:rPr>
              <w:t>Développer</w:t>
            </w:r>
            <w:r>
              <w:rPr>
                <w:spacing w:val="-4"/>
                <w:sz w:val="22"/>
              </w:rPr>
              <w:t> </w:t>
            </w:r>
            <w:r>
              <w:rPr>
                <w:sz w:val="22"/>
              </w:rPr>
              <w:t>les</w:t>
            </w:r>
            <w:r>
              <w:rPr>
                <w:spacing w:val="-4"/>
                <w:sz w:val="22"/>
              </w:rPr>
              <w:t> </w:t>
            </w:r>
            <w:r>
              <w:rPr>
                <w:sz w:val="22"/>
              </w:rPr>
              <w:t>échanges</w:t>
            </w:r>
            <w:r>
              <w:rPr>
                <w:spacing w:val="-5"/>
                <w:sz w:val="22"/>
              </w:rPr>
              <w:t> </w:t>
            </w:r>
            <w:r>
              <w:rPr>
                <w:spacing w:val="-2"/>
                <w:sz w:val="22"/>
              </w:rPr>
              <w:t>commerciaux</w:t>
            </w:r>
          </w:p>
        </w:tc>
      </w:tr>
      <w:tr>
        <w:trPr>
          <w:trHeight w:val="504" w:hRule="atLeast"/>
        </w:trPr>
        <w:tc>
          <w:tcPr>
            <w:tcW w:w="4040" w:type="dxa"/>
            <w:vMerge w:val="restart"/>
            <w:shd w:val="clear" w:color="auto" w:fill="FFE499"/>
          </w:tcPr>
          <w:p>
            <w:pPr>
              <w:pStyle w:val="TableParagraph"/>
              <w:spacing w:before="14"/>
              <w:rPr>
                <w:sz w:val="22"/>
              </w:rPr>
            </w:pPr>
          </w:p>
          <w:p>
            <w:pPr>
              <w:pStyle w:val="TableParagraph"/>
              <w:ind w:left="69" w:right="57"/>
              <w:jc w:val="both"/>
              <w:rPr>
                <w:sz w:val="22"/>
              </w:rPr>
            </w:pPr>
            <w:r>
              <w:rPr>
                <w:b/>
                <w:sz w:val="22"/>
              </w:rPr>
              <w:t>Objectif Global</w:t>
            </w:r>
            <w:r>
              <w:rPr>
                <w:b/>
                <w:spacing w:val="-3"/>
                <w:sz w:val="22"/>
              </w:rPr>
              <w:t> </w:t>
            </w:r>
            <w:r>
              <w:rPr>
                <w:b/>
                <w:sz w:val="22"/>
              </w:rPr>
              <w:t>3.3. : </w:t>
            </w:r>
            <w:r>
              <w:rPr>
                <w:sz w:val="22"/>
              </w:rPr>
              <w:t>Accélérer le développement des secteurs d’appui à la </w:t>
            </w:r>
            <w:r>
              <w:rPr>
                <w:spacing w:val="-2"/>
                <w:sz w:val="22"/>
              </w:rPr>
              <w:t>croissance</w:t>
            </w:r>
          </w:p>
        </w:tc>
        <w:tc>
          <w:tcPr>
            <w:tcW w:w="6731" w:type="dxa"/>
            <w:shd w:val="clear" w:color="auto" w:fill="FFF1CC"/>
          </w:tcPr>
          <w:p>
            <w:pPr>
              <w:pStyle w:val="TableParagraph"/>
              <w:spacing w:line="252" w:lineRule="exact"/>
              <w:ind w:left="69"/>
              <w:rPr>
                <w:sz w:val="22"/>
              </w:rPr>
            </w:pPr>
            <w:r>
              <w:rPr>
                <w:sz w:val="22"/>
              </w:rPr>
              <w:t>Objectif</w:t>
            </w:r>
            <w:r>
              <w:rPr>
                <w:spacing w:val="40"/>
                <w:sz w:val="22"/>
              </w:rPr>
              <w:t> </w:t>
            </w:r>
            <w:r>
              <w:rPr>
                <w:sz w:val="22"/>
              </w:rPr>
              <w:t>Spécifique 3.3.1.</w:t>
            </w:r>
            <w:r>
              <w:rPr>
                <w:spacing w:val="40"/>
                <w:sz w:val="22"/>
              </w:rPr>
              <w:t> </w:t>
            </w:r>
            <w:r>
              <w:rPr>
                <w:sz w:val="22"/>
              </w:rPr>
              <w:t>:</w:t>
            </w:r>
            <w:r>
              <w:rPr>
                <w:spacing w:val="40"/>
                <w:sz w:val="22"/>
              </w:rPr>
              <w:t> </w:t>
            </w:r>
            <w:r>
              <w:rPr>
                <w:sz w:val="22"/>
              </w:rPr>
              <w:t>Assurer</w:t>
            </w:r>
            <w:r>
              <w:rPr>
                <w:spacing w:val="40"/>
                <w:sz w:val="22"/>
              </w:rPr>
              <w:t> </w:t>
            </w:r>
            <w:r>
              <w:rPr>
                <w:sz w:val="22"/>
              </w:rPr>
              <w:t>un</w:t>
            </w:r>
            <w:r>
              <w:rPr>
                <w:spacing w:val="40"/>
                <w:sz w:val="22"/>
              </w:rPr>
              <w:t> </w:t>
            </w:r>
            <w:r>
              <w:rPr>
                <w:sz w:val="22"/>
              </w:rPr>
              <w:t>développement</w:t>
            </w:r>
            <w:r>
              <w:rPr>
                <w:spacing w:val="40"/>
                <w:sz w:val="22"/>
              </w:rPr>
              <w:t> </w:t>
            </w:r>
            <w:r>
              <w:rPr>
                <w:sz w:val="22"/>
              </w:rPr>
              <w:t>équilibré</w:t>
            </w:r>
            <w:r>
              <w:rPr>
                <w:spacing w:val="40"/>
                <w:sz w:val="22"/>
              </w:rPr>
              <w:t> </w:t>
            </w:r>
            <w:r>
              <w:rPr>
                <w:sz w:val="22"/>
              </w:rPr>
              <w:t>des</w:t>
            </w:r>
            <w:r>
              <w:rPr>
                <w:spacing w:val="40"/>
                <w:sz w:val="22"/>
              </w:rPr>
              <w:t> </w:t>
            </w:r>
            <w:r>
              <w:rPr>
                <w:sz w:val="22"/>
              </w:rPr>
              <w:t>différents modes de transport</w:t>
            </w:r>
          </w:p>
        </w:tc>
      </w:tr>
      <w:tr>
        <w:trPr>
          <w:trHeight w:val="506" w:hRule="atLeast"/>
        </w:trPr>
        <w:tc>
          <w:tcPr>
            <w:tcW w:w="4040" w:type="dxa"/>
            <w:vMerge/>
            <w:tcBorders>
              <w:top w:val="nil"/>
            </w:tcBorders>
            <w:shd w:val="clear" w:color="auto" w:fill="FFE499"/>
          </w:tcPr>
          <w:p>
            <w:pPr>
              <w:rPr>
                <w:sz w:val="2"/>
                <w:szCs w:val="2"/>
              </w:rPr>
            </w:pPr>
          </w:p>
        </w:tc>
        <w:tc>
          <w:tcPr>
            <w:tcW w:w="6731" w:type="dxa"/>
            <w:shd w:val="clear" w:color="auto" w:fill="FFF1CC"/>
          </w:tcPr>
          <w:p>
            <w:pPr>
              <w:pStyle w:val="TableParagraph"/>
              <w:spacing w:line="254" w:lineRule="exact"/>
              <w:ind w:left="69"/>
              <w:rPr>
                <w:sz w:val="22"/>
              </w:rPr>
            </w:pPr>
            <w:r>
              <w:rPr>
                <w:sz w:val="22"/>
              </w:rPr>
              <w:t>Objectif Spécifique</w:t>
            </w:r>
            <w:r>
              <w:rPr>
                <w:spacing w:val="-1"/>
                <w:sz w:val="22"/>
              </w:rPr>
              <w:t> </w:t>
            </w:r>
            <w:r>
              <w:rPr>
                <w:sz w:val="22"/>
              </w:rPr>
              <w:t>3.3.2. : Accroître la capacité et garantir la sécurité énergétique du pays</w:t>
            </w:r>
          </w:p>
        </w:tc>
      </w:tr>
      <w:tr>
        <w:trPr>
          <w:trHeight w:val="249" w:hRule="atLeast"/>
        </w:trPr>
        <w:tc>
          <w:tcPr>
            <w:tcW w:w="4040" w:type="dxa"/>
            <w:vMerge/>
            <w:tcBorders>
              <w:top w:val="nil"/>
            </w:tcBorders>
            <w:shd w:val="clear" w:color="auto" w:fill="FFE499"/>
          </w:tcPr>
          <w:p>
            <w:pPr>
              <w:rPr>
                <w:sz w:val="2"/>
                <w:szCs w:val="2"/>
              </w:rPr>
            </w:pPr>
          </w:p>
        </w:tc>
        <w:tc>
          <w:tcPr>
            <w:tcW w:w="6731" w:type="dxa"/>
            <w:shd w:val="clear" w:color="auto" w:fill="FFF1CC"/>
          </w:tcPr>
          <w:p>
            <w:pPr>
              <w:pStyle w:val="TableParagraph"/>
              <w:spacing w:line="230" w:lineRule="exact"/>
              <w:ind w:left="69"/>
              <w:rPr>
                <w:sz w:val="22"/>
              </w:rPr>
            </w:pPr>
            <w:r>
              <w:rPr>
                <w:sz w:val="22"/>
              </w:rPr>
              <w:t>Objectif</w:t>
            </w:r>
            <w:r>
              <w:rPr>
                <w:spacing w:val="-8"/>
                <w:sz w:val="22"/>
              </w:rPr>
              <w:t> </w:t>
            </w:r>
            <w:r>
              <w:rPr>
                <w:sz w:val="22"/>
              </w:rPr>
              <w:t>Spécifique</w:t>
            </w:r>
            <w:r>
              <w:rPr>
                <w:spacing w:val="-3"/>
                <w:sz w:val="22"/>
              </w:rPr>
              <w:t> </w:t>
            </w:r>
            <w:r>
              <w:rPr>
                <w:sz w:val="22"/>
              </w:rPr>
              <w:t>3.3.3.</w:t>
            </w:r>
            <w:r>
              <w:rPr>
                <w:spacing w:val="-5"/>
                <w:sz w:val="22"/>
              </w:rPr>
              <w:t> </w:t>
            </w:r>
            <w:r>
              <w:rPr>
                <w:sz w:val="22"/>
              </w:rPr>
              <w:t>:</w:t>
            </w:r>
            <w:r>
              <w:rPr>
                <w:spacing w:val="-5"/>
                <w:sz w:val="22"/>
              </w:rPr>
              <w:t> </w:t>
            </w:r>
            <w:r>
              <w:rPr>
                <w:sz w:val="22"/>
              </w:rPr>
              <w:t>Assurer</w:t>
            </w:r>
            <w:r>
              <w:rPr>
                <w:spacing w:val="-5"/>
                <w:sz w:val="22"/>
              </w:rPr>
              <w:t> </w:t>
            </w:r>
            <w:r>
              <w:rPr>
                <w:sz w:val="22"/>
              </w:rPr>
              <w:t>une</w:t>
            </w:r>
            <w:r>
              <w:rPr>
                <w:spacing w:val="-7"/>
                <w:sz w:val="22"/>
              </w:rPr>
              <w:t> </w:t>
            </w:r>
            <w:r>
              <w:rPr>
                <w:sz w:val="22"/>
              </w:rPr>
              <w:t>révolution</w:t>
            </w:r>
            <w:r>
              <w:rPr>
                <w:spacing w:val="-5"/>
                <w:sz w:val="22"/>
              </w:rPr>
              <w:t> </w:t>
            </w:r>
            <w:r>
              <w:rPr>
                <w:spacing w:val="-2"/>
                <w:sz w:val="22"/>
              </w:rPr>
              <w:t>numérique</w:t>
            </w:r>
          </w:p>
        </w:tc>
      </w:tr>
      <w:tr>
        <w:trPr>
          <w:trHeight w:val="254" w:hRule="atLeast"/>
        </w:trPr>
        <w:tc>
          <w:tcPr>
            <w:tcW w:w="4040" w:type="dxa"/>
            <w:vMerge/>
            <w:tcBorders>
              <w:top w:val="nil"/>
            </w:tcBorders>
            <w:shd w:val="clear" w:color="auto" w:fill="FFE499"/>
          </w:tcPr>
          <w:p>
            <w:pPr>
              <w:rPr>
                <w:sz w:val="2"/>
                <w:szCs w:val="2"/>
              </w:rPr>
            </w:pPr>
          </w:p>
        </w:tc>
        <w:tc>
          <w:tcPr>
            <w:tcW w:w="6731" w:type="dxa"/>
            <w:shd w:val="clear" w:color="auto" w:fill="FFF1CC"/>
          </w:tcPr>
          <w:p>
            <w:pPr>
              <w:pStyle w:val="TableParagraph"/>
              <w:spacing w:line="234" w:lineRule="exact"/>
              <w:ind w:left="69"/>
              <w:rPr>
                <w:sz w:val="22"/>
              </w:rPr>
            </w:pPr>
            <w:r>
              <w:rPr>
                <w:sz w:val="22"/>
              </w:rPr>
              <w:t>Objectif</w:t>
            </w:r>
            <w:r>
              <w:rPr>
                <w:spacing w:val="-7"/>
                <w:sz w:val="22"/>
              </w:rPr>
              <w:t> </w:t>
            </w:r>
            <w:r>
              <w:rPr>
                <w:sz w:val="22"/>
              </w:rPr>
              <w:t>Spécifique</w:t>
            </w:r>
            <w:r>
              <w:rPr>
                <w:spacing w:val="-2"/>
                <w:sz w:val="22"/>
              </w:rPr>
              <w:t> </w:t>
            </w:r>
            <w:r>
              <w:rPr>
                <w:sz w:val="22"/>
              </w:rPr>
              <w:t>3.3.4.</w:t>
            </w:r>
            <w:r>
              <w:rPr>
                <w:spacing w:val="-5"/>
                <w:sz w:val="22"/>
              </w:rPr>
              <w:t> </w:t>
            </w:r>
            <w:r>
              <w:rPr>
                <w:sz w:val="22"/>
              </w:rPr>
              <w:t>:</w:t>
            </w:r>
            <w:r>
              <w:rPr>
                <w:spacing w:val="-4"/>
                <w:sz w:val="22"/>
              </w:rPr>
              <w:t> </w:t>
            </w:r>
            <w:r>
              <w:rPr>
                <w:sz w:val="22"/>
              </w:rPr>
              <w:t>Diversifier</w:t>
            </w:r>
            <w:r>
              <w:rPr>
                <w:spacing w:val="-7"/>
                <w:sz w:val="22"/>
              </w:rPr>
              <w:t> </w:t>
            </w:r>
            <w:r>
              <w:rPr>
                <w:sz w:val="22"/>
              </w:rPr>
              <w:t>les</w:t>
            </w:r>
            <w:r>
              <w:rPr>
                <w:spacing w:val="-6"/>
                <w:sz w:val="22"/>
              </w:rPr>
              <w:t> </w:t>
            </w:r>
            <w:r>
              <w:rPr>
                <w:sz w:val="22"/>
              </w:rPr>
              <w:t>sources</w:t>
            </w:r>
            <w:r>
              <w:rPr>
                <w:spacing w:val="-7"/>
                <w:sz w:val="22"/>
              </w:rPr>
              <w:t> </w:t>
            </w:r>
            <w:r>
              <w:rPr>
                <w:sz w:val="22"/>
              </w:rPr>
              <w:t>de</w:t>
            </w:r>
            <w:r>
              <w:rPr>
                <w:spacing w:val="-4"/>
                <w:sz w:val="22"/>
              </w:rPr>
              <w:t> </w:t>
            </w:r>
            <w:r>
              <w:rPr>
                <w:sz w:val="22"/>
              </w:rPr>
              <w:t>financement</w:t>
            </w:r>
            <w:r>
              <w:rPr>
                <w:spacing w:val="-4"/>
                <w:sz w:val="22"/>
              </w:rPr>
              <w:t> </w:t>
            </w:r>
            <w:r>
              <w:rPr>
                <w:sz w:val="22"/>
              </w:rPr>
              <w:t>de</w:t>
            </w:r>
            <w:r>
              <w:rPr>
                <w:spacing w:val="-6"/>
                <w:sz w:val="22"/>
              </w:rPr>
              <w:t> </w:t>
            </w:r>
            <w:r>
              <w:rPr>
                <w:spacing w:val="-2"/>
                <w:sz w:val="22"/>
              </w:rPr>
              <w:t>l’économie</w:t>
            </w:r>
          </w:p>
        </w:tc>
      </w:tr>
    </w:tbl>
    <w:p>
      <w:pPr>
        <w:pStyle w:val="Heading3"/>
        <w:numPr>
          <w:ilvl w:val="2"/>
          <w:numId w:val="10"/>
        </w:numPr>
        <w:tabs>
          <w:tab w:pos="1678" w:val="left" w:leader="none"/>
        </w:tabs>
        <w:spacing w:line="240" w:lineRule="auto" w:before="188" w:after="0"/>
        <w:ind w:left="1133" w:right="1925" w:firstLine="0"/>
        <w:jc w:val="left"/>
        <w:rPr>
          <w:color w:val="006FC0"/>
        </w:rPr>
      </w:pPr>
      <w:bookmarkStart w:name="_bookmark23" w:id="24"/>
      <w:bookmarkEnd w:id="24"/>
      <w:r>
        <w:rPr>
          <w:b w:val="0"/>
        </w:rPr>
      </w:r>
      <w:r>
        <w:rPr>
          <w:color w:val="006FC0"/>
        </w:rPr>
        <w:t>Axe</w:t>
      </w:r>
      <w:r>
        <w:rPr>
          <w:color w:val="006FC0"/>
          <w:spacing w:val="-3"/>
        </w:rPr>
        <w:t> </w:t>
      </w:r>
      <w:r>
        <w:rPr>
          <w:color w:val="006FC0"/>
        </w:rPr>
        <w:t>Stratégique</w:t>
      </w:r>
      <w:r>
        <w:rPr>
          <w:color w:val="006FC0"/>
          <w:spacing w:val="-3"/>
        </w:rPr>
        <w:t> </w:t>
      </w:r>
      <w:r>
        <w:rPr>
          <w:color w:val="006FC0"/>
        </w:rPr>
        <w:t>4 :</w:t>
      </w:r>
      <w:r>
        <w:rPr>
          <w:color w:val="006FC0"/>
          <w:spacing w:val="-6"/>
        </w:rPr>
        <w:t> </w:t>
      </w:r>
      <w:r>
        <w:rPr>
          <w:color w:val="006FC0"/>
        </w:rPr>
        <w:t>Renforcement</w:t>
      </w:r>
      <w:r>
        <w:rPr>
          <w:color w:val="006FC0"/>
          <w:spacing w:val="-4"/>
        </w:rPr>
        <w:t> </w:t>
      </w:r>
      <w:r>
        <w:rPr>
          <w:color w:val="006FC0"/>
        </w:rPr>
        <w:t>du</w:t>
      </w:r>
      <w:r>
        <w:rPr>
          <w:color w:val="006FC0"/>
          <w:spacing w:val="-3"/>
        </w:rPr>
        <w:t> </w:t>
      </w:r>
      <w:r>
        <w:rPr>
          <w:color w:val="006FC0"/>
        </w:rPr>
        <w:t>capital</w:t>
      </w:r>
      <w:r>
        <w:rPr>
          <w:color w:val="006FC0"/>
          <w:spacing w:val="-5"/>
        </w:rPr>
        <w:t> </w:t>
      </w:r>
      <w:r>
        <w:rPr>
          <w:color w:val="006FC0"/>
        </w:rPr>
        <w:t>humain</w:t>
      </w:r>
      <w:r>
        <w:rPr>
          <w:color w:val="006FC0"/>
          <w:spacing w:val="-3"/>
        </w:rPr>
        <w:t> </w:t>
      </w:r>
      <w:r>
        <w:rPr>
          <w:color w:val="006FC0"/>
        </w:rPr>
        <w:t>et</w:t>
      </w:r>
      <w:r>
        <w:rPr>
          <w:color w:val="006FC0"/>
          <w:spacing w:val="-3"/>
        </w:rPr>
        <w:t> </w:t>
      </w:r>
      <w:r>
        <w:rPr>
          <w:color w:val="006FC0"/>
        </w:rPr>
        <w:t>développement</w:t>
      </w:r>
      <w:r>
        <w:rPr>
          <w:color w:val="006FC0"/>
          <w:spacing w:val="-4"/>
        </w:rPr>
        <w:t> </w:t>
      </w:r>
      <w:r>
        <w:rPr>
          <w:color w:val="006FC0"/>
        </w:rPr>
        <w:t>de</w:t>
      </w:r>
      <w:r>
        <w:rPr>
          <w:color w:val="006FC0"/>
          <w:spacing w:val="-3"/>
        </w:rPr>
        <w:t> </w:t>
      </w:r>
      <w:r>
        <w:rPr>
          <w:color w:val="006FC0"/>
        </w:rPr>
        <w:t>territoires </w:t>
      </w:r>
      <w:r>
        <w:rPr>
          <w:color w:val="006FC0"/>
          <w:spacing w:val="-2"/>
        </w:rPr>
        <w:t>résilients</w:t>
      </w:r>
    </w:p>
    <w:p>
      <w:pPr>
        <w:pStyle w:val="ListParagraph"/>
        <w:numPr>
          <w:ilvl w:val="1"/>
          <w:numId w:val="1"/>
        </w:numPr>
        <w:tabs>
          <w:tab w:pos="1493" w:val="left" w:leader="none"/>
          <w:tab w:pos="1837" w:val="left" w:leader="none"/>
        </w:tabs>
        <w:spacing w:line="240" w:lineRule="auto" w:before="183" w:after="0"/>
        <w:ind w:left="1493" w:right="1130" w:hanging="360"/>
        <w:jc w:val="both"/>
        <w:rPr>
          <w:sz w:val="24"/>
        </w:rPr>
      </w:pPr>
      <w:r>
        <w:rPr>
          <w:sz w:val="24"/>
        </w:rPr>
        <w:t>Le</w:t>
      </w:r>
      <w:r>
        <w:rPr>
          <w:spacing w:val="40"/>
          <w:sz w:val="24"/>
        </w:rPr>
        <w:t> </w:t>
      </w:r>
      <w:r>
        <w:rPr>
          <w:sz w:val="24"/>
        </w:rPr>
        <w:t>développement</w:t>
      </w:r>
      <w:r>
        <w:rPr>
          <w:spacing w:val="40"/>
          <w:sz w:val="24"/>
        </w:rPr>
        <w:t> </w:t>
      </w:r>
      <w:r>
        <w:rPr>
          <w:sz w:val="24"/>
        </w:rPr>
        <w:t>du</w:t>
      </w:r>
      <w:r>
        <w:rPr>
          <w:spacing w:val="40"/>
          <w:sz w:val="24"/>
        </w:rPr>
        <w:t> </w:t>
      </w:r>
      <w:r>
        <w:rPr>
          <w:sz w:val="24"/>
        </w:rPr>
        <w:t>capital</w:t>
      </w:r>
      <w:r>
        <w:rPr>
          <w:spacing w:val="40"/>
          <w:sz w:val="24"/>
        </w:rPr>
        <w:t> </w:t>
      </w:r>
      <w:r>
        <w:rPr>
          <w:sz w:val="24"/>
        </w:rPr>
        <w:t>humain</w:t>
      </w:r>
      <w:r>
        <w:rPr>
          <w:spacing w:val="40"/>
          <w:sz w:val="24"/>
        </w:rPr>
        <w:t> </w:t>
      </w:r>
      <w:r>
        <w:rPr>
          <w:sz w:val="24"/>
        </w:rPr>
        <w:t>joue</w:t>
      </w:r>
      <w:r>
        <w:rPr>
          <w:spacing w:val="40"/>
          <w:sz w:val="24"/>
        </w:rPr>
        <w:t> </w:t>
      </w:r>
      <w:r>
        <w:rPr>
          <w:sz w:val="24"/>
        </w:rPr>
        <w:t>un</w:t>
      </w:r>
      <w:r>
        <w:rPr>
          <w:spacing w:val="40"/>
          <w:sz w:val="24"/>
        </w:rPr>
        <w:t> </w:t>
      </w:r>
      <w:r>
        <w:rPr>
          <w:sz w:val="24"/>
        </w:rPr>
        <w:t>rôle</w:t>
      </w:r>
      <w:r>
        <w:rPr>
          <w:spacing w:val="40"/>
          <w:sz w:val="24"/>
        </w:rPr>
        <w:t> </w:t>
      </w:r>
      <w:r>
        <w:rPr>
          <w:sz w:val="24"/>
        </w:rPr>
        <w:t>déterminant</w:t>
      </w:r>
      <w:r>
        <w:rPr>
          <w:spacing w:val="40"/>
          <w:sz w:val="24"/>
        </w:rPr>
        <w:t> </w:t>
      </w:r>
      <w:r>
        <w:rPr>
          <w:sz w:val="24"/>
        </w:rPr>
        <w:t>pour</w:t>
      </w:r>
      <w:r>
        <w:rPr>
          <w:spacing w:val="40"/>
          <w:sz w:val="24"/>
        </w:rPr>
        <w:t> </w:t>
      </w:r>
      <w:r>
        <w:rPr>
          <w:sz w:val="24"/>
        </w:rPr>
        <w:t>mettre</w:t>
      </w:r>
      <w:r>
        <w:rPr>
          <w:spacing w:val="40"/>
          <w:sz w:val="24"/>
        </w:rPr>
        <w:t> </w:t>
      </w:r>
      <w:r>
        <w:rPr>
          <w:sz w:val="24"/>
        </w:rPr>
        <w:t>fin</w:t>
      </w:r>
      <w:r>
        <w:rPr>
          <w:spacing w:val="40"/>
          <w:sz w:val="24"/>
        </w:rPr>
        <w:t> </w:t>
      </w:r>
      <w:r>
        <w:rPr>
          <w:sz w:val="24"/>
        </w:rPr>
        <w:t>à</w:t>
      </w:r>
      <w:r>
        <w:rPr>
          <w:spacing w:val="40"/>
          <w:sz w:val="24"/>
        </w:rPr>
        <w:t> </w:t>
      </w:r>
      <w:r>
        <w:rPr>
          <w:sz w:val="24"/>
        </w:rPr>
        <w:t>l'extrême pauvreté et renforcer l'inclusion sociale. L’enjeu de la formation du capital humain va ainsi consister d’une part à doter la population d’un bon état de santé, d’éducation, de connaissances et d’aptitude professionnelle et scientifique fondé sur nos valeurs et d’autre part à libérer les énergies en créant des opportunités pouvant faciliter son insertion sur le marché de l’emploi et contenir la fuite des </w:t>
      </w:r>
      <w:r>
        <w:rPr>
          <w:spacing w:val="-2"/>
          <w:sz w:val="24"/>
        </w:rPr>
        <w:t>cerveaux.</w:t>
      </w:r>
    </w:p>
    <w:p>
      <w:pPr>
        <w:pStyle w:val="ListParagraph"/>
        <w:numPr>
          <w:ilvl w:val="1"/>
          <w:numId w:val="1"/>
        </w:numPr>
        <w:tabs>
          <w:tab w:pos="1493" w:val="left" w:leader="none"/>
          <w:tab w:pos="1837" w:val="left" w:leader="none"/>
        </w:tabs>
        <w:spacing w:line="240" w:lineRule="auto" w:before="184" w:after="0"/>
        <w:ind w:left="1493" w:right="1128" w:hanging="360"/>
        <w:jc w:val="both"/>
        <w:rPr>
          <w:sz w:val="24"/>
        </w:rPr>
      </w:pPr>
      <w:r>
        <w:rPr>
          <w:sz w:val="24"/>
        </w:rPr>
        <w:t>Le renforcement du capital humain passe aussi par la participation de certaines franges de la population (en particulier, les femmes et les jeunes), des maliens établis à l’extérieur et de certaines zones vulnérables en levant toutes les barrières auxquelles elles peuvent faire face et en leur assurant des voies de participation en vue de promouvoir des territoires résilients.</w:t>
      </w:r>
    </w:p>
    <w:p>
      <w:pPr>
        <w:pStyle w:val="BodyText"/>
        <w:spacing w:before="1"/>
        <w:ind w:left="0" w:firstLine="0"/>
        <w:jc w:val="left"/>
        <w:rPr>
          <w:sz w:val="16"/>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15"/>
        <w:gridCol w:w="6447"/>
      </w:tblGrid>
      <w:tr>
        <w:trPr>
          <w:trHeight w:val="302" w:hRule="atLeast"/>
        </w:trPr>
        <w:tc>
          <w:tcPr>
            <w:tcW w:w="10062" w:type="dxa"/>
            <w:gridSpan w:val="2"/>
            <w:shd w:val="clear" w:color="auto" w:fill="BCD5ED"/>
          </w:tcPr>
          <w:p>
            <w:pPr>
              <w:pStyle w:val="TableParagraph"/>
              <w:spacing w:before="24"/>
              <w:ind w:left="170"/>
              <w:rPr>
                <w:b/>
                <w:sz w:val="22"/>
              </w:rPr>
            </w:pPr>
            <w:r>
              <w:rPr>
                <w:b/>
                <w:sz w:val="22"/>
              </w:rPr>
              <w:t>Axe</w:t>
            </w:r>
            <w:r>
              <w:rPr>
                <w:b/>
                <w:spacing w:val="-6"/>
                <w:sz w:val="22"/>
              </w:rPr>
              <w:t> </w:t>
            </w:r>
            <w:r>
              <w:rPr>
                <w:b/>
                <w:sz w:val="22"/>
              </w:rPr>
              <w:t>Stratégique</w:t>
            </w:r>
            <w:r>
              <w:rPr>
                <w:b/>
                <w:spacing w:val="-3"/>
                <w:sz w:val="22"/>
              </w:rPr>
              <w:t> </w:t>
            </w:r>
            <w:r>
              <w:rPr>
                <w:b/>
                <w:sz w:val="22"/>
              </w:rPr>
              <w:t>4</w:t>
            </w:r>
            <w:r>
              <w:rPr>
                <w:b/>
                <w:spacing w:val="-3"/>
                <w:sz w:val="22"/>
              </w:rPr>
              <w:t> </w:t>
            </w:r>
            <w:r>
              <w:rPr>
                <w:b/>
                <w:sz w:val="22"/>
              </w:rPr>
              <w:t>:</w:t>
            </w:r>
            <w:r>
              <w:rPr>
                <w:b/>
                <w:spacing w:val="-3"/>
                <w:sz w:val="22"/>
              </w:rPr>
              <w:t> </w:t>
            </w:r>
            <w:r>
              <w:rPr>
                <w:b/>
                <w:sz w:val="22"/>
              </w:rPr>
              <w:t>Renforcement</w:t>
            </w:r>
            <w:r>
              <w:rPr>
                <w:b/>
                <w:spacing w:val="-3"/>
                <w:sz w:val="22"/>
              </w:rPr>
              <w:t> </w:t>
            </w:r>
            <w:r>
              <w:rPr>
                <w:b/>
                <w:sz w:val="22"/>
              </w:rPr>
              <w:t>du</w:t>
            </w:r>
            <w:r>
              <w:rPr>
                <w:b/>
                <w:spacing w:val="-4"/>
                <w:sz w:val="22"/>
              </w:rPr>
              <w:t> </w:t>
            </w:r>
            <w:r>
              <w:rPr>
                <w:b/>
                <w:sz w:val="22"/>
              </w:rPr>
              <w:t>capital</w:t>
            </w:r>
            <w:r>
              <w:rPr>
                <w:b/>
                <w:spacing w:val="-3"/>
                <w:sz w:val="22"/>
              </w:rPr>
              <w:t> </w:t>
            </w:r>
            <w:r>
              <w:rPr>
                <w:b/>
                <w:sz w:val="22"/>
              </w:rPr>
              <w:t>humain</w:t>
            </w:r>
            <w:r>
              <w:rPr>
                <w:b/>
                <w:spacing w:val="-3"/>
                <w:sz w:val="22"/>
              </w:rPr>
              <w:t> </w:t>
            </w:r>
            <w:r>
              <w:rPr>
                <w:b/>
                <w:sz w:val="22"/>
              </w:rPr>
              <w:t>et</w:t>
            </w:r>
            <w:r>
              <w:rPr>
                <w:b/>
                <w:spacing w:val="-6"/>
                <w:sz w:val="22"/>
              </w:rPr>
              <w:t> </w:t>
            </w:r>
            <w:r>
              <w:rPr>
                <w:b/>
                <w:sz w:val="22"/>
              </w:rPr>
              <w:t>développement</w:t>
            </w:r>
            <w:r>
              <w:rPr>
                <w:b/>
                <w:spacing w:val="-3"/>
                <w:sz w:val="22"/>
              </w:rPr>
              <w:t> </w:t>
            </w:r>
            <w:r>
              <w:rPr>
                <w:b/>
                <w:sz w:val="22"/>
              </w:rPr>
              <w:t>de</w:t>
            </w:r>
            <w:r>
              <w:rPr>
                <w:b/>
                <w:spacing w:val="-3"/>
                <w:sz w:val="22"/>
              </w:rPr>
              <w:t> </w:t>
            </w:r>
            <w:r>
              <w:rPr>
                <w:b/>
                <w:sz w:val="22"/>
              </w:rPr>
              <w:t>territoires</w:t>
            </w:r>
            <w:r>
              <w:rPr>
                <w:b/>
                <w:spacing w:val="-3"/>
                <w:sz w:val="22"/>
              </w:rPr>
              <w:t> </w:t>
            </w:r>
            <w:r>
              <w:rPr>
                <w:b/>
                <w:spacing w:val="-2"/>
                <w:sz w:val="22"/>
              </w:rPr>
              <w:t>résilients</w:t>
            </w:r>
          </w:p>
        </w:tc>
      </w:tr>
      <w:tr>
        <w:trPr>
          <w:trHeight w:val="503" w:hRule="atLeast"/>
        </w:trPr>
        <w:tc>
          <w:tcPr>
            <w:tcW w:w="3615" w:type="dxa"/>
            <w:vMerge w:val="restart"/>
            <w:shd w:val="clear" w:color="auto" w:fill="DEEAF6"/>
          </w:tcPr>
          <w:p>
            <w:pPr>
              <w:pStyle w:val="TableParagraph"/>
              <w:spacing w:before="9"/>
              <w:rPr>
                <w:sz w:val="22"/>
              </w:rPr>
            </w:pPr>
          </w:p>
          <w:p>
            <w:pPr>
              <w:pStyle w:val="TableParagraph"/>
              <w:tabs>
                <w:tab w:pos="891" w:val="left" w:leader="none"/>
                <w:tab w:pos="1622" w:val="left" w:leader="none"/>
                <w:tab w:pos="2133" w:val="left" w:leader="none"/>
                <w:tab w:pos="2392" w:val="left" w:leader="none"/>
                <w:tab w:pos="3443" w:val="left" w:leader="none"/>
              </w:tabs>
              <w:ind w:left="69"/>
              <w:rPr>
                <w:sz w:val="22"/>
              </w:rPr>
            </w:pPr>
            <w:r>
              <w:rPr>
                <w:spacing w:val="-2"/>
                <w:sz w:val="22"/>
              </w:rPr>
              <w:t>Objectif</w:t>
            </w:r>
            <w:r>
              <w:rPr>
                <w:sz w:val="22"/>
              </w:rPr>
              <w:tab/>
            </w:r>
            <w:r>
              <w:rPr>
                <w:spacing w:val="-2"/>
                <w:sz w:val="22"/>
              </w:rPr>
              <w:t>Global</w:t>
            </w:r>
            <w:r>
              <w:rPr>
                <w:sz w:val="22"/>
              </w:rPr>
              <w:tab/>
            </w:r>
            <w:r>
              <w:rPr>
                <w:spacing w:val="-4"/>
                <w:sz w:val="22"/>
              </w:rPr>
              <w:t>4.1.</w:t>
            </w:r>
            <w:r>
              <w:rPr>
                <w:sz w:val="22"/>
              </w:rPr>
              <w:tab/>
            </w:r>
            <w:r>
              <w:rPr>
                <w:spacing w:val="-10"/>
                <w:sz w:val="22"/>
              </w:rPr>
              <w:t>:</w:t>
            </w:r>
            <w:r>
              <w:rPr>
                <w:sz w:val="22"/>
              </w:rPr>
              <w:tab/>
            </w:r>
            <w:r>
              <w:rPr>
                <w:spacing w:val="-2"/>
                <w:sz w:val="22"/>
              </w:rPr>
              <w:t>Contribuer</w:t>
            </w:r>
            <w:r>
              <w:rPr>
                <w:sz w:val="22"/>
              </w:rPr>
              <w:tab/>
            </w:r>
            <w:r>
              <w:rPr>
                <w:spacing w:val="-10"/>
                <w:sz w:val="22"/>
              </w:rPr>
              <w:t>à</w:t>
            </w:r>
          </w:p>
          <w:p>
            <w:pPr>
              <w:pStyle w:val="TableParagraph"/>
              <w:ind w:left="69"/>
              <w:rPr>
                <w:sz w:val="22"/>
              </w:rPr>
            </w:pPr>
            <w:r>
              <w:rPr>
                <w:sz w:val="22"/>
              </w:rPr>
              <w:t>l’émergence</w:t>
            </w:r>
            <w:r>
              <w:rPr>
                <w:spacing w:val="-7"/>
                <w:sz w:val="22"/>
              </w:rPr>
              <w:t> </w:t>
            </w:r>
            <w:r>
              <w:rPr>
                <w:sz w:val="22"/>
              </w:rPr>
              <w:t>d’un</w:t>
            </w:r>
            <w:r>
              <w:rPr>
                <w:spacing w:val="-7"/>
                <w:sz w:val="22"/>
              </w:rPr>
              <w:t> </w:t>
            </w:r>
            <w:r>
              <w:rPr>
                <w:sz w:val="22"/>
              </w:rPr>
              <w:t>capital</w:t>
            </w:r>
            <w:r>
              <w:rPr>
                <w:spacing w:val="-6"/>
                <w:sz w:val="22"/>
              </w:rPr>
              <w:t> </w:t>
            </w:r>
            <w:r>
              <w:rPr>
                <w:sz w:val="22"/>
              </w:rPr>
              <w:t>humain</w:t>
            </w:r>
            <w:r>
              <w:rPr>
                <w:spacing w:val="-4"/>
                <w:sz w:val="22"/>
              </w:rPr>
              <w:t> </w:t>
            </w:r>
            <w:r>
              <w:rPr>
                <w:sz w:val="22"/>
              </w:rPr>
              <w:t>de</w:t>
            </w:r>
            <w:r>
              <w:rPr>
                <w:spacing w:val="-4"/>
                <w:sz w:val="22"/>
              </w:rPr>
              <w:t> </w:t>
            </w:r>
            <w:r>
              <w:rPr>
                <w:spacing w:val="-2"/>
                <w:sz w:val="22"/>
              </w:rPr>
              <w:t>qualité</w:t>
            </w:r>
          </w:p>
        </w:tc>
        <w:tc>
          <w:tcPr>
            <w:tcW w:w="6447" w:type="dxa"/>
            <w:shd w:val="clear" w:color="auto" w:fill="DEEAF6"/>
          </w:tcPr>
          <w:p>
            <w:pPr>
              <w:pStyle w:val="TableParagraph"/>
              <w:spacing w:line="252" w:lineRule="exact"/>
              <w:ind w:left="69"/>
              <w:rPr>
                <w:sz w:val="22"/>
              </w:rPr>
            </w:pPr>
            <w:r>
              <w:rPr>
                <w:sz w:val="22"/>
              </w:rPr>
              <w:t>Objectif</w:t>
            </w:r>
            <w:r>
              <w:rPr>
                <w:spacing w:val="28"/>
                <w:sz w:val="22"/>
              </w:rPr>
              <w:t> </w:t>
            </w:r>
            <w:r>
              <w:rPr>
                <w:sz w:val="22"/>
              </w:rPr>
              <w:t>Spécifique</w:t>
            </w:r>
            <w:r>
              <w:rPr>
                <w:spacing w:val="25"/>
                <w:sz w:val="22"/>
              </w:rPr>
              <w:t> </w:t>
            </w:r>
            <w:r>
              <w:rPr>
                <w:sz w:val="22"/>
              </w:rPr>
              <w:t>4.1.1.</w:t>
            </w:r>
            <w:r>
              <w:rPr>
                <w:spacing w:val="-2"/>
                <w:sz w:val="22"/>
              </w:rPr>
              <w:t> </w:t>
            </w:r>
            <w:r>
              <w:rPr>
                <w:sz w:val="22"/>
              </w:rPr>
              <w:t>:</w:t>
            </w:r>
            <w:r>
              <w:rPr>
                <w:spacing w:val="25"/>
                <w:sz w:val="22"/>
              </w:rPr>
              <w:t> </w:t>
            </w:r>
            <w:r>
              <w:rPr>
                <w:sz w:val="22"/>
              </w:rPr>
              <w:t>Mettre</w:t>
            </w:r>
            <w:r>
              <w:rPr>
                <w:spacing w:val="28"/>
                <w:sz w:val="22"/>
              </w:rPr>
              <w:t> </w:t>
            </w:r>
            <w:r>
              <w:rPr>
                <w:sz w:val="22"/>
              </w:rPr>
              <w:t>en</w:t>
            </w:r>
            <w:r>
              <w:rPr>
                <w:spacing w:val="25"/>
                <w:sz w:val="22"/>
              </w:rPr>
              <w:t> </w:t>
            </w:r>
            <w:r>
              <w:rPr>
                <w:sz w:val="22"/>
              </w:rPr>
              <w:t>place</w:t>
            </w:r>
            <w:r>
              <w:rPr>
                <w:spacing w:val="28"/>
                <w:sz w:val="22"/>
              </w:rPr>
              <w:t> </w:t>
            </w:r>
            <w:r>
              <w:rPr>
                <w:sz w:val="22"/>
              </w:rPr>
              <w:t>un</w:t>
            </w:r>
            <w:r>
              <w:rPr>
                <w:spacing w:val="25"/>
                <w:sz w:val="22"/>
              </w:rPr>
              <w:t> </w:t>
            </w:r>
            <w:r>
              <w:rPr>
                <w:sz w:val="22"/>
              </w:rPr>
              <w:t>système</w:t>
            </w:r>
            <w:r>
              <w:rPr>
                <w:spacing w:val="28"/>
                <w:sz w:val="22"/>
              </w:rPr>
              <w:t> </w:t>
            </w:r>
            <w:r>
              <w:rPr>
                <w:sz w:val="22"/>
              </w:rPr>
              <w:t>éducatif</w:t>
            </w:r>
            <w:r>
              <w:rPr>
                <w:spacing w:val="25"/>
                <w:sz w:val="22"/>
              </w:rPr>
              <w:t> </w:t>
            </w:r>
            <w:r>
              <w:rPr>
                <w:sz w:val="22"/>
              </w:rPr>
              <w:t>performant, cohérent et inclusif</w:t>
            </w:r>
          </w:p>
        </w:tc>
      </w:tr>
      <w:tr>
        <w:trPr>
          <w:trHeight w:val="254" w:hRule="atLeast"/>
        </w:trPr>
        <w:tc>
          <w:tcPr>
            <w:tcW w:w="3615" w:type="dxa"/>
            <w:vMerge/>
            <w:tcBorders>
              <w:top w:val="nil"/>
            </w:tcBorders>
            <w:shd w:val="clear" w:color="auto" w:fill="DEEAF6"/>
          </w:tcPr>
          <w:p>
            <w:pPr>
              <w:rPr>
                <w:sz w:val="2"/>
                <w:szCs w:val="2"/>
              </w:rPr>
            </w:pPr>
          </w:p>
        </w:tc>
        <w:tc>
          <w:tcPr>
            <w:tcW w:w="6447" w:type="dxa"/>
            <w:shd w:val="clear" w:color="auto" w:fill="DEEAF6"/>
          </w:tcPr>
          <w:p>
            <w:pPr>
              <w:pStyle w:val="TableParagraph"/>
              <w:spacing w:line="234" w:lineRule="exact"/>
              <w:ind w:left="69"/>
              <w:rPr>
                <w:sz w:val="22"/>
              </w:rPr>
            </w:pPr>
            <w:r>
              <w:rPr>
                <w:sz w:val="22"/>
              </w:rPr>
              <w:t>Objectif</w:t>
            </w:r>
            <w:r>
              <w:rPr>
                <w:spacing w:val="-6"/>
                <w:sz w:val="22"/>
              </w:rPr>
              <w:t> </w:t>
            </w:r>
            <w:r>
              <w:rPr>
                <w:sz w:val="22"/>
              </w:rPr>
              <w:t>Spécifique</w:t>
            </w:r>
            <w:r>
              <w:rPr>
                <w:spacing w:val="-2"/>
                <w:sz w:val="22"/>
              </w:rPr>
              <w:t> </w:t>
            </w:r>
            <w:r>
              <w:rPr>
                <w:sz w:val="22"/>
              </w:rPr>
              <w:t>4.1.2.</w:t>
            </w:r>
            <w:r>
              <w:rPr>
                <w:spacing w:val="-4"/>
                <w:sz w:val="22"/>
              </w:rPr>
              <w:t> </w:t>
            </w:r>
            <w:r>
              <w:rPr>
                <w:sz w:val="22"/>
              </w:rPr>
              <w:t>:</w:t>
            </w:r>
            <w:r>
              <w:rPr>
                <w:spacing w:val="-6"/>
                <w:sz w:val="22"/>
              </w:rPr>
              <w:t> </w:t>
            </w:r>
            <w:r>
              <w:rPr>
                <w:sz w:val="22"/>
              </w:rPr>
              <w:t>Mettre</w:t>
            </w:r>
            <w:r>
              <w:rPr>
                <w:spacing w:val="-4"/>
                <w:sz w:val="22"/>
              </w:rPr>
              <w:t> </w:t>
            </w:r>
            <w:r>
              <w:rPr>
                <w:sz w:val="22"/>
              </w:rPr>
              <w:t>en</w:t>
            </w:r>
            <w:r>
              <w:rPr>
                <w:spacing w:val="-4"/>
                <w:sz w:val="22"/>
              </w:rPr>
              <w:t> </w:t>
            </w:r>
            <w:r>
              <w:rPr>
                <w:sz w:val="22"/>
              </w:rPr>
              <w:t>place</w:t>
            </w:r>
            <w:r>
              <w:rPr>
                <w:spacing w:val="-6"/>
                <w:sz w:val="22"/>
              </w:rPr>
              <w:t> </w:t>
            </w:r>
            <w:r>
              <w:rPr>
                <w:sz w:val="22"/>
              </w:rPr>
              <w:t>un</w:t>
            </w:r>
            <w:r>
              <w:rPr>
                <w:spacing w:val="-4"/>
                <w:sz w:val="22"/>
              </w:rPr>
              <w:t> </w:t>
            </w:r>
            <w:r>
              <w:rPr>
                <w:sz w:val="22"/>
              </w:rPr>
              <w:t>système</w:t>
            </w:r>
            <w:r>
              <w:rPr>
                <w:spacing w:val="-3"/>
                <w:sz w:val="22"/>
              </w:rPr>
              <w:t> </w:t>
            </w:r>
            <w:r>
              <w:rPr>
                <w:sz w:val="22"/>
              </w:rPr>
              <w:t>de</w:t>
            </w:r>
            <w:r>
              <w:rPr>
                <w:spacing w:val="-7"/>
                <w:sz w:val="22"/>
              </w:rPr>
              <w:t> </w:t>
            </w:r>
            <w:r>
              <w:rPr>
                <w:sz w:val="22"/>
              </w:rPr>
              <w:t>santé</w:t>
            </w:r>
            <w:r>
              <w:rPr>
                <w:spacing w:val="-3"/>
                <w:sz w:val="22"/>
              </w:rPr>
              <w:t> </w:t>
            </w:r>
            <w:r>
              <w:rPr>
                <w:spacing w:val="-2"/>
                <w:sz w:val="22"/>
              </w:rPr>
              <w:t>moderne</w:t>
            </w:r>
          </w:p>
        </w:tc>
      </w:tr>
      <w:tr>
        <w:trPr>
          <w:trHeight w:val="503" w:hRule="atLeast"/>
        </w:trPr>
        <w:tc>
          <w:tcPr>
            <w:tcW w:w="3615" w:type="dxa"/>
            <w:vMerge/>
            <w:tcBorders>
              <w:top w:val="nil"/>
            </w:tcBorders>
            <w:shd w:val="clear" w:color="auto" w:fill="DEEAF6"/>
          </w:tcPr>
          <w:p>
            <w:pPr>
              <w:rPr>
                <w:sz w:val="2"/>
                <w:szCs w:val="2"/>
              </w:rPr>
            </w:pPr>
          </w:p>
        </w:tc>
        <w:tc>
          <w:tcPr>
            <w:tcW w:w="6447" w:type="dxa"/>
            <w:shd w:val="clear" w:color="auto" w:fill="DEEAF6"/>
          </w:tcPr>
          <w:p>
            <w:pPr>
              <w:pStyle w:val="TableParagraph"/>
              <w:spacing w:line="252" w:lineRule="exact"/>
              <w:ind w:left="69" w:right="49"/>
              <w:rPr>
                <w:sz w:val="22"/>
              </w:rPr>
            </w:pPr>
            <w:r>
              <w:rPr>
                <w:sz w:val="22"/>
              </w:rPr>
              <w:t>Objectif Spécifique 4.1.3. : Faire émerger un citoyen malien doté de vertus et de hautes qualités humaines et sociales</w:t>
            </w:r>
          </w:p>
        </w:tc>
      </w:tr>
      <w:tr>
        <w:trPr>
          <w:trHeight w:val="506" w:hRule="atLeast"/>
        </w:trPr>
        <w:tc>
          <w:tcPr>
            <w:tcW w:w="3615" w:type="dxa"/>
            <w:vMerge w:val="restart"/>
            <w:shd w:val="clear" w:color="auto" w:fill="DEEAF6"/>
          </w:tcPr>
          <w:p>
            <w:pPr>
              <w:pStyle w:val="TableParagraph"/>
              <w:spacing w:before="136"/>
              <w:rPr>
                <w:sz w:val="22"/>
              </w:rPr>
            </w:pPr>
          </w:p>
          <w:p>
            <w:pPr>
              <w:pStyle w:val="TableParagraph"/>
              <w:ind w:left="69" w:right="59"/>
              <w:jc w:val="both"/>
              <w:rPr>
                <w:sz w:val="22"/>
              </w:rPr>
            </w:pPr>
            <w:r>
              <w:rPr>
                <w:b/>
                <w:sz w:val="22"/>
              </w:rPr>
              <w:t>Objectif Global</w:t>
            </w:r>
            <w:r>
              <w:rPr>
                <w:b/>
                <w:spacing w:val="-5"/>
                <w:sz w:val="22"/>
              </w:rPr>
              <w:t> </w:t>
            </w:r>
            <w:r>
              <w:rPr>
                <w:b/>
                <w:sz w:val="22"/>
              </w:rPr>
              <w:t>4.2. </w:t>
            </w:r>
            <w:r>
              <w:rPr>
                <w:sz w:val="22"/>
              </w:rPr>
              <w:t>: Mettre les femmes, les jeunes et les maliens établis à l’extérieur au cœur du développement</w:t>
            </w:r>
          </w:p>
        </w:tc>
        <w:tc>
          <w:tcPr>
            <w:tcW w:w="6447" w:type="dxa"/>
            <w:shd w:val="clear" w:color="auto" w:fill="DEEAF6"/>
          </w:tcPr>
          <w:p>
            <w:pPr>
              <w:pStyle w:val="TableParagraph"/>
              <w:tabs>
                <w:tab w:pos="886" w:val="left" w:leader="none"/>
                <w:tab w:pos="1932" w:val="left" w:leader="none"/>
                <w:tab w:pos="2637" w:val="left" w:leader="none"/>
                <w:tab w:pos="3292" w:val="left" w:leader="none"/>
                <w:tab w:pos="3728" w:val="left" w:leader="none"/>
                <w:tab w:pos="4742" w:val="left" w:leader="none"/>
                <w:tab w:pos="5145" w:val="left" w:leader="none"/>
                <w:tab w:pos="6172" w:val="left" w:leader="none"/>
              </w:tabs>
              <w:spacing w:line="252" w:lineRule="exact"/>
              <w:ind w:left="69"/>
              <w:rPr>
                <w:sz w:val="22"/>
              </w:rPr>
            </w:pPr>
            <w:r>
              <w:rPr>
                <w:spacing w:val="-2"/>
                <w:sz w:val="22"/>
              </w:rPr>
              <w:t>Objectif</w:t>
            </w:r>
            <w:r>
              <w:rPr>
                <w:sz w:val="22"/>
              </w:rPr>
              <w:tab/>
            </w:r>
            <w:r>
              <w:rPr>
                <w:spacing w:val="-2"/>
                <w:sz w:val="22"/>
              </w:rPr>
              <w:t>Spécifique</w:t>
            </w:r>
            <w:r>
              <w:rPr>
                <w:sz w:val="22"/>
              </w:rPr>
              <w:tab/>
            </w:r>
            <w:r>
              <w:rPr>
                <w:spacing w:val="-2"/>
                <w:sz w:val="22"/>
              </w:rPr>
              <w:t>4.2.1.:</w:t>
            </w:r>
            <w:r>
              <w:rPr>
                <w:sz w:val="22"/>
              </w:rPr>
              <w:tab/>
            </w:r>
            <w:r>
              <w:rPr>
                <w:spacing w:val="-4"/>
                <w:sz w:val="22"/>
              </w:rPr>
              <w:t>Créer</w:t>
            </w:r>
            <w:r>
              <w:rPr>
                <w:sz w:val="22"/>
              </w:rPr>
              <w:tab/>
            </w:r>
            <w:r>
              <w:rPr>
                <w:spacing w:val="-5"/>
                <w:sz w:val="22"/>
              </w:rPr>
              <w:t>les</w:t>
            </w:r>
            <w:r>
              <w:rPr>
                <w:sz w:val="22"/>
              </w:rPr>
              <w:tab/>
            </w:r>
            <w:r>
              <w:rPr>
                <w:spacing w:val="-2"/>
                <w:sz w:val="22"/>
              </w:rPr>
              <w:t>conditions</w:t>
            </w:r>
            <w:r>
              <w:rPr>
                <w:sz w:val="22"/>
              </w:rPr>
              <w:tab/>
            </w:r>
            <w:r>
              <w:rPr>
                <w:spacing w:val="-5"/>
                <w:sz w:val="22"/>
              </w:rPr>
              <w:t>de</w:t>
            </w:r>
            <w:r>
              <w:rPr>
                <w:sz w:val="22"/>
              </w:rPr>
              <w:tab/>
            </w:r>
            <w:r>
              <w:rPr>
                <w:spacing w:val="-2"/>
                <w:sz w:val="22"/>
              </w:rPr>
              <w:t>réalisation</w:t>
            </w:r>
            <w:r>
              <w:rPr>
                <w:sz w:val="22"/>
              </w:rPr>
              <w:tab/>
            </w:r>
            <w:r>
              <w:rPr>
                <w:spacing w:val="-5"/>
                <w:sz w:val="22"/>
              </w:rPr>
              <w:t>de</w:t>
            </w:r>
          </w:p>
          <w:p>
            <w:pPr>
              <w:pStyle w:val="TableParagraph"/>
              <w:spacing w:line="234" w:lineRule="exact"/>
              <w:ind w:left="69"/>
              <w:rPr>
                <w:sz w:val="22"/>
              </w:rPr>
            </w:pPr>
            <w:r>
              <w:rPr>
                <w:sz w:val="22"/>
              </w:rPr>
              <w:t>l’autonomisation</w:t>
            </w:r>
            <w:r>
              <w:rPr>
                <w:spacing w:val="-7"/>
                <w:sz w:val="22"/>
              </w:rPr>
              <w:t> </w:t>
            </w:r>
            <w:r>
              <w:rPr>
                <w:sz w:val="22"/>
              </w:rPr>
              <w:t>économique</w:t>
            </w:r>
            <w:r>
              <w:rPr>
                <w:spacing w:val="-9"/>
                <w:sz w:val="22"/>
              </w:rPr>
              <w:t> </w:t>
            </w:r>
            <w:r>
              <w:rPr>
                <w:sz w:val="22"/>
              </w:rPr>
              <w:t>de</w:t>
            </w:r>
            <w:r>
              <w:rPr>
                <w:spacing w:val="-7"/>
                <w:sz w:val="22"/>
              </w:rPr>
              <w:t> </w:t>
            </w:r>
            <w:r>
              <w:rPr>
                <w:sz w:val="22"/>
              </w:rPr>
              <w:t>la</w:t>
            </w:r>
            <w:r>
              <w:rPr>
                <w:spacing w:val="-6"/>
                <w:sz w:val="22"/>
              </w:rPr>
              <w:t> </w:t>
            </w:r>
            <w:r>
              <w:rPr>
                <w:spacing w:val="-4"/>
                <w:sz w:val="22"/>
              </w:rPr>
              <w:t>Femme</w:t>
            </w:r>
          </w:p>
        </w:tc>
      </w:tr>
      <w:tr>
        <w:trPr>
          <w:trHeight w:val="503" w:hRule="atLeast"/>
        </w:trPr>
        <w:tc>
          <w:tcPr>
            <w:tcW w:w="3615" w:type="dxa"/>
            <w:vMerge/>
            <w:tcBorders>
              <w:top w:val="nil"/>
            </w:tcBorders>
            <w:shd w:val="clear" w:color="auto" w:fill="DEEAF6"/>
          </w:tcPr>
          <w:p>
            <w:pPr>
              <w:rPr>
                <w:sz w:val="2"/>
                <w:szCs w:val="2"/>
              </w:rPr>
            </w:pPr>
          </w:p>
        </w:tc>
        <w:tc>
          <w:tcPr>
            <w:tcW w:w="6447" w:type="dxa"/>
            <w:shd w:val="clear" w:color="auto" w:fill="DEEAF6"/>
          </w:tcPr>
          <w:p>
            <w:pPr>
              <w:pStyle w:val="TableParagraph"/>
              <w:spacing w:line="252" w:lineRule="exact"/>
              <w:ind w:left="69"/>
              <w:rPr>
                <w:sz w:val="22"/>
              </w:rPr>
            </w:pPr>
            <w:r>
              <w:rPr>
                <w:sz w:val="22"/>
              </w:rPr>
              <w:t>Objectif spécifique 4.2.2. : Faire des jeunes les acteurs du changement et de l'unité nationale</w:t>
            </w:r>
          </w:p>
        </w:tc>
      </w:tr>
      <w:tr>
        <w:trPr>
          <w:trHeight w:val="505" w:hRule="atLeast"/>
        </w:trPr>
        <w:tc>
          <w:tcPr>
            <w:tcW w:w="3615" w:type="dxa"/>
            <w:vMerge/>
            <w:tcBorders>
              <w:top w:val="nil"/>
            </w:tcBorders>
            <w:shd w:val="clear" w:color="auto" w:fill="DEEAF6"/>
          </w:tcPr>
          <w:p>
            <w:pPr>
              <w:rPr>
                <w:sz w:val="2"/>
                <w:szCs w:val="2"/>
              </w:rPr>
            </w:pPr>
          </w:p>
        </w:tc>
        <w:tc>
          <w:tcPr>
            <w:tcW w:w="6447" w:type="dxa"/>
            <w:shd w:val="clear" w:color="auto" w:fill="DEEAF6"/>
          </w:tcPr>
          <w:p>
            <w:pPr>
              <w:pStyle w:val="TableParagraph"/>
              <w:spacing w:line="254" w:lineRule="exact"/>
              <w:ind w:left="69"/>
              <w:rPr>
                <w:sz w:val="22"/>
              </w:rPr>
            </w:pPr>
            <w:r>
              <w:rPr>
                <w:sz w:val="22"/>
              </w:rPr>
              <w:t>Objectif</w:t>
            </w:r>
            <w:r>
              <w:rPr>
                <w:spacing w:val="31"/>
                <w:sz w:val="22"/>
              </w:rPr>
              <w:t> </w:t>
            </w:r>
            <w:r>
              <w:rPr>
                <w:sz w:val="22"/>
              </w:rPr>
              <w:t>spécifique</w:t>
            </w:r>
            <w:r>
              <w:rPr>
                <w:spacing w:val="-1"/>
                <w:sz w:val="22"/>
              </w:rPr>
              <w:t> </w:t>
            </w:r>
            <w:r>
              <w:rPr>
                <w:sz w:val="22"/>
              </w:rPr>
              <w:t>4.2.3.</w:t>
            </w:r>
            <w:r>
              <w:rPr>
                <w:spacing w:val="-3"/>
                <w:sz w:val="22"/>
              </w:rPr>
              <w:t> </w:t>
            </w:r>
            <w:r>
              <w:rPr>
                <w:sz w:val="22"/>
              </w:rPr>
              <w:t>:</w:t>
            </w:r>
            <w:r>
              <w:rPr>
                <w:spacing w:val="31"/>
                <w:sz w:val="22"/>
              </w:rPr>
              <w:t> </w:t>
            </w:r>
            <w:r>
              <w:rPr>
                <w:sz w:val="22"/>
              </w:rPr>
              <w:t>Encourager</w:t>
            </w:r>
            <w:r>
              <w:rPr>
                <w:spacing w:val="31"/>
                <w:sz w:val="22"/>
              </w:rPr>
              <w:t> </w:t>
            </w:r>
            <w:r>
              <w:rPr>
                <w:sz w:val="22"/>
              </w:rPr>
              <w:t>la</w:t>
            </w:r>
            <w:r>
              <w:rPr>
                <w:spacing w:val="32"/>
                <w:sz w:val="22"/>
              </w:rPr>
              <w:t> </w:t>
            </w:r>
            <w:r>
              <w:rPr>
                <w:sz w:val="22"/>
              </w:rPr>
              <w:t>participation</w:t>
            </w:r>
            <w:r>
              <w:rPr>
                <w:spacing w:val="34"/>
                <w:sz w:val="22"/>
              </w:rPr>
              <w:t> </w:t>
            </w:r>
            <w:r>
              <w:rPr>
                <w:sz w:val="22"/>
              </w:rPr>
              <w:t>des</w:t>
            </w:r>
            <w:r>
              <w:rPr>
                <w:spacing w:val="32"/>
                <w:sz w:val="22"/>
              </w:rPr>
              <w:t> </w:t>
            </w:r>
            <w:r>
              <w:rPr>
                <w:sz w:val="22"/>
              </w:rPr>
              <w:t>maliens</w:t>
            </w:r>
            <w:r>
              <w:rPr>
                <w:spacing w:val="34"/>
                <w:sz w:val="22"/>
              </w:rPr>
              <w:t> </w:t>
            </w:r>
            <w:r>
              <w:rPr>
                <w:sz w:val="22"/>
              </w:rPr>
              <w:t>établis</w:t>
            </w:r>
            <w:r>
              <w:rPr>
                <w:spacing w:val="32"/>
                <w:sz w:val="22"/>
              </w:rPr>
              <w:t> </w:t>
            </w:r>
            <w:r>
              <w:rPr>
                <w:sz w:val="22"/>
              </w:rPr>
              <w:t>à l'extérieur au développement</w:t>
            </w:r>
          </w:p>
        </w:tc>
      </w:tr>
      <w:tr>
        <w:trPr>
          <w:trHeight w:val="501" w:hRule="atLeast"/>
        </w:trPr>
        <w:tc>
          <w:tcPr>
            <w:tcW w:w="3615" w:type="dxa"/>
            <w:vMerge w:val="restart"/>
            <w:shd w:val="clear" w:color="auto" w:fill="DEEAF6"/>
          </w:tcPr>
          <w:p>
            <w:pPr>
              <w:pStyle w:val="TableParagraph"/>
              <w:spacing w:before="11"/>
              <w:rPr>
                <w:sz w:val="22"/>
              </w:rPr>
            </w:pPr>
          </w:p>
          <w:p>
            <w:pPr>
              <w:pStyle w:val="TableParagraph"/>
              <w:ind w:left="69"/>
              <w:rPr>
                <w:sz w:val="22"/>
              </w:rPr>
            </w:pPr>
            <w:r>
              <w:rPr>
                <w:b/>
                <w:sz w:val="22"/>
              </w:rPr>
              <w:t>Objectif</w:t>
            </w:r>
            <w:r>
              <w:rPr>
                <w:b/>
                <w:spacing w:val="80"/>
                <w:sz w:val="22"/>
              </w:rPr>
              <w:t> </w:t>
            </w:r>
            <w:r>
              <w:rPr>
                <w:b/>
                <w:sz w:val="22"/>
              </w:rPr>
              <w:t>Global</w:t>
            </w:r>
            <w:r>
              <w:rPr>
                <w:b/>
                <w:spacing w:val="-2"/>
                <w:sz w:val="22"/>
              </w:rPr>
              <w:t> </w:t>
            </w:r>
            <w:r>
              <w:rPr>
                <w:b/>
                <w:sz w:val="22"/>
              </w:rPr>
              <w:t>4.3.</w:t>
            </w:r>
            <w:r>
              <w:rPr>
                <w:b/>
                <w:spacing w:val="80"/>
                <w:sz w:val="22"/>
              </w:rPr>
              <w:t> </w:t>
            </w:r>
            <w:r>
              <w:rPr>
                <w:sz w:val="22"/>
              </w:rPr>
              <w:t>:</w:t>
            </w:r>
            <w:r>
              <w:rPr>
                <w:spacing w:val="80"/>
                <w:sz w:val="22"/>
              </w:rPr>
              <w:t> </w:t>
            </w:r>
            <w:r>
              <w:rPr>
                <w:sz w:val="22"/>
              </w:rPr>
              <w:t>Développer</w:t>
            </w:r>
            <w:r>
              <w:rPr>
                <w:spacing w:val="80"/>
                <w:sz w:val="22"/>
              </w:rPr>
              <w:t> </w:t>
            </w:r>
            <w:r>
              <w:rPr>
                <w:sz w:val="22"/>
              </w:rPr>
              <w:t>des territoires équilibrés</w:t>
            </w:r>
          </w:p>
        </w:tc>
        <w:tc>
          <w:tcPr>
            <w:tcW w:w="6447" w:type="dxa"/>
            <w:shd w:val="clear" w:color="auto" w:fill="DEEAF6"/>
          </w:tcPr>
          <w:p>
            <w:pPr>
              <w:pStyle w:val="TableParagraph"/>
              <w:spacing w:line="252" w:lineRule="exact"/>
              <w:ind w:left="69"/>
              <w:rPr>
                <w:sz w:val="22"/>
              </w:rPr>
            </w:pPr>
            <w:r>
              <w:rPr>
                <w:sz w:val="22"/>
              </w:rPr>
              <w:t>Objectif Spécifique 4.3.1.</w:t>
            </w:r>
            <w:r>
              <w:rPr>
                <w:spacing w:val="-3"/>
                <w:sz w:val="22"/>
              </w:rPr>
              <w:t> </w:t>
            </w:r>
            <w:r>
              <w:rPr>
                <w:sz w:val="22"/>
              </w:rPr>
              <w:t>: Accroître l'attractivité des zones sous-peuplées et des zones défavorisées</w:t>
            </w:r>
          </w:p>
        </w:tc>
      </w:tr>
      <w:tr>
        <w:trPr>
          <w:trHeight w:val="251" w:hRule="atLeast"/>
        </w:trPr>
        <w:tc>
          <w:tcPr>
            <w:tcW w:w="3615" w:type="dxa"/>
            <w:vMerge/>
            <w:tcBorders>
              <w:top w:val="nil"/>
            </w:tcBorders>
            <w:shd w:val="clear" w:color="auto" w:fill="DEEAF6"/>
          </w:tcPr>
          <w:p>
            <w:pPr>
              <w:rPr>
                <w:sz w:val="2"/>
                <w:szCs w:val="2"/>
              </w:rPr>
            </w:pPr>
          </w:p>
        </w:tc>
        <w:tc>
          <w:tcPr>
            <w:tcW w:w="6447" w:type="dxa"/>
            <w:shd w:val="clear" w:color="auto" w:fill="DEEAF6"/>
          </w:tcPr>
          <w:p>
            <w:pPr>
              <w:pStyle w:val="TableParagraph"/>
              <w:spacing w:line="231" w:lineRule="exact"/>
              <w:ind w:left="69"/>
              <w:rPr>
                <w:sz w:val="22"/>
              </w:rPr>
            </w:pPr>
            <w:r>
              <w:rPr>
                <w:sz w:val="22"/>
              </w:rPr>
              <w:t>Objectif</w:t>
            </w:r>
            <w:r>
              <w:rPr>
                <w:spacing w:val="-6"/>
                <w:sz w:val="22"/>
              </w:rPr>
              <w:t> </w:t>
            </w:r>
            <w:r>
              <w:rPr>
                <w:sz w:val="22"/>
              </w:rPr>
              <w:t>Spécifique</w:t>
            </w:r>
            <w:r>
              <w:rPr>
                <w:spacing w:val="-4"/>
                <w:sz w:val="22"/>
              </w:rPr>
              <w:t> </w:t>
            </w:r>
            <w:r>
              <w:rPr>
                <w:sz w:val="22"/>
              </w:rPr>
              <w:t>4.3.2.</w:t>
            </w:r>
            <w:r>
              <w:rPr>
                <w:spacing w:val="-6"/>
                <w:sz w:val="22"/>
              </w:rPr>
              <w:t> </w:t>
            </w:r>
            <w:r>
              <w:rPr>
                <w:sz w:val="22"/>
              </w:rPr>
              <w:t>:</w:t>
            </w:r>
            <w:r>
              <w:rPr>
                <w:spacing w:val="-6"/>
                <w:sz w:val="22"/>
              </w:rPr>
              <w:t> </w:t>
            </w:r>
            <w:r>
              <w:rPr>
                <w:sz w:val="22"/>
              </w:rPr>
              <w:t>Accroître</w:t>
            </w:r>
            <w:r>
              <w:rPr>
                <w:spacing w:val="-6"/>
                <w:sz w:val="22"/>
              </w:rPr>
              <w:t> </w:t>
            </w:r>
            <w:r>
              <w:rPr>
                <w:sz w:val="22"/>
              </w:rPr>
              <w:t>l'attractivité</w:t>
            </w:r>
            <w:r>
              <w:rPr>
                <w:spacing w:val="-8"/>
                <w:sz w:val="22"/>
              </w:rPr>
              <w:t> </w:t>
            </w:r>
            <w:r>
              <w:rPr>
                <w:sz w:val="22"/>
              </w:rPr>
              <w:t>des</w:t>
            </w:r>
            <w:r>
              <w:rPr>
                <w:spacing w:val="-7"/>
                <w:sz w:val="22"/>
              </w:rPr>
              <w:t> </w:t>
            </w:r>
            <w:r>
              <w:rPr>
                <w:spacing w:val="-2"/>
                <w:sz w:val="22"/>
              </w:rPr>
              <w:t>villes</w:t>
            </w:r>
          </w:p>
        </w:tc>
      </w:tr>
      <w:tr>
        <w:trPr>
          <w:trHeight w:val="251" w:hRule="atLeast"/>
        </w:trPr>
        <w:tc>
          <w:tcPr>
            <w:tcW w:w="3615" w:type="dxa"/>
            <w:vMerge/>
            <w:tcBorders>
              <w:top w:val="nil"/>
            </w:tcBorders>
            <w:shd w:val="clear" w:color="auto" w:fill="DEEAF6"/>
          </w:tcPr>
          <w:p>
            <w:pPr>
              <w:rPr>
                <w:sz w:val="2"/>
                <w:szCs w:val="2"/>
              </w:rPr>
            </w:pPr>
          </w:p>
        </w:tc>
        <w:tc>
          <w:tcPr>
            <w:tcW w:w="6447" w:type="dxa"/>
            <w:shd w:val="clear" w:color="auto" w:fill="DEEAF6"/>
          </w:tcPr>
          <w:p>
            <w:pPr>
              <w:pStyle w:val="TableParagraph"/>
              <w:spacing w:line="232" w:lineRule="exact"/>
              <w:ind w:left="69"/>
              <w:rPr>
                <w:sz w:val="22"/>
              </w:rPr>
            </w:pPr>
            <w:r>
              <w:rPr>
                <w:sz w:val="22"/>
              </w:rPr>
              <w:t>Objectif</w:t>
            </w:r>
            <w:r>
              <w:rPr>
                <w:spacing w:val="-7"/>
                <w:sz w:val="22"/>
              </w:rPr>
              <w:t> </w:t>
            </w:r>
            <w:r>
              <w:rPr>
                <w:sz w:val="22"/>
              </w:rPr>
              <w:t>Spécifique</w:t>
            </w:r>
            <w:r>
              <w:rPr>
                <w:spacing w:val="-4"/>
                <w:sz w:val="22"/>
              </w:rPr>
              <w:t> </w:t>
            </w:r>
            <w:r>
              <w:rPr>
                <w:sz w:val="22"/>
              </w:rPr>
              <w:t>4.3.3.</w:t>
            </w:r>
            <w:r>
              <w:rPr>
                <w:spacing w:val="-4"/>
                <w:sz w:val="22"/>
              </w:rPr>
              <w:t> </w:t>
            </w:r>
            <w:r>
              <w:rPr>
                <w:sz w:val="22"/>
              </w:rPr>
              <w:t>:</w:t>
            </w:r>
            <w:r>
              <w:rPr>
                <w:spacing w:val="-4"/>
                <w:sz w:val="22"/>
              </w:rPr>
              <w:t> </w:t>
            </w:r>
            <w:r>
              <w:rPr>
                <w:sz w:val="22"/>
              </w:rPr>
              <w:t>Réduire</w:t>
            </w:r>
            <w:r>
              <w:rPr>
                <w:spacing w:val="-5"/>
                <w:sz w:val="22"/>
              </w:rPr>
              <w:t> </w:t>
            </w:r>
            <w:r>
              <w:rPr>
                <w:sz w:val="22"/>
              </w:rPr>
              <w:t>les</w:t>
            </w:r>
            <w:r>
              <w:rPr>
                <w:spacing w:val="-4"/>
                <w:sz w:val="22"/>
              </w:rPr>
              <w:t> </w:t>
            </w:r>
            <w:r>
              <w:rPr>
                <w:sz w:val="22"/>
              </w:rPr>
              <w:t>inégalités</w:t>
            </w:r>
            <w:r>
              <w:rPr>
                <w:spacing w:val="-6"/>
                <w:sz w:val="22"/>
              </w:rPr>
              <w:t> </w:t>
            </w:r>
            <w:r>
              <w:rPr>
                <w:sz w:val="22"/>
              </w:rPr>
              <w:t>sociales</w:t>
            </w:r>
            <w:r>
              <w:rPr>
                <w:spacing w:val="-4"/>
                <w:sz w:val="22"/>
              </w:rPr>
              <w:t> </w:t>
            </w:r>
            <w:r>
              <w:rPr>
                <w:sz w:val="22"/>
              </w:rPr>
              <w:t>et</w:t>
            </w:r>
            <w:r>
              <w:rPr>
                <w:spacing w:val="-7"/>
                <w:sz w:val="22"/>
              </w:rPr>
              <w:t> </w:t>
            </w:r>
            <w:r>
              <w:rPr>
                <w:sz w:val="22"/>
              </w:rPr>
              <w:t>la</w:t>
            </w:r>
            <w:r>
              <w:rPr>
                <w:spacing w:val="-4"/>
                <w:sz w:val="22"/>
              </w:rPr>
              <w:t> </w:t>
            </w:r>
            <w:r>
              <w:rPr>
                <w:spacing w:val="-2"/>
                <w:sz w:val="22"/>
              </w:rPr>
              <w:t>pauvreté</w:t>
            </w:r>
          </w:p>
        </w:tc>
      </w:tr>
      <w:tr>
        <w:trPr>
          <w:trHeight w:val="251" w:hRule="atLeast"/>
        </w:trPr>
        <w:tc>
          <w:tcPr>
            <w:tcW w:w="3615" w:type="dxa"/>
            <w:vMerge/>
            <w:tcBorders>
              <w:top w:val="nil"/>
            </w:tcBorders>
            <w:shd w:val="clear" w:color="auto" w:fill="DEEAF6"/>
          </w:tcPr>
          <w:p>
            <w:pPr>
              <w:rPr>
                <w:sz w:val="2"/>
                <w:szCs w:val="2"/>
              </w:rPr>
            </w:pPr>
          </w:p>
        </w:tc>
        <w:tc>
          <w:tcPr>
            <w:tcW w:w="6447" w:type="dxa"/>
            <w:shd w:val="clear" w:color="auto" w:fill="DEEAF6"/>
          </w:tcPr>
          <w:p>
            <w:pPr>
              <w:pStyle w:val="TableParagraph"/>
              <w:spacing w:line="232" w:lineRule="exact"/>
              <w:ind w:left="69"/>
              <w:rPr>
                <w:sz w:val="22"/>
              </w:rPr>
            </w:pPr>
            <w:r>
              <w:rPr>
                <w:sz w:val="22"/>
              </w:rPr>
              <w:t>Objectif</w:t>
            </w:r>
            <w:r>
              <w:rPr>
                <w:spacing w:val="-5"/>
                <w:sz w:val="22"/>
              </w:rPr>
              <w:t> </w:t>
            </w:r>
            <w:r>
              <w:rPr>
                <w:sz w:val="22"/>
              </w:rPr>
              <w:t>Spécifique</w:t>
            </w:r>
            <w:r>
              <w:rPr>
                <w:spacing w:val="-4"/>
                <w:sz w:val="22"/>
              </w:rPr>
              <w:t> </w:t>
            </w:r>
            <w:r>
              <w:rPr>
                <w:sz w:val="22"/>
              </w:rPr>
              <w:t>4.3.4.</w:t>
            </w:r>
            <w:r>
              <w:rPr>
                <w:spacing w:val="-5"/>
                <w:sz w:val="22"/>
              </w:rPr>
              <w:t> </w:t>
            </w:r>
            <w:r>
              <w:rPr>
                <w:sz w:val="22"/>
              </w:rPr>
              <w:t>:</w:t>
            </w:r>
            <w:r>
              <w:rPr>
                <w:spacing w:val="-4"/>
                <w:sz w:val="22"/>
              </w:rPr>
              <w:t> </w:t>
            </w:r>
            <w:r>
              <w:rPr>
                <w:sz w:val="22"/>
              </w:rPr>
              <w:t>Créer</w:t>
            </w:r>
            <w:r>
              <w:rPr>
                <w:spacing w:val="-5"/>
                <w:sz w:val="22"/>
              </w:rPr>
              <w:t> </w:t>
            </w:r>
            <w:r>
              <w:rPr>
                <w:sz w:val="22"/>
              </w:rPr>
              <w:t>des</w:t>
            </w:r>
            <w:r>
              <w:rPr>
                <w:spacing w:val="-3"/>
                <w:sz w:val="22"/>
              </w:rPr>
              <w:t> </w:t>
            </w:r>
            <w:r>
              <w:rPr>
                <w:sz w:val="22"/>
              </w:rPr>
              <w:t>emplois</w:t>
            </w:r>
            <w:r>
              <w:rPr>
                <w:spacing w:val="-3"/>
                <w:sz w:val="22"/>
              </w:rPr>
              <w:t> </w:t>
            </w:r>
            <w:r>
              <w:rPr>
                <w:spacing w:val="-2"/>
                <w:sz w:val="22"/>
              </w:rPr>
              <w:t>décents</w:t>
            </w:r>
          </w:p>
        </w:tc>
      </w:tr>
    </w:tbl>
    <w:p>
      <w:pPr>
        <w:pStyle w:val="TableParagraph"/>
        <w:spacing w:after="0" w:line="232" w:lineRule="exact"/>
        <w:rPr>
          <w:sz w:val="22"/>
        </w:rPr>
        <w:sectPr>
          <w:pgSz w:w="11910" w:h="16840"/>
          <w:pgMar w:header="0" w:footer="680" w:top="1320" w:bottom="960" w:left="283" w:right="141"/>
        </w:sectPr>
      </w:pPr>
    </w:p>
    <w:p>
      <w:pPr>
        <w:pStyle w:val="Heading3"/>
        <w:numPr>
          <w:ilvl w:val="2"/>
          <w:numId w:val="10"/>
        </w:numPr>
        <w:tabs>
          <w:tab w:pos="1678" w:val="left" w:leader="none"/>
        </w:tabs>
        <w:spacing w:line="240" w:lineRule="auto" w:before="78" w:after="0"/>
        <w:ind w:left="1133" w:right="1803" w:firstLine="0"/>
        <w:jc w:val="left"/>
        <w:rPr>
          <w:color w:val="006FC0"/>
        </w:rPr>
      </w:pPr>
      <w:bookmarkStart w:name="_bookmark24" w:id="25"/>
      <w:bookmarkEnd w:id="25"/>
      <w:r>
        <w:rPr>
          <w:b w:val="0"/>
        </w:rPr>
      </w:r>
      <w:r>
        <w:rPr>
          <w:color w:val="006FC0"/>
        </w:rPr>
        <w:t>Axe</w:t>
      </w:r>
      <w:r>
        <w:rPr>
          <w:color w:val="006FC0"/>
          <w:spacing w:val="-3"/>
        </w:rPr>
        <w:t> </w:t>
      </w:r>
      <w:r>
        <w:rPr>
          <w:color w:val="006FC0"/>
        </w:rPr>
        <w:t>stratégique</w:t>
      </w:r>
      <w:r>
        <w:rPr>
          <w:color w:val="006FC0"/>
          <w:spacing w:val="-3"/>
        </w:rPr>
        <w:t> </w:t>
      </w:r>
      <w:r>
        <w:rPr>
          <w:color w:val="006FC0"/>
        </w:rPr>
        <w:t>5</w:t>
      </w:r>
      <w:r>
        <w:rPr>
          <w:color w:val="006FC0"/>
          <w:spacing w:val="-2"/>
        </w:rPr>
        <w:t> </w:t>
      </w:r>
      <w:r>
        <w:rPr>
          <w:color w:val="006FC0"/>
        </w:rPr>
        <w:t>:</w:t>
      </w:r>
      <w:r>
        <w:rPr>
          <w:color w:val="006FC0"/>
          <w:spacing w:val="-3"/>
        </w:rPr>
        <w:t> </w:t>
      </w:r>
      <w:r>
        <w:rPr>
          <w:color w:val="006FC0"/>
        </w:rPr>
        <w:t>Gestion</w:t>
      </w:r>
      <w:r>
        <w:rPr>
          <w:color w:val="006FC0"/>
          <w:spacing w:val="-4"/>
        </w:rPr>
        <w:t> </w:t>
      </w:r>
      <w:r>
        <w:rPr>
          <w:color w:val="006FC0"/>
        </w:rPr>
        <w:t>durable</w:t>
      </w:r>
      <w:r>
        <w:rPr>
          <w:color w:val="006FC0"/>
          <w:spacing w:val="-3"/>
        </w:rPr>
        <w:t> </w:t>
      </w:r>
      <w:r>
        <w:rPr>
          <w:color w:val="006FC0"/>
        </w:rPr>
        <w:t>de</w:t>
      </w:r>
      <w:r>
        <w:rPr>
          <w:color w:val="006FC0"/>
          <w:spacing w:val="-4"/>
        </w:rPr>
        <w:t> </w:t>
      </w:r>
      <w:r>
        <w:rPr>
          <w:color w:val="006FC0"/>
        </w:rPr>
        <w:t>l’environnement,</w:t>
      </w:r>
      <w:r>
        <w:rPr>
          <w:color w:val="006FC0"/>
          <w:spacing w:val="-3"/>
        </w:rPr>
        <w:t> </w:t>
      </w:r>
      <w:r>
        <w:rPr>
          <w:color w:val="006FC0"/>
        </w:rPr>
        <w:t>adaptation</w:t>
      </w:r>
      <w:r>
        <w:rPr>
          <w:color w:val="006FC0"/>
          <w:spacing w:val="-6"/>
        </w:rPr>
        <w:t> </w:t>
      </w:r>
      <w:r>
        <w:rPr>
          <w:color w:val="006FC0"/>
        </w:rPr>
        <w:t>aux</w:t>
      </w:r>
      <w:r>
        <w:rPr>
          <w:color w:val="006FC0"/>
          <w:spacing w:val="-1"/>
        </w:rPr>
        <w:t> </w:t>
      </w:r>
      <w:r>
        <w:rPr>
          <w:color w:val="006FC0"/>
        </w:rPr>
        <w:t>changements climatiques et résiliences</w:t>
      </w:r>
    </w:p>
    <w:p>
      <w:pPr>
        <w:pStyle w:val="ListParagraph"/>
        <w:numPr>
          <w:ilvl w:val="1"/>
          <w:numId w:val="1"/>
        </w:numPr>
        <w:tabs>
          <w:tab w:pos="1493" w:val="left" w:leader="none"/>
          <w:tab w:pos="1837" w:val="left" w:leader="none"/>
        </w:tabs>
        <w:spacing w:line="240" w:lineRule="auto" w:before="184" w:after="0"/>
        <w:ind w:left="1493" w:right="1138" w:hanging="360"/>
        <w:jc w:val="both"/>
        <w:rPr>
          <w:sz w:val="24"/>
        </w:rPr>
      </w:pPr>
      <w:r>
        <w:rPr>
          <w:sz w:val="24"/>
        </w:rPr>
        <w:t>Cet axe vise à renforcer la gestion durable des ressources naturelles et améliorer le cadre</w:t>
      </w:r>
      <w:r>
        <w:rPr>
          <w:spacing w:val="-1"/>
          <w:sz w:val="24"/>
        </w:rPr>
        <w:t> </w:t>
      </w:r>
      <w:r>
        <w:rPr>
          <w:sz w:val="24"/>
        </w:rPr>
        <w:t>de vie</w:t>
      </w:r>
      <w:r>
        <w:rPr>
          <w:spacing w:val="-4"/>
          <w:sz w:val="24"/>
        </w:rPr>
        <w:t> </w:t>
      </w:r>
      <w:r>
        <w:rPr>
          <w:sz w:val="24"/>
        </w:rPr>
        <w:t>des populations par l'adoption des meilleures pratiques.</w:t>
      </w:r>
    </w:p>
    <w:p>
      <w:pPr>
        <w:pStyle w:val="BodyText"/>
        <w:spacing w:before="2"/>
        <w:ind w:left="0" w:firstLine="0"/>
        <w:jc w:val="left"/>
        <w:rPr>
          <w:sz w:val="16"/>
        </w:r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9"/>
        <w:gridCol w:w="7091"/>
      </w:tblGrid>
      <w:tr>
        <w:trPr>
          <w:trHeight w:val="251" w:hRule="atLeast"/>
        </w:trPr>
        <w:tc>
          <w:tcPr>
            <w:tcW w:w="10630" w:type="dxa"/>
            <w:gridSpan w:val="2"/>
            <w:shd w:val="clear" w:color="auto" w:fill="F4AF84"/>
          </w:tcPr>
          <w:p>
            <w:pPr>
              <w:pStyle w:val="TableParagraph"/>
              <w:spacing w:line="232" w:lineRule="exact"/>
              <w:ind w:left="69"/>
              <w:rPr>
                <w:b/>
                <w:sz w:val="22"/>
              </w:rPr>
            </w:pPr>
            <w:r>
              <w:rPr>
                <w:b/>
                <w:sz w:val="22"/>
              </w:rPr>
              <w:t>Axe</w:t>
            </w:r>
            <w:r>
              <w:rPr>
                <w:b/>
                <w:spacing w:val="-7"/>
                <w:sz w:val="22"/>
              </w:rPr>
              <w:t> </w:t>
            </w:r>
            <w:r>
              <w:rPr>
                <w:b/>
                <w:sz w:val="22"/>
              </w:rPr>
              <w:t>stratégique</w:t>
            </w:r>
            <w:r>
              <w:rPr>
                <w:b/>
                <w:spacing w:val="-4"/>
                <w:sz w:val="22"/>
              </w:rPr>
              <w:t> </w:t>
            </w:r>
            <w:r>
              <w:rPr>
                <w:b/>
                <w:sz w:val="22"/>
              </w:rPr>
              <w:t>5</w:t>
            </w:r>
            <w:r>
              <w:rPr>
                <w:b/>
                <w:spacing w:val="-4"/>
                <w:sz w:val="22"/>
              </w:rPr>
              <w:t> </w:t>
            </w:r>
            <w:r>
              <w:rPr>
                <w:b/>
                <w:sz w:val="22"/>
              </w:rPr>
              <w:t>:</w:t>
            </w:r>
            <w:r>
              <w:rPr>
                <w:b/>
                <w:spacing w:val="-6"/>
                <w:sz w:val="22"/>
              </w:rPr>
              <w:t> </w:t>
            </w:r>
            <w:r>
              <w:rPr>
                <w:b/>
                <w:sz w:val="22"/>
              </w:rPr>
              <w:t>Gestion</w:t>
            </w:r>
            <w:r>
              <w:rPr>
                <w:b/>
                <w:spacing w:val="-7"/>
                <w:sz w:val="22"/>
              </w:rPr>
              <w:t> </w:t>
            </w:r>
            <w:r>
              <w:rPr>
                <w:b/>
                <w:sz w:val="22"/>
              </w:rPr>
              <w:t>durable</w:t>
            </w:r>
            <w:r>
              <w:rPr>
                <w:b/>
                <w:spacing w:val="-4"/>
                <w:sz w:val="22"/>
              </w:rPr>
              <w:t> </w:t>
            </w:r>
            <w:r>
              <w:rPr>
                <w:b/>
                <w:sz w:val="22"/>
              </w:rPr>
              <w:t>de</w:t>
            </w:r>
            <w:r>
              <w:rPr>
                <w:b/>
                <w:spacing w:val="-4"/>
                <w:sz w:val="22"/>
              </w:rPr>
              <w:t> </w:t>
            </w:r>
            <w:r>
              <w:rPr>
                <w:b/>
                <w:sz w:val="22"/>
              </w:rPr>
              <w:t>l’environnement,</w:t>
            </w:r>
            <w:r>
              <w:rPr>
                <w:b/>
                <w:spacing w:val="-7"/>
                <w:sz w:val="22"/>
              </w:rPr>
              <w:t> </w:t>
            </w:r>
            <w:r>
              <w:rPr>
                <w:b/>
                <w:sz w:val="22"/>
              </w:rPr>
              <w:t>adaptation</w:t>
            </w:r>
            <w:r>
              <w:rPr>
                <w:b/>
                <w:spacing w:val="-4"/>
                <w:sz w:val="22"/>
              </w:rPr>
              <w:t> </w:t>
            </w:r>
            <w:r>
              <w:rPr>
                <w:b/>
                <w:sz w:val="22"/>
              </w:rPr>
              <w:t>aux</w:t>
            </w:r>
            <w:r>
              <w:rPr>
                <w:b/>
                <w:spacing w:val="-3"/>
                <w:sz w:val="22"/>
              </w:rPr>
              <w:t> </w:t>
            </w:r>
            <w:r>
              <w:rPr>
                <w:b/>
                <w:sz w:val="22"/>
              </w:rPr>
              <w:t>changements</w:t>
            </w:r>
            <w:r>
              <w:rPr>
                <w:b/>
                <w:spacing w:val="-4"/>
                <w:sz w:val="22"/>
              </w:rPr>
              <w:t> </w:t>
            </w:r>
            <w:r>
              <w:rPr>
                <w:b/>
                <w:sz w:val="22"/>
              </w:rPr>
              <w:t>climatiques</w:t>
            </w:r>
            <w:r>
              <w:rPr>
                <w:b/>
                <w:spacing w:val="-4"/>
                <w:sz w:val="22"/>
              </w:rPr>
              <w:t> </w:t>
            </w:r>
            <w:r>
              <w:rPr>
                <w:b/>
                <w:sz w:val="22"/>
              </w:rPr>
              <w:t>et</w:t>
            </w:r>
            <w:r>
              <w:rPr>
                <w:b/>
                <w:spacing w:val="-4"/>
                <w:sz w:val="22"/>
              </w:rPr>
              <w:t> </w:t>
            </w:r>
            <w:r>
              <w:rPr>
                <w:b/>
                <w:spacing w:val="-2"/>
                <w:sz w:val="22"/>
              </w:rPr>
              <w:t>résiliences</w:t>
            </w:r>
          </w:p>
        </w:tc>
      </w:tr>
      <w:tr>
        <w:trPr>
          <w:trHeight w:val="254" w:hRule="atLeast"/>
        </w:trPr>
        <w:tc>
          <w:tcPr>
            <w:tcW w:w="3539" w:type="dxa"/>
            <w:vMerge w:val="restart"/>
            <w:shd w:val="clear" w:color="auto" w:fill="F8CAAC"/>
          </w:tcPr>
          <w:p>
            <w:pPr>
              <w:pStyle w:val="TableParagraph"/>
              <w:spacing w:before="11"/>
              <w:rPr>
                <w:sz w:val="22"/>
              </w:rPr>
            </w:pPr>
          </w:p>
          <w:p>
            <w:pPr>
              <w:pStyle w:val="TableParagraph"/>
              <w:ind w:left="69" w:right="58"/>
              <w:jc w:val="both"/>
              <w:rPr>
                <w:sz w:val="22"/>
              </w:rPr>
            </w:pPr>
            <w:r>
              <w:rPr>
                <w:b/>
                <w:sz w:val="22"/>
              </w:rPr>
              <w:t>Objectif global 5.1.</w:t>
            </w:r>
            <w:r>
              <w:rPr>
                <w:b/>
                <w:spacing w:val="40"/>
                <w:sz w:val="22"/>
              </w:rPr>
              <w:t> </w:t>
            </w:r>
            <w:r>
              <w:rPr>
                <w:sz w:val="22"/>
              </w:rPr>
              <w:t>Préserver et mieux gérer l’environnement et promouvoir le développement durable</w:t>
            </w:r>
          </w:p>
        </w:tc>
        <w:tc>
          <w:tcPr>
            <w:tcW w:w="7091" w:type="dxa"/>
            <w:shd w:val="clear" w:color="auto" w:fill="FBE3D5"/>
          </w:tcPr>
          <w:p>
            <w:pPr>
              <w:pStyle w:val="TableParagraph"/>
              <w:spacing w:line="234" w:lineRule="exact"/>
              <w:ind w:left="71"/>
              <w:rPr>
                <w:sz w:val="22"/>
              </w:rPr>
            </w:pPr>
            <w:r>
              <w:rPr>
                <w:sz w:val="22"/>
              </w:rPr>
              <w:t>Objectif</w:t>
            </w:r>
            <w:r>
              <w:rPr>
                <w:spacing w:val="-12"/>
                <w:sz w:val="22"/>
              </w:rPr>
              <w:t> </w:t>
            </w:r>
            <w:r>
              <w:rPr>
                <w:sz w:val="22"/>
              </w:rPr>
              <w:t>spécifique</w:t>
            </w:r>
            <w:r>
              <w:rPr>
                <w:spacing w:val="-5"/>
                <w:sz w:val="22"/>
              </w:rPr>
              <w:t> </w:t>
            </w:r>
            <w:r>
              <w:rPr>
                <w:sz w:val="22"/>
              </w:rPr>
              <w:t>5.1.1.</w:t>
            </w:r>
            <w:r>
              <w:rPr>
                <w:spacing w:val="-7"/>
                <w:sz w:val="22"/>
              </w:rPr>
              <w:t> </w:t>
            </w:r>
            <w:r>
              <w:rPr>
                <w:sz w:val="22"/>
              </w:rPr>
              <w:t>:</w:t>
            </w:r>
            <w:r>
              <w:rPr>
                <w:spacing w:val="-6"/>
                <w:sz w:val="22"/>
              </w:rPr>
              <w:t> </w:t>
            </w:r>
            <w:r>
              <w:rPr>
                <w:sz w:val="22"/>
              </w:rPr>
              <w:t>Promouvoir</w:t>
            </w:r>
            <w:r>
              <w:rPr>
                <w:spacing w:val="-7"/>
                <w:sz w:val="22"/>
              </w:rPr>
              <w:t> </w:t>
            </w:r>
            <w:r>
              <w:rPr>
                <w:sz w:val="22"/>
              </w:rPr>
              <w:t>l’éducation</w:t>
            </w:r>
            <w:r>
              <w:rPr>
                <w:spacing w:val="-9"/>
                <w:sz w:val="22"/>
              </w:rPr>
              <w:t> </w:t>
            </w:r>
            <w:r>
              <w:rPr>
                <w:sz w:val="22"/>
              </w:rPr>
              <w:t>environnementale</w:t>
            </w:r>
            <w:r>
              <w:rPr>
                <w:spacing w:val="-6"/>
                <w:sz w:val="22"/>
              </w:rPr>
              <w:t> </w:t>
            </w:r>
            <w:r>
              <w:rPr>
                <w:sz w:val="22"/>
              </w:rPr>
              <w:t>de</w:t>
            </w:r>
            <w:r>
              <w:rPr>
                <w:spacing w:val="-6"/>
                <w:sz w:val="22"/>
              </w:rPr>
              <w:t> </w:t>
            </w:r>
            <w:r>
              <w:rPr>
                <w:spacing w:val="-2"/>
                <w:sz w:val="22"/>
              </w:rPr>
              <w:t>qualité</w:t>
            </w:r>
          </w:p>
        </w:tc>
      </w:tr>
      <w:tr>
        <w:trPr>
          <w:trHeight w:val="503" w:hRule="atLeast"/>
        </w:trPr>
        <w:tc>
          <w:tcPr>
            <w:tcW w:w="3539" w:type="dxa"/>
            <w:vMerge/>
            <w:tcBorders>
              <w:top w:val="nil"/>
            </w:tcBorders>
            <w:shd w:val="clear" w:color="auto" w:fill="F8CAAC"/>
          </w:tcPr>
          <w:p>
            <w:pPr>
              <w:rPr>
                <w:sz w:val="2"/>
                <w:szCs w:val="2"/>
              </w:rPr>
            </w:pPr>
          </w:p>
        </w:tc>
        <w:tc>
          <w:tcPr>
            <w:tcW w:w="7091" w:type="dxa"/>
            <w:shd w:val="clear" w:color="auto" w:fill="FBE3D5"/>
          </w:tcPr>
          <w:p>
            <w:pPr>
              <w:pStyle w:val="TableParagraph"/>
              <w:spacing w:line="252" w:lineRule="exact"/>
              <w:ind w:left="71"/>
              <w:rPr>
                <w:sz w:val="22"/>
              </w:rPr>
            </w:pPr>
            <w:r>
              <w:rPr>
                <w:sz w:val="22"/>
              </w:rPr>
              <w:t>Objectif</w:t>
            </w:r>
            <w:r>
              <w:rPr>
                <w:spacing w:val="76"/>
                <w:sz w:val="22"/>
              </w:rPr>
              <w:t> </w:t>
            </w:r>
            <w:r>
              <w:rPr>
                <w:sz w:val="22"/>
              </w:rPr>
              <w:t>spécifique</w:t>
            </w:r>
            <w:r>
              <w:rPr>
                <w:spacing w:val="77"/>
                <w:sz w:val="22"/>
              </w:rPr>
              <w:t> </w:t>
            </w:r>
            <w:r>
              <w:rPr>
                <w:sz w:val="22"/>
              </w:rPr>
              <w:t>5.1.2.</w:t>
            </w:r>
            <w:r>
              <w:rPr>
                <w:spacing w:val="-2"/>
                <w:sz w:val="22"/>
              </w:rPr>
              <w:t> </w:t>
            </w:r>
            <w:r>
              <w:rPr>
                <w:sz w:val="22"/>
              </w:rPr>
              <w:t>:</w:t>
            </w:r>
            <w:r>
              <w:rPr>
                <w:spacing w:val="77"/>
                <w:sz w:val="22"/>
              </w:rPr>
              <w:t> </w:t>
            </w:r>
            <w:r>
              <w:rPr>
                <w:sz w:val="22"/>
              </w:rPr>
              <w:t>Accélérer</w:t>
            </w:r>
            <w:r>
              <w:rPr>
                <w:spacing w:val="79"/>
                <w:sz w:val="22"/>
              </w:rPr>
              <w:t> </w:t>
            </w:r>
            <w:r>
              <w:rPr>
                <w:sz w:val="22"/>
              </w:rPr>
              <w:t>l’accès</w:t>
            </w:r>
            <w:r>
              <w:rPr>
                <w:spacing w:val="78"/>
                <w:sz w:val="22"/>
              </w:rPr>
              <w:t> </w:t>
            </w:r>
            <w:r>
              <w:rPr>
                <w:sz w:val="22"/>
              </w:rPr>
              <w:t>de</w:t>
            </w:r>
            <w:r>
              <w:rPr>
                <w:spacing w:val="77"/>
                <w:sz w:val="22"/>
              </w:rPr>
              <w:t> </w:t>
            </w:r>
            <w:r>
              <w:rPr>
                <w:sz w:val="22"/>
              </w:rPr>
              <w:t>la</w:t>
            </w:r>
            <w:r>
              <w:rPr>
                <w:spacing w:val="76"/>
                <w:sz w:val="22"/>
              </w:rPr>
              <w:t> </w:t>
            </w:r>
            <w:r>
              <w:rPr>
                <w:sz w:val="22"/>
              </w:rPr>
              <w:t>population</w:t>
            </w:r>
            <w:r>
              <w:rPr>
                <w:spacing w:val="79"/>
                <w:sz w:val="22"/>
              </w:rPr>
              <w:t> </w:t>
            </w:r>
            <w:r>
              <w:rPr>
                <w:sz w:val="22"/>
              </w:rPr>
              <w:t>aux</w:t>
            </w:r>
            <w:r>
              <w:rPr>
                <w:spacing w:val="78"/>
                <w:sz w:val="22"/>
              </w:rPr>
              <w:t> </w:t>
            </w:r>
            <w:r>
              <w:rPr>
                <w:sz w:val="22"/>
              </w:rPr>
              <w:t>services</w:t>
            </w:r>
            <w:r>
              <w:rPr>
                <w:spacing w:val="80"/>
                <w:sz w:val="22"/>
              </w:rPr>
              <w:t> </w:t>
            </w:r>
            <w:r>
              <w:rPr>
                <w:spacing w:val="-5"/>
                <w:sz w:val="22"/>
              </w:rPr>
              <w:t>de</w:t>
            </w:r>
          </w:p>
          <w:p>
            <w:pPr>
              <w:pStyle w:val="TableParagraph"/>
              <w:spacing w:line="231" w:lineRule="exact"/>
              <w:ind w:left="71"/>
              <w:rPr>
                <w:sz w:val="22"/>
              </w:rPr>
            </w:pPr>
            <w:r>
              <w:rPr>
                <w:spacing w:val="-2"/>
                <w:sz w:val="22"/>
              </w:rPr>
              <w:t>l’assainissement</w:t>
            </w:r>
            <w:r>
              <w:rPr>
                <w:spacing w:val="17"/>
                <w:sz w:val="22"/>
              </w:rPr>
              <w:t> </w:t>
            </w:r>
            <w:r>
              <w:rPr>
                <w:spacing w:val="-2"/>
                <w:sz w:val="22"/>
              </w:rPr>
              <w:t>durable</w:t>
            </w:r>
          </w:p>
        </w:tc>
      </w:tr>
      <w:tr>
        <w:trPr>
          <w:trHeight w:val="506" w:hRule="atLeast"/>
        </w:trPr>
        <w:tc>
          <w:tcPr>
            <w:tcW w:w="3539" w:type="dxa"/>
            <w:vMerge/>
            <w:tcBorders>
              <w:top w:val="nil"/>
            </w:tcBorders>
            <w:shd w:val="clear" w:color="auto" w:fill="F8CAAC"/>
          </w:tcPr>
          <w:p>
            <w:pPr>
              <w:rPr>
                <w:sz w:val="2"/>
                <w:szCs w:val="2"/>
              </w:rPr>
            </w:pPr>
          </w:p>
        </w:tc>
        <w:tc>
          <w:tcPr>
            <w:tcW w:w="7091" w:type="dxa"/>
            <w:shd w:val="clear" w:color="auto" w:fill="FBE3D5"/>
          </w:tcPr>
          <w:p>
            <w:pPr>
              <w:pStyle w:val="TableParagraph"/>
              <w:spacing w:line="254" w:lineRule="exact"/>
              <w:ind w:left="71"/>
              <w:rPr>
                <w:sz w:val="22"/>
              </w:rPr>
            </w:pPr>
            <w:r>
              <w:rPr>
                <w:sz w:val="22"/>
              </w:rPr>
              <w:t>Objectif</w:t>
            </w:r>
            <w:r>
              <w:rPr>
                <w:spacing w:val="40"/>
                <w:sz w:val="22"/>
              </w:rPr>
              <w:t> </w:t>
            </w:r>
            <w:r>
              <w:rPr>
                <w:sz w:val="22"/>
              </w:rPr>
              <w:t>spécifique</w:t>
            </w:r>
            <w:r>
              <w:rPr>
                <w:spacing w:val="-3"/>
                <w:sz w:val="22"/>
              </w:rPr>
              <w:t> </w:t>
            </w:r>
            <w:r>
              <w:rPr>
                <w:sz w:val="22"/>
              </w:rPr>
              <w:t>5.1.3.</w:t>
            </w:r>
            <w:r>
              <w:rPr>
                <w:spacing w:val="40"/>
                <w:sz w:val="22"/>
              </w:rPr>
              <w:t> </w:t>
            </w:r>
            <w:r>
              <w:rPr>
                <w:sz w:val="22"/>
              </w:rPr>
              <w:t>:</w:t>
            </w:r>
            <w:r>
              <w:rPr>
                <w:spacing w:val="40"/>
                <w:sz w:val="22"/>
              </w:rPr>
              <w:t> </w:t>
            </w:r>
            <w:r>
              <w:rPr>
                <w:sz w:val="22"/>
              </w:rPr>
              <w:t>Gérer</w:t>
            </w:r>
            <w:r>
              <w:rPr>
                <w:spacing w:val="40"/>
                <w:sz w:val="22"/>
              </w:rPr>
              <w:t> </w:t>
            </w:r>
            <w:r>
              <w:rPr>
                <w:sz w:val="22"/>
              </w:rPr>
              <w:t>durablement</w:t>
            </w:r>
            <w:r>
              <w:rPr>
                <w:spacing w:val="40"/>
                <w:sz w:val="22"/>
              </w:rPr>
              <w:t> </w:t>
            </w:r>
            <w:r>
              <w:rPr>
                <w:sz w:val="22"/>
              </w:rPr>
              <w:t>la</w:t>
            </w:r>
            <w:r>
              <w:rPr>
                <w:spacing w:val="40"/>
                <w:sz w:val="22"/>
              </w:rPr>
              <w:t> </w:t>
            </w:r>
            <w:r>
              <w:rPr>
                <w:sz w:val="22"/>
              </w:rPr>
              <w:t>biodiversité</w:t>
            </w:r>
            <w:r>
              <w:rPr>
                <w:spacing w:val="40"/>
                <w:sz w:val="22"/>
              </w:rPr>
              <w:t> </w:t>
            </w:r>
            <w:r>
              <w:rPr>
                <w:sz w:val="22"/>
              </w:rPr>
              <w:t>et</w:t>
            </w:r>
            <w:r>
              <w:rPr>
                <w:spacing w:val="40"/>
                <w:sz w:val="22"/>
              </w:rPr>
              <w:t> </w:t>
            </w:r>
            <w:r>
              <w:rPr>
                <w:sz w:val="22"/>
              </w:rPr>
              <w:t>les</w:t>
            </w:r>
            <w:r>
              <w:rPr>
                <w:spacing w:val="40"/>
                <w:sz w:val="22"/>
              </w:rPr>
              <w:t> </w:t>
            </w:r>
            <w:r>
              <w:rPr>
                <w:sz w:val="22"/>
              </w:rPr>
              <w:t>écosystèmes terrestres et aquatiques</w:t>
            </w:r>
          </w:p>
        </w:tc>
      </w:tr>
      <w:tr>
        <w:trPr>
          <w:trHeight w:val="502" w:hRule="atLeast"/>
        </w:trPr>
        <w:tc>
          <w:tcPr>
            <w:tcW w:w="3539" w:type="dxa"/>
            <w:vMerge w:val="restart"/>
            <w:shd w:val="clear" w:color="auto" w:fill="F8CAAC"/>
          </w:tcPr>
          <w:p>
            <w:pPr>
              <w:pStyle w:val="TableParagraph"/>
              <w:spacing w:before="135"/>
              <w:ind w:left="69" w:right="57"/>
              <w:jc w:val="both"/>
              <w:rPr>
                <w:sz w:val="22"/>
              </w:rPr>
            </w:pPr>
            <w:r>
              <w:rPr>
                <w:b/>
                <w:sz w:val="22"/>
              </w:rPr>
              <w:t>Objectif global 5.2. </w:t>
            </w:r>
            <w:r>
              <w:rPr>
                <w:sz w:val="22"/>
              </w:rPr>
              <w:t>Développer les capacités de résilience des populations dans un contexte lié aux changements </w:t>
            </w:r>
            <w:r>
              <w:rPr>
                <w:spacing w:val="-2"/>
                <w:sz w:val="22"/>
              </w:rPr>
              <w:t>climatiques</w:t>
            </w:r>
          </w:p>
        </w:tc>
        <w:tc>
          <w:tcPr>
            <w:tcW w:w="7091" w:type="dxa"/>
            <w:shd w:val="clear" w:color="auto" w:fill="FBE3D5"/>
          </w:tcPr>
          <w:p>
            <w:pPr>
              <w:pStyle w:val="TableParagraph"/>
              <w:spacing w:line="252" w:lineRule="exact"/>
              <w:ind w:left="71"/>
              <w:rPr>
                <w:sz w:val="22"/>
              </w:rPr>
            </w:pPr>
            <w:r>
              <w:rPr>
                <w:sz w:val="22"/>
              </w:rPr>
              <w:t>Objectif</w:t>
            </w:r>
            <w:r>
              <w:rPr>
                <w:spacing w:val="28"/>
                <w:sz w:val="22"/>
              </w:rPr>
              <w:t> </w:t>
            </w:r>
            <w:r>
              <w:rPr>
                <w:sz w:val="22"/>
              </w:rPr>
              <w:t>spécifique 5.2.1.</w:t>
            </w:r>
            <w:r>
              <w:rPr>
                <w:spacing w:val="30"/>
                <w:sz w:val="22"/>
              </w:rPr>
              <w:t> </w:t>
            </w:r>
            <w:r>
              <w:rPr>
                <w:sz w:val="22"/>
              </w:rPr>
              <w:t>:</w:t>
            </w:r>
            <w:r>
              <w:rPr>
                <w:spacing w:val="30"/>
                <w:sz w:val="22"/>
              </w:rPr>
              <w:t> </w:t>
            </w:r>
            <w:r>
              <w:rPr>
                <w:sz w:val="22"/>
              </w:rPr>
              <w:t>Renforcer</w:t>
            </w:r>
            <w:r>
              <w:rPr>
                <w:spacing w:val="27"/>
                <w:sz w:val="22"/>
              </w:rPr>
              <w:t> </w:t>
            </w:r>
            <w:r>
              <w:rPr>
                <w:sz w:val="22"/>
              </w:rPr>
              <w:t>les</w:t>
            </w:r>
            <w:r>
              <w:rPr>
                <w:spacing w:val="28"/>
                <w:sz w:val="22"/>
              </w:rPr>
              <w:t> </w:t>
            </w:r>
            <w:r>
              <w:rPr>
                <w:sz w:val="22"/>
              </w:rPr>
              <w:t>capacités</w:t>
            </w:r>
            <w:r>
              <w:rPr>
                <w:spacing w:val="30"/>
                <w:sz w:val="22"/>
              </w:rPr>
              <w:t> </w:t>
            </w:r>
            <w:r>
              <w:rPr>
                <w:sz w:val="22"/>
              </w:rPr>
              <w:t>de</w:t>
            </w:r>
            <w:r>
              <w:rPr>
                <w:spacing w:val="28"/>
                <w:sz w:val="22"/>
              </w:rPr>
              <w:t> </w:t>
            </w:r>
            <w:r>
              <w:rPr>
                <w:sz w:val="22"/>
              </w:rPr>
              <w:t>prévention</w:t>
            </w:r>
            <w:r>
              <w:rPr>
                <w:spacing w:val="30"/>
                <w:sz w:val="22"/>
              </w:rPr>
              <w:t> </w:t>
            </w:r>
            <w:r>
              <w:rPr>
                <w:sz w:val="22"/>
              </w:rPr>
              <w:t>et</w:t>
            </w:r>
            <w:r>
              <w:rPr>
                <w:spacing w:val="30"/>
                <w:sz w:val="22"/>
              </w:rPr>
              <w:t> </w:t>
            </w:r>
            <w:r>
              <w:rPr>
                <w:sz w:val="22"/>
              </w:rPr>
              <w:t>de</w:t>
            </w:r>
            <w:r>
              <w:rPr>
                <w:spacing w:val="30"/>
                <w:sz w:val="22"/>
              </w:rPr>
              <w:t> </w:t>
            </w:r>
            <w:r>
              <w:rPr>
                <w:sz w:val="22"/>
              </w:rPr>
              <w:t>gestion</w:t>
            </w:r>
            <w:r>
              <w:rPr>
                <w:spacing w:val="28"/>
                <w:sz w:val="22"/>
              </w:rPr>
              <w:t> </w:t>
            </w:r>
            <w:r>
              <w:rPr>
                <w:sz w:val="22"/>
              </w:rPr>
              <w:t>des risques et des catastrophes naturelles</w:t>
            </w:r>
          </w:p>
        </w:tc>
      </w:tr>
      <w:tr>
        <w:trPr>
          <w:trHeight w:val="504" w:hRule="atLeast"/>
        </w:trPr>
        <w:tc>
          <w:tcPr>
            <w:tcW w:w="3539" w:type="dxa"/>
            <w:vMerge/>
            <w:tcBorders>
              <w:top w:val="nil"/>
            </w:tcBorders>
            <w:shd w:val="clear" w:color="auto" w:fill="F8CAAC"/>
          </w:tcPr>
          <w:p>
            <w:pPr>
              <w:rPr>
                <w:sz w:val="2"/>
                <w:szCs w:val="2"/>
              </w:rPr>
            </w:pPr>
          </w:p>
        </w:tc>
        <w:tc>
          <w:tcPr>
            <w:tcW w:w="7091" w:type="dxa"/>
            <w:shd w:val="clear" w:color="auto" w:fill="FBE3D5"/>
          </w:tcPr>
          <w:p>
            <w:pPr>
              <w:pStyle w:val="TableParagraph"/>
              <w:spacing w:line="251" w:lineRule="exact"/>
              <w:ind w:left="71"/>
              <w:rPr>
                <w:sz w:val="22"/>
              </w:rPr>
            </w:pPr>
            <w:r>
              <w:rPr>
                <w:sz w:val="22"/>
              </w:rPr>
              <w:t>Objectif</w:t>
            </w:r>
            <w:r>
              <w:rPr>
                <w:spacing w:val="13"/>
                <w:sz w:val="22"/>
              </w:rPr>
              <w:t> </w:t>
            </w:r>
            <w:r>
              <w:rPr>
                <w:sz w:val="22"/>
              </w:rPr>
              <w:t>spécifique</w:t>
            </w:r>
            <w:r>
              <w:rPr>
                <w:spacing w:val="-2"/>
                <w:sz w:val="22"/>
              </w:rPr>
              <w:t> </w:t>
            </w:r>
            <w:r>
              <w:rPr>
                <w:sz w:val="22"/>
              </w:rPr>
              <w:t>5.2.2.</w:t>
            </w:r>
            <w:r>
              <w:rPr>
                <w:spacing w:val="15"/>
                <w:sz w:val="22"/>
              </w:rPr>
              <w:t> </w:t>
            </w:r>
            <w:r>
              <w:rPr>
                <w:sz w:val="22"/>
              </w:rPr>
              <w:t>:</w:t>
            </w:r>
            <w:r>
              <w:rPr>
                <w:spacing w:val="15"/>
                <w:sz w:val="22"/>
              </w:rPr>
              <w:t> </w:t>
            </w:r>
            <w:r>
              <w:rPr>
                <w:sz w:val="22"/>
              </w:rPr>
              <w:t>Améliorer</w:t>
            </w:r>
            <w:r>
              <w:rPr>
                <w:spacing w:val="16"/>
                <w:sz w:val="22"/>
              </w:rPr>
              <w:t> </w:t>
            </w:r>
            <w:r>
              <w:rPr>
                <w:sz w:val="22"/>
              </w:rPr>
              <w:t>les</w:t>
            </w:r>
            <w:r>
              <w:rPr>
                <w:spacing w:val="14"/>
                <w:sz w:val="22"/>
              </w:rPr>
              <w:t> </w:t>
            </w:r>
            <w:r>
              <w:rPr>
                <w:sz w:val="22"/>
              </w:rPr>
              <w:t>capacités</w:t>
            </w:r>
            <w:r>
              <w:rPr>
                <w:spacing w:val="16"/>
                <w:sz w:val="22"/>
              </w:rPr>
              <w:t> </w:t>
            </w:r>
            <w:r>
              <w:rPr>
                <w:sz w:val="22"/>
              </w:rPr>
              <w:t>d’adaptation</w:t>
            </w:r>
            <w:r>
              <w:rPr>
                <w:spacing w:val="16"/>
                <w:sz w:val="22"/>
              </w:rPr>
              <w:t> </w:t>
            </w:r>
            <w:r>
              <w:rPr>
                <w:sz w:val="22"/>
              </w:rPr>
              <w:t>des</w:t>
            </w:r>
            <w:r>
              <w:rPr>
                <w:spacing w:val="16"/>
                <w:sz w:val="22"/>
              </w:rPr>
              <w:t> </w:t>
            </w:r>
            <w:r>
              <w:rPr>
                <w:sz w:val="22"/>
              </w:rPr>
              <w:t>populations</w:t>
            </w:r>
            <w:r>
              <w:rPr>
                <w:spacing w:val="16"/>
                <w:sz w:val="22"/>
              </w:rPr>
              <w:t> </w:t>
            </w:r>
            <w:r>
              <w:rPr>
                <w:sz w:val="22"/>
              </w:rPr>
              <w:t>et</w:t>
            </w:r>
            <w:r>
              <w:rPr>
                <w:spacing w:val="16"/>
                <w:sz w:val="22"/>
              </w:rPr>
              <w:t> </w:t>
            </w:r>
            <w:r>
              <w:rPr>
                <w:spacing w:val="-5"/>
                <w:sz w:val="22"/>
              </w:rPr>
              <w:t>la</w:t>
            </w:r>
          </w:p>
          <w:p>
            <w:pPr>
              <w:pStyle w:val="TableParagraph"/>
              <w:spacing w:line="232" w:lineRule="exact" w:before="2"/>
              <w:ind w:left="71"/>
              <w:rPr>
                <w:sz w:val="22"/>
              </w:rPr>
            </w:pPr>
            <w:r>
              <w:rPr>
                <w:spacing w:val="-2"/>
                <w:sz w:val="22"/>
              </w:rPr>
              <w:t>résilience</w:t>
            </w:r>
          </w:p>
        </w:tc>
      </w:tr>
      <w:tr>
        <w:trPr>
          <w:trHeight w:val="251" w:hRule="atLeast"/>
        </w:trPr>
        <w:tc>
          <w:tcPr>
            <w:tcW w:w="3539" w:type="dxa"/>
            <w:vMerge/>
            <w:tcBorders>
              <w:top w:val="nil"/>
            </w:tcBorders>
            <w:shd w:val="clear" w:color="auto" w:fill="F8CAAC"/>
          </w:tcPr>
          <w:p>
            <w:pPr>
              <w:rPr>
                <w:sz w:val="2"/>
                <w:szCs w:val="2"/>
              </w:rPr>
            </w:pPr>
          </w:p>
        </w:tc>
        <w:tc>
          <w:tcPr>
            <w:tcW w:w="7091" w:type="dxa"/>
            <w:shd w:val="clear" w:color="auto" w:fill="FBE3D5"/>
          </w:tcPr>
          <w:p>
            <w:pPr>
              <w:pStyle w:val="TableParagraph"/>
              <w:spacing w:line="232" w:lineRule="exact"/>
              <w:ind w:left="71"/>
              <w:rPr>
                <w:sz w:val="22"/>
              </w:rPr>
            </w:pPr>
            <w:r>
              <w:rPr>
                <w:sz w:val="22"/>
              </w:rPr>
              <w:t>Objectif</w:t>
            </w:r>
            <w:r>
              <w:rPr>
                <w:spacing w:val="-10"/>
                <w:sz w:val="22"/>
              </w:rPr>
              <w:t> </w:t>
            </w:r>
            <w:r>
              <w:rPr>
                <w:sz w:val="22"/>
              </w:rPr>
              <w:t>spécifique</w:t>
            </w:r>
            <w:r>
              <w:rPr>
                <w:spacing w:val="-4"/>
                <w:sz w:val="22"/>
              </w:rPr>
              <w:t> </w:t>
            </w:r>
            <w:r>
              <w:rPr>
                <w:sz w:val="22"/>
              </w:rPr>
              <w:t>5.2.3.</w:t>
            </w:r>
            <w:r>
              <w:rPr>
                <w:spacing w:val="-3"/>
                <w:sz w:val="22"/>
              </w:rPr>
              <w:t> </w:t>
            </w:r>
            <w:r>
              <w:rPr>
                <w:sz w:val="22"/>
              </w:rPr>
              <w:t>:</w:t>
            </w:r>
            <w:r>
              <w:rPr>
                <w:spacing w:val="-4"/>
                <w:sz w:val="22"/>
              </w:rPr>
              <w:t> </w:t>
            </w:r>
            <w:r>
              <w:rPr>
                <w:sz w:val="22"/>
              </w:rPr>
              <w:t>Renforcer</w:t>
            </w:r>
            <w:r>
              <w:rPr>
                <w:spacing w:val="-5"/>
                <w:sz w:val="22"/>
              </w:rPr>
              <w:t> </w:t>
            </w:r>
            <w:r>
              <w:rPr>
                <w:sz w:val="22"/>
              </w:rPr>
              <w:t>la</w:t>
            </w:r>
            <w:r>
              <w:rPr>
                <w:spacing w:val="-5"/>
                <w:sz w:val="22"/>
              </w:rPr>
              <w:t> </w:t>
            </w:r>
            <w:r>
              <w:rPr>
                <w:sz w:val="22"/>
              </w:rPr>
              <w:t>lutte</w:t>
            </w:r>
            <w:r>
              <w:rPr>
                <w:spacing w:val="-4"/>
                <w:sz w:val="22"/>
              </w:rPr>
              <w:t> </w:t>
            </w:r>
            <w:r>
              <w:rPr>
                <w:sz w:val="22"/>
              </w:rPr>
              <w:t>contre</w:t>
            </w:r>
            <w:r>
              <w:rPr>
                <w:spacing w:val="-5"/>
                <w:sz w:val="22"/>
              </w:rPr>
              <w:t> </w:t>
            </w:r>
            <w:r>
              <w:rPr>
                <w:sz w:val="22"/>
              </w:rPr>
              <w:t>la</w:t>
            </w:r>
            <w:r>
              <w:rPr>
                <w:spacing w:val="-6"/>
                <w:sz w:val="22"/>
              </w:rPr>
              <w:t> </w:t>
            </w:r>
            <w:r>
              <w:rPr>
                <w:sz w:val="22"/>
              </w:rPr>
              <w:t>sècheresse</w:t>
            </w:r>
            <w:r>
              <w:rPr>
                <w:spacing w:val="-4"/>
                <w:sz w:val="22"/>
              </w:rPr>
              <w:t> </w:t>
            </w:r>
            <w:r>
              <w:rPr>
                <w:sz w:val="22"/>
              </w:rPr>
              <w:t>et</w:t>
            </w:r>
            <w:r>
              <w:rPr>
                <w:spacing w:val="-5"/>
                <w:sz w:val="22"/>
              </w:rPr>
              <w:t> </w:t>
            </w:r>
            <w:r>
              <w:rPr>
                <w:sz w:val="22"/>
              </w:rPr>
              <w:t>la</w:t>
            </w:r>
            <w:r>
              <w:rPr>
                <w:spacing w:val="-4"/>
                <w:sz w:val="22"/>
              </w:rPr>
              <w:t> </w:t>
            </w:r>
            <w:r>
              <w:rPr>
                <w:spacing w:val="-2"/>
                <w:sz w:val="22"/>
              </w:rPr>
              <w:t>désertification</w:t>
            </w:r>
          </w:p>
        </w:tc>
      </w:tr>
    </w:tbl>
    <w:p>
      <w:pPr>
        <w:pStyle w:val="BodyText"/>
        <w:spacing w:before="2"/>
        <w:ind w:left="0" w:firstLine="0"/>
        <w:jc w:val="left"/>
      </w:pPr>
    </w:p>
    <w:p>
      <w:pPr>
        <w:pStyle w:val="Heading3"/>
        <w:numPr>
          <w:ilvl w:val="1"/>
          <w:numId w:val="10"/>
        </w:numPr>
        <w:tabs>
          <w:tab w:pos="1516" w:val="left" w:leader="none"/>
        </w:tabs>
        <w:spacing w:line="240" w:lineRule="auto" w:before="1" w:after="0"/>
        <w:ind w:left="1516" w:right="0" w:hanging="383"/>
        <w:jc w:val="left"/>
      </w:pPr>
      <w:bookmarkStart w:name="_bookmark25" w:id="26"/>
      <w:bookmarkEnd w:id="26"/>
      <w:r>
        <w:rPr>
          <w:b w:val="0"/>
        </w:rPr>
      </w:r>
      <w:r>
        <w:rPr>
          <w:color w:val="2E5395"/>
        </w:rPr>
        <w:t>Cadrage</w:t>
      </w:r>
      <w:r>
        <w:rPr>
          <w:color w:val="2E5395"/>
          <w:spacing w:val="-8"/>
        </w:rPr>
        <w:t> </w:t>
      </w:r>
      <w:r>
        <w:rPr>
          <w:color w:val="2E5395"/>
        </w:rPr>
        <w:t>macroéconomique</w:t>
      </w:r>
      <w:r>
        <w:rPr>
          <w:color w:val="2E5395"/>
          <w:spacing w:val="-5"/>
        </w:rPr>
        <w:t> </w:t>
      </w:r>
      <w:r>
        <w:rPr>
          <w:color w:val="2E5395"/>
        </w:rPr>
        <w:t>et</w:t>
      </w:r>
      <w:r>
        <w:rPr>
          <w:color w:val="2E5395"/>
          <w:spacing w:val="-5"/>
        </w:rPr>
        <w:t> </w:t>
      </w:r>
      <w:r>
        <w:rPr>
          <w:color w:val="2E5395"/>
          <w:spacing w:val="-2"/>
        </w:rPr>
        <w:t>budgétaire</w:t>
      </w:r>
    </w:p>
    <w:p>
      <w:pPr>
        <w:pStyle w:val="Heading3"/>
        <w:numPr>
          <w:ilvl w:val="2"/>
          <w:numId w:val="10"/>
        </w:numPr>
        <w:tabs>
          <w:tab w:pos="1678" w:val="left" w:leader="none"/>
        </w:tabs>
        <w:spacing w:line="240" w:lineRule="auto" w:before="137" w:after="0"/>
        <w:ind w:left="1678" w:right="0" w:hanging="545"/>
        <w:jc w:val="left"/>
        <w:rPr>
          <w:color w:val="006FC0"/>
        </w:rPr>
      </w:pPr>
      <w:bookmarkStart w:name="_bookmark26" w:id="27"/>
      <w:bookmarkEnd w:id="27"/>
      <w:r>
        <w:rPr>
          <w:b w:val="0"/>
        </w:rPr>
      </w:r>
      <w:r>
        <w:rPr>
          <w:color w:val="006FC0"/>
        </w:rPr>
        <w:t>Cadrage</w:t>
      </w:r>
      <w:r>
        <w:rPr>
          <w:color w:val="006FC0"/>
          <w:spacing w:val="-3"/>
        </w:rPr>
        <w:t> </w:t>
      </w:r>
      <w:r>
        <w:rPr>
          <w:color w:val="006FC0"/>
          <w:spacing w:val="-2"/>
        </w:rPr>
        <w:t>macroéconomique</w:t>
      </w:r>
    </w:p>
    <w:p>
      <w:pPr>
        <w:pStyle w:val="ListParagraph"/>
        <w:numPr>
          <w:ilvl w:val="1"/>
          <w:numId w:val="1"/>
        </w:numPr>
        <w:tabs>
          <w:tab w:pos="1493" w:val="left" w:leader="none"/>
          <w:tab w:pos="1837" w:val="left" w:leader="none"/>
        </w:tabs>
        <w:spacing w:line="240" w:lineRule="auto" w:before="207" w:after="0"/>
        <w:ind w:left="1493" w:right="1126" w:hanging="360"/>
        <w:jc w:val="both"/>
        <w:rPr>
          <w:sz w:val="24"/>
        </w:rPr>
      </w:pPr>
      <w:r>
        <w:rPr>
          <w:sz w:val="24"/>
        </w:rPr>
        <w:t>Les</w:t>
      </w:r>
      <w:r>
        <w:rPr>
          <w:spacing w:val="40"/>
          <w:sz w:val="24"/>
        </w:rPr>
        <w:t> </w:t>
      </w:r>
      <w:r>
        <w:rPr>
          <w:sz w:val="24"/>
        </w:rPr>
        <w:t>hypothèses</w:t>
      </w:r>
      <w:r>
        <w:rPr>
          <w:spacing w:val="40"/>
          <w:sz w:val="24"/>
        </w:rPr>
        <w:t> </w:t>
      </w:r>
      <w:r>
        <w:rPr>
          <w:sz w:val="24"/>
        </w:rPr>
        <w:t>du</w:t>
      </w:r>
      <w:r>
        <w:rPr>
          <w:spacing w:val="40"/>
          <w:sz w:val="24"/>
        </w:rPr>
        <w:t> </w:t>
      </w:r>
      <w:r>
        <w:rPr>
          <w:sz w:val="24"/>
        </w:rPr>
        <w:t>cadrage</w:t>
      </w:r>
      <w:r>
        <w:rPr>
          <w:spacing w:val="40"/>
          <w:sz w:val="24"/>
        </w:rPr>
        <w:t> </w:t>
      </w:r>
      <w:r>
        <w:rPr>
          <w:sz w:val="24"/>
        </w:rPr>
        <w:t>macroéconomique</w:t>
      </w:r>
      <w:r>
        <w:rPr>
          <w:spacing w:val="40"/>
          <w:sz w:val="24"/>
        </w:rPr>
        <w:t> </w:t>
      </w:r>
      <w:r>
        <w:rPr>
          <w:sz w:val="24"/>
        </w:rPr>
        <w:t>reposent</w:t>
      </w:r>
      <w:r>
        <w:rPr>
          <w:spacing w:val="40"/>
          <w:sz w:val="24"/>
        </w:rPr>
        <w:t> </w:t>
      </w:r>
      <w:r>
        <w:rPr>
          <w:sz w:val="24"/>
        </w:rPr>
        <w:t>sur</w:t>
      </w:r>
      <w:r>
        <w:rPr>
          <w:spacing w:val="40"/>
          <w:sz w:val="24"/>
        </w:rPr>
        <w:t> </w:t>
      </w:r>
      <w:r>
        <w:rPr>
          <w:sz w:val="24"/>
        </w:rPr>
        <w:t>celles</w:t>
      </w:r>
      <w:r>
        <w:rPr>
          <w:spacing w:val="40"/>
          <w:sz w:val="24"/>
        </w:rPr>
        <w:t> </w:t>
      </w:r>
      <w:r>
        <w:rPr>
          <w:sz w:val="24"/>
        </w:rPr>
        <w:t>des</w:t>
      </w:r>
      <w:r>
        <w:rPr>
          <w:spacing w:val="40"/>
          <w:sz w:val="24"/>
        </w:rPr>
        <w:t> </w:t>
      </w:r>
      <w:r>
        <w:rPr>
          <w:sz w:val="24"/>
        </w:rPr>
        <w:t>« perspectives</w:t>
      </w:r>
      <w:r>
        <w:rPr>
          <w:spacing w:val="40"/>
          <w:sz w:val="24"/>
        </w:rPr>
        <w:t> </w:t>
      </w:r>
      <w:r>
        <w:rPr>
          <w:sz w:val="24"/>
        </w:rPr>
        <w:t>de l’économie mondiale » du FMI ainsi que sur les secteurs porteurs de l’économie malienne sur la période 2024-2033. On distingue les hypothèses générales qui demeurent identiques pour tous les scénarii et des hypothèses spécifiques qui varient d’un scénario à un autre. Les hypothèses</w:t>
      </w:r>
      <w:r>
        <w:rPr>
          <w:spacing w:val="40"/>
          <w:sz w:val="24"/>
        </w:rPr>
        <w:t> </w:t>
      </w:r>
      <w:r>
        <w:rPr>
          <w:sz w:val="24"/>
        </w:rPr>
        <w:t>générales sont relatives à l'environnement</w:t>
      </w:r>
      <w:r>
        <w:rPr>
          <w:spacing w:val="-2"/>
          <w:sz w:val="24"/>
        </w:rPr>
        <w:t> </w:t>
      </w:r>
      <w:r>
        <w:rPr>
          <w:sz w:val="24"/>
        </w:rPr>
        <w:t>international, et les</w:t>
      </w:r>
      <w:r>
        <w:rPr>
          <w:spacing w:val="-2"/>
          <w:sz w:val="24"/>
        </w:rPr>
        <w:t> </w:t>
      </w:r>
      <w:r>
        <w:rPr>
          <w:sz w:val="24"/>
        </w:rPr>
        <w:t>hypothèses spécifiques aux réalités</w:t>
      </w:r>
      <w:r>
        <w:rPr>
          <w:spacing w:val="-3"/>
          <w:sz w:val="24"/>
        </w:rPr>
        <w:t> </w:t>
      </w:r>
      <w:r>
        <w:rPr>
          <w:sz w:val="24"/>
        </w:rPr>
        <w:t>de l'économie malienne. Ainsi,</w:t>
      </w:r>
      <w:r>
        <w:rPr>
          <w:spacing w:val="-2"/>
          <w:sz w:val="24"/>
        </w:rPr>
        <w:t> </w:t>
      </w:r>
      <w:r>
        <w:rPr>
          <w:sz w:val="24"/>
        </w:rPr>
        <w:t>deux scénarii ont été retenu à savoir</w:t>
      </w:r>
      <w:r>
        <w:rPr>
          <w:spacing w:val="-1"/>
          <w:sz w:val="24"/>
        </w:rPr>
        <w:t> </w:t>
      </w:r>
      <w:r>
        <w:rPr>
          <w:sz w:val="24"/>
        </w:rPr>
        <w:t>: le scénario optimiste et le scénario à politique inchangée (scénario tendanciel).</w:t>
      </w:r>
    </w:p>
    <w:p>
      <w:pPr>
        <w:pStyle w:val="Heading3"/>
        <w:spacing w:before="182"/>
        <w:ind w:left="1133"/>
      </w:pPr>
      <w:r>
        <w:rPr/>
        <w:t>Evolution</w:t>
      </w:r>
      <w:r>
        <w:rPr>
          <w:spacing w:val="-3"/>
        </w:rPr>
        <w:t> </w:t>
      </w:r>
      <w:r>
        <w:rPr/>
        <w:t>du</w:t>
      </w:r>
      <w:r>
        <w:rPr>
          <w:spacing w:val="-2"/>
        </w:rPr>
        <w:t> </w:t>
      </w:r>
      <w:r>
        <w:rPr/>
        <w:t>taux</w:t>
      </w:r>
      <w:r>
        <w:rPr>
          <w:spacing w:val="-2"/>
        </w:rPr>
        <w:t> </w:t>
      </w:r>
      <w:r>
        <w:rPr/>
        <w:t>de</w:t>
      </w:r>
      <w:r>
        <w:rPr>
          <w:spacing w:val="-4"/>
        </w:rPr>
        <w:t> </w:t>
      </w:r>
      <w:r>
        <w:rPr/>
        <w:t>croissance</w:t>
      </w:r>
      <w:r>
        <w:rPr>
          <w:spacing w:val="-2"/>
        </w:rPr>
        <w:t> </w:t>
      </w:r>
      <w:r>
        <w:rPr/>
        <w:t>du</w:t>
      </w:r>
      <w:r>
        <w:rPr>
          <w:spacing w:val="-3"/>
        </w:rPr>
        <w:t> </w:t>
      </w:r>
      <w:r>
        <w:rPr/>
        <w:t>PIB</w:t>
      </w:r>
      <w:r>
        <w:rPr>
          <w:spacing w:val="-2"/>
        </w:rPr>
        <w:t> </w:t>
      </w:r>
      <w:r>
        <w:rPr/>
        <w:t>réel</w:t>
      </w:r>
      <w:r>
        <w:rPr>
          <w:spacing w:val="-2"/>
        </w:rPr>
        <w:t> </w:t>
      </w:r>
      <w:r>
        <w:rPr/>
        <w:t>selon</w:t>
      </w:r>
      <w:r>
        <w:rPr>
          <w:spacing w:val="-2"/>
        </w:rPr>
        <w:t> </w:t>
      </w:r>
      <w:r>
        <w:rPr/>
        <w:t>les</w:t>
      </w:r>
      <w:r>
        <w:rPr>
          <w:spacing w:val="2"/>
        </w:rPr>
        <w:t> </w:t>
      </w:r>
      <w:r>
        <w:rPr/>
        <w:t>deux</w:t>
      </w:r>
      <w:r>
        <w:rPr>
          <w:spacing w:val="-1"/>
        </w:rPr>
        <w:t> </w:t>
      </w:r>
      <w:r>
        <w:rPr/>
        <w:t>scénarios</w:t>
      </w:r>
      <w:r>
        <w:rPr>
          <w:spacing w:val="-2"/>
        </w:rPr>
        <w:t> </w:t>
      </w:r>
      <w:r>
        <w:rPr/>
        <w:t>de</w:t>
      </w:r>
      <w:r>
        <w:rPr>
          <w:spacing w:val="-3"/>
        </w:rPr>
        <w:t> </w:t>
      </w:r>
      <w:r>
        <w:rPr/>
        <w:t>2023</w:t>
      </w:r>
      <w:r>
        <w:rPr>
          <w:spacing w:val="-2"/>
        </w:rPr>
        <w:t> </w:t>
      </w:r>
      <w:r>
        <w:rPr/>
        <w:t>à</w:t>
      </w:r>
      <w:r>
        <w:rPr>
          <w:spacing w:val="-3"/>
        </w:rPr>
        <w:t> </w:t>
      </w:r>
      <w:r>
        <w:rPr>
          <w:spacing w:val="-4"/>
        </w:rPr>
        <w:t>2033</w:t>
      </w:r>
    </w:p>
    <w:tbl>
      <w:tblPr>
        <w:tblW w:w="0" w:type="auto"/>
        <w:jc w:val="left"/>
        <w:tblInd w:w="1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849"/>
        <w:gridCol w:w="708"/>
        <w:gridCol w:w="710"/>
        <w:gridCol w:w="708"/>
        <w:gridCol w:w="708"/>
        <w:gridCol w:w="710"/>
        <w:gridCol w:w="650"/>
        <w:gridCol w:w="652"/>
        <w:gridCol w:w="681"/>
        <w:gridCol w:w="707"/>
        <w:gridCol w:w="649"/>
      </w:tblGrid>
      <w:tr>
        <w:trPr>
          <w:trHeight w:val="266" w:hRule="atLeast"/>
        </w:trPr>
        <w:tc>
          <w:tcPr>
            <w:tcW w:w="1423" w:type="dxa"/>
            <w:shd w:val="clear" w:color="auto" w:fill="D4DCE3"/>
          </w:tcPr>
          <w:p>
            <w:pPr>
              <w:pStyle w:val="TableParagraph"/>
              <w:spacing w:line="234" w:lineRule="exact" w:before="12"/>
              <w:ind w:left="69"/>
              <w:rPr>
                <w:b/>
                <w:sz w:val="22"/>
              </w:rPr>
            </w:pPr>
            <w:r>
              <w:rPr>
                <w:b/>
                <w:spacing w:val="-2"/>
                <w:sz w:val="22"/>
              </w:rPr>
              <w:t>ANNEE</w:t>
            </w:r>
          </w:p>
        </w:tc>
        <w:tc>
          <w:tcPr>
            <w:tcW w:w="849" w:type="dxa"/>
            <w:shd w:val="clear" w:color="auto" w:fill="D4DCE3"/>
          </w:tcPr>
          <w:p>
            <w:pPr>
              <w:pStyle w:val="TableParagraph"/>
              <w:spacing w:line="234" w:lineRule="exact" w:before="12"/>
              <w:ind w:left="69"/>
              <w:rPr>
                <w:b/>
                <w:sz w:val="22"/>
              </w:rPr>
            </w:pPr>
            <w:r>
              <w:rPr>
                <w:b/>
                <w:spacing w:val="-4"/>
                <w:sz w:val="22"/>
              </w:rPr>
              <w:t>2023</w:t>
            </w:r>
          </w:p>
        </w:tc>
        <w:tc>
          <w:tcPr>
            <w:tcW w:w="708" w:type="dxa"/>
            <w:shd w:val="clear" w:color="auto" w:fill="D4DCE3"/>
          </w:tcPr>
          <w:p>
            <w:pPr>
              <w:pStyle w:val="TableParagraph"/>
              <w:spacing w:line="234" w:lineRule="exact" w:before="12"/>
              <w:ind w:left="70"/>
              <w:rPr>
                <w:b/>
                <w:sz w:val="22"/>
              </w:rPr>
            </w:pPr>
            <w:r>
              <w:rPr>
                <w:b/>
                <w:spacing w:val="-4"/>
                <w:sz w:val="22"/>
              </w:rPr>
              <w:t>2024</w:t>
            </w:r>
          </w:p>
        </w:tc>
        <w:tc>
          <w:tcPr>
            <w:tcW w:w="710" w:type="dxa"/>
            <w:shd w:val="clear" w:color="auto" w:fill="D4DCE3"/>
          </w:tcPr>
          <w:p>
            <w:pPr>
              <w:pStyle w:val="TableParagraph"/>
              <w:spacing w:line="234" w:lineRule="exact" w:before="12"/>
              <w:ind w:left="73"/>
              <w:rPr>
                <w:b/>
                <w:sz w:val="22"/>
              </w:rPr>
            </w:pPr>
            <w:r>
              <w:rPr>
                <w:b/>
                <w:spacing w:val="-4"/>
                <w:sz w:val="22"/>
              </w:rPr>
              <w:t>2025</w:t>
            </w:r>
          </w:p>
        </w:tc>
        <w:tc>
          <w:tcPr>
            <w:tcW w:w="708" w:type="dxa"/>
            <w:shd w:val="clear" w:color="auto" w:fill="D4DCE3"/>
          </w:tcPr>
          <w:p>
            <w:pPr>
              <w:pStyle w:val="TableParagraph"/>
              <w:spacing w:line="234" w:lineRule="exact" w:before="12"/>
              <w:ind w:left="71"/>
              <w:rPr>
                <w:b/>
                <w:sz w:val="22"/>
              </w:rPr>
            </w:pPr>
            <w:r>
              <w:rPr>
                <w:b/>
                <w:spacing w:val="-4"/>
                <w:sz w:val="22"/>
              </w:rPr>
              <w:t>2026</w:t>
            </w:r>
          </w:p>
        </w:tc>
        <w:tc>
          <w:tcPr>
            <w:tcW w:w="708" w:type="dxa"/>
            <w:shd w:val="clear" w:color="auto" w:fill="D4DCE3"/>
          </w:tcPr>
          <w:p>
            <w:pPr>
              <w:pStyle w:val="TableParagraph"/>
              <w:spacing w:line="234" w:lineRule="exact" w:before="12"/>
              <w:ind w:left="73"/>
              <w:rPr>
                <w:b/>
                <w:sz w:val="22"/>
              </w:rPr>
            </w:pPr>
            <w:r>
              <w:rPr>
                <w:b/>
                <w:spacing w:val="-4"/>
                <w:sz w:val="22"/>
              </w:rPr>
              <w:t>2027</w:t>
            </w:r>
          </w:p>
        </w:tc>
        <w:tc>
          <w:tcPr>
            <w:tcW w:w="710" w:type="dxa"/>
            <w:shd w:val="clear" w:color="auto" w:fill="D4DCE3"/>
          </w:tcPr>
          <w:p>
            <w:pPr>
              <w:pStyle w:val="TableParagraph"/>
              <w:spacing w:line="234" w:lineRule="exact" w:before="12"/>
              <w:ind w:left="73"/>
              <w:rPr>
                <w:b/>
                <w:sz w:val="22"/>
              </w:rPr>
            </w:pPr>
            <w:r>
              <w:rPr>
                <w:b/>
                <w:spacing w:val="-4"/>
                <w:sz w:val="22"/>
              </w:rPr>
              <w:t>2028</w:t>
            </w:r>
          </w:p>
        </w:tc>
        <w:tc>
          <w:tcPr>
            <w:tcW w:w="650" w:type="dxa"/>
            <w:shd w:val="clear" w:color="auto" w:fill="D4DCE3"/>
          </w:tcPr>
          <w:p>
            <w:pPr>
              <w:pStyle w:val="TableParagraph"/>
              <w:spacing w:line="234" w:lineRule="exact" w:before="12"/>
              <w:ind w:left="71"/>
              <w:rPr>
                <w:b/>
                <w:sz w:val="22"/>
              </w:rPr>
            </w:pPr>
            <w:r>
              <w:rPr>
                <w:b/>
                <w:spacing w:val="-4"/>
                <w:sz w:val="22"/>
              </w:rPr>
              <w:t>2029</w:t>
            </w:r>
          </w:p>
        </w:tc>
        <w:tc>
          <w:tcPr>
            <w:tcW w:w="652" w:type="dxa"/>
            <w:shd w:val="clear" w:color="auto" w:fill="D4DCE3"/>
          </w:tcPr>
          <w:p>
            <w:pPr>
              <w:pStyle w:val="TableParagraph"/>
              <w:spacing w:line="234" w:lineRule="exact" w:before="12"/>
              <w:ind w:left="21" w:right="108"/>
              <w:jc w:val="center"/>
              <w:rPr>
                <w:b/>
                <w:sz w:val="22"/>
              </w:rPr>
            </w:pPr>
            <w:r>
              <w:rPr>
                <w:b/>
                <w:spacing w:val="-4"/>
                <w:sz w:val="22"/>
              </w:rPr>
              <w:t>2030</w:t>
            </w:r>
          </w:p>
        </w:tc>
        <w:tc>
          <w:tcPr>
            <w:tcW w:w="681" w:type="dxa"/>
            <w:shd w:val="clear" w:color="auto" w:fill="D4DCE3"/>
          </w:tcPr>
          <w:p>
            <w:pPr>
              <w:pStyle w:val="TableParagraph"/>
              <w:spacing w:line="234" w:lineRule="exact" w:before="12"/>
              <w:ind w:right="119"/>
              <w:jc w:val="center"/>
              <w:rPr>
                <w:b/>
                <w:sz w:val="22"/>
              </w:rPr>
            </w:pPr>
            <w:r>
              <w:rPr>
                <w:b/>
                <w:spacing w:val="-4"/>
                <w:sz w:val="22"/>
              </w:rPr>
              <w:t>2031</w:t>
            </w:r>
          </w:p>
        </w:tc>
        <w:tc>
          <w:tcPr>
            <w:tcW w:w="707" w:type="dxa"/>
            <w:shd w:val="clear" w:color="auto" w:fill="D4DCE3"/>
          </w:tcPr>
          <w:p>
            <w:pPr>
              <w:pStyle w:val="TableParagraph"/>
              <w:spacing w:line="234" w:lineRule="exact" w:before="12"/>
              <w:ind w:right="143"/>
              <w:jc w:val="center"/>
              <w:rPr>
                <w:b/>
                <w:sz w:val="22"/>
              </w:rPr>
            </w:pPr>
            <w:r>
              <w:rPr>
                <w:b/>
                <w:spacing w:val="-4"/>
                <w:sz w:val="22"/>
              </w:rPr>
              <w:t>2032</w:t>
            </w:r>
          </w:p>
        </w:tc>
        <w:tc>
          <w:tcPr>
            <w:tcW w:w="649" w:type="dxa"/>
            <w:shd w:val="clear" w:color="auto" w:fill="D4DCE3"/>
          </w:tcPr>
          <w:p>
            <w:pPr>
              <w:pStyle w:val="TableParagraph"/>
              <w:spacing w:line="234" w:lineRule="exact" w:before="12"/>
              <w:ind w:left="25" w:right="108"/>
              <w:jc w:val="center"/>
              <w:rPr>
                <w:b/>
                <w:sz w:val="22"/>
              </w:rPr>
            </w:pPr>
            <w:r>
              <w:rPr>
                <w:b/>
                <w:spacing w:val="-4"/>
                <w:sz w:val="22"/>
              </w:rPr>
              <w:t>2033</w:t>
            </w:r>
          </w:p>
        </w:tc>
      </w:tr>
      <w:tr>
        <w:trPr>
          <w:trHeight w:val="551" w:hRule="atLeast"/>
        </w:trPr>
        <w:tc>
          <w:tcPr>
            <w:tcW w:w="1423" w:type="dxa"/>
          </w:tcPr>
          <w:p>
            <w:pPr>
              <w:pStyle w:val="TableParagraph"/>
              <w:spacing w:line="250" w:lineRule="atLeast" w:before="26"/>
              <w:ind w:left="69"/>
              <w:rPr>
                <w:sz w:val="22"/>
              </w:rPr>
            </w:pPr>
            <w:r>
              <w:rPr>
                <w:sz w:val="22"/>
              </w:rPr>
              <w:t>Taux</w:t>
            </w:r>
            <w:r>
              <w:rPr>
                <w:spacing w:val="80"/>
                <w:sz w:val="22"/>
              </w:rPr>
              <w:t> </w:t>
            </w:r>
            <w:r>
              <w:rPr>
                <w:sz w:val="22"/>
              </w:rPr>
              <w:t>Scénario </w:t>
            </w:r>
            <w:r>
              <w:rPr>
                <w:spacing w:val="-2"/>
                <w:sz w:val="22"/>
              </w:rPr>
              <w:t>tendanciel</w:t>
            </w:r>
          </w:p>
        </w:tc>
        <w:tc>
          <w:tcPr>
            <w:tcW w:w="849" w:type="dxa"/>
          </w:tcPr>
          <w:p>
            <w:pPr>
              <w:pStyle w:val="TableParagraph"/>
              <w:spacing w:before="47"/>
              <w:rPr>
                <w:b/>
                <w:sz w:val="22"/>
              </w:rPr>
            </w:pPr>
          </w:p>
          <w:p>
            <w:pPr>
              <w:pStyle w:val="TableParagraph"/>
              <w:spacing w:line="232" w:lineRule="exact"/>
              <w:ind w:left="69"/>
              <w:rPr>
                <w:sz w:val="22"/>
              </w:rPr>
            </w:pPr>
            <w:r>
              <w:rPr>
                <w:spacing w:val="-4"/>
                <w:sz w:val="22"/>
              </w:rPr>
              <w:t>4,7%</w:t>
            </w:r>
          </w:p>
        </w:tc>
        <w:tc>
          <w:tcPr>
            <w:tcW w:w="708" w:type="dxa"/>
          </w:tcPr>
          <w:p>
            <w:pPr>
              <w:pStyle w:val="TableParagraph"/>
              <w:spacing w:before="47"/>
              <w:rPr>
                <w:b/>
                <w:sz w:val="22"/>
              </w:rPr>
            </w:pPr>
          </w:p>
          <w:p>
            <w:pPr>
              <w:pStyle w:val="TableParagraph"/>
              <w:spacing w:line="232" w:lineRule="exact"/>
              <w:ind w:left="70"/>
              <w:rPr>
                <w:sz w:val="22"/>
              </w:rPr>
            </w:pPr>
            <w:r>
              <w:rPr>
                <w:spacing w:val="-4"/>
                <w:sz w:val="22"/>
              </w:rPr>
              <w:t>5,0%</w:t>
            </w:r>
          </w:p>
        </w:tc>
        <w:tc>
          <w:tcPr>
            <w:tcW w:w="710" w:type="dxa"/>
          </w:tcPr>
          <w:p>
            <w:pPr>
              <w:pStyle w:val="TableParagraph"/>
              <w:spacing w:before="47"/>
              <w:rPr>
                <w:b/>
                <w:sz w:val="22"/>
              </w:rPr>
            </w:pPr>
          </w:p>
          <w:p>
            <w:pPr>
              <w:pStyle w:val="TableParagraph"/>
              <w:spacing w:line="232" w:lineRule="exact"/>
              <w:ind w:left="73"/>
              <w:rPr>
                <w:sz w:val="22"/>
              </w:rPr>
            </w:pPr>
            <w:r>
              <w:rPr>
                <w:spacing w:val="-4"/>
                <w:sz w:val="22"/>
              </w:rPr>
              <w:t>5,5%</w:t>
            </w:r>
          </w:p>
        </w:tc>
        <w:tc>
          <w:tcPr>
            <w:tcW w:w="708" w:type="dxa"/>
          </w:tcPr>
          <w:p>
            <w:pPr>
              <w:pStyle w:val="TableParagraph"/>
              <w:spacing w:before="47"/>
              <w:rPr>
                <w:b/>
                <w:sz w:val="22"/>
              </w:rPr>
            </w:pPr>
          </w:p>
          <w:p>
            <w:pPr>
              <w:pStyle w:val="TableParagraph"/>
              <w:spacing w:line="232" w:lineRule="exact"/>
              <w:ind w:left="71"/>
              <w:rPr>
                <w:sz w:val="22"/>
              </w:rPr>
            </w:pPr>
            <w:r>
              <w:rPr>
                <w:spacing w:val="-4"/>
                <w:sz w:val="22"/>
              </w:rPr>
              <w:t>6,1%</w:t>
            </w:r>
          </w:p>
        </w:tc>
        <w:tc>
          <w:tcPr>
            <w:tcW w:w="708" w:type="dxa"/>
          </w:tcPr>
          <w:p>
            <w:pPr>
              <w:pStyle w:val="TableParagraph"/>
              <w:spacing w:before="47"/>
              <w:rPr>
                <w:b/>
                <w:sz w:val="22"/>
              </w:rPr>
            </w:pPr>
          </w:p>
          <w:p>
            <w:pPr>
              <w:pStyle w:val="TableParagraph"/>
              <w:spacing w:line="232" w:lineRule="exact"/>
              <w:ind w:left="73"/>
              <w:rPr>
                <w:sz w:val="22"/>
              </w:rPr>
            </w:pPr>
            <w:r>
              <w:rPr>
                <w:spacing w:val="-4"/>
                <w:sz w:val="22"/>
              </w:rPr>
              <w:t>6,3%</w:t>
            </w:r>
          </w:p>
        </w:tc>
        <w:tc>
          <w:tcPr>
            <w:tcW w:w="710" w:type="dxa"/>
          </w:tcPr>
          <w:p>
            <w:pPr>
              <w:pStyle w:val="TableParagraph"/>
              <w:spacing w:before="47"/>
              <w:rPr>
                <w:b/>
                <w:sz w:val="22"/>
              </w:rPr>
            </w:pPr>
          </w:p>
          <w:p>
            <w:pPr>
              <w:pStyle w:val="TableParagraph"/>
              <w:spacing w:line="232" w:lineRule="exact"/>
              <w:ind w:left="73"/>
              <w:rPr>
                <w:sz w:val="22"/>
              </w:rPr>
            </w:pPr>
            <w:r>
              <w:rPr>
                <w:spacing w:val="-4"/>
                <w:sz w:val="22"/>
              </w:rPr>
              <w:t>6,5%</w:t>
            </w:r>
          </w:p>
        </w:tc>
        <w:tc>
          <w:tcPr>
            <w:tcW w:w="650" w:type="dxa"/>
          </w:tcPr>
          <w:p>
            <w:pPr>
              <w:pStyle w:val="TableParagraph"/>
              <w:spacing w:before="47"/>
              <w:rPr>
                <w:b/>
                <w:sz w:val="22"/>
              </w:rPr>
            </w:pPr>
          </w:p>
          <w:p>
            <w:pPr>
              <w:pStyle w:val="TableParagraph"/>
              <w:spacing w:line="232" w:lineRule="exact"/>
              <w:ind w:left="71"/>
              <w:rPr>
                <w:sz w:val="22"/>
              </w:rPr>
            </w:pPr>
            <w:r>
              <w:rPr>
                <w:spacing w:val="-4"/>
                <w:sz w:val="22"/>
              </w:rPr>
              <w:t>6,4%</w:t>
            </w:r>
          </w:p>
        </w:tc>
        <w:tc>
          <w:tcPr>
            <w:tcW w:w="652" w:type="dxa"/>
          </w:tcPr>
          <w:p>
            <w:pPr>
              <w:pStyle w:val="TableParagraph"/>
              <w:spacing w:before="47"/>
              <w:rPr>
                <w:b/>
                <w:sz w:val="22"/>
              </w:rPr>
            </w:pPr>
          </w:p>
          <w:p>
            <w:pPr>
              <w:pStyle w:val="TableParagraph"/>
              <w:spacing w:line="232" w:lineRule="exact"/>
              <w:ind w:left="21" w:right="98"/>
              <w:jc w:val="center"/>
              <w:rPr>
                <w:sz w:val="22"/>
              </w:rPr>
            </w:pPr>
            <w:r>
              <w:rPr>
                <w:spacing w:val="-4"/>
                <w:sz w:val="22"/>
              </w:rPr>
              <w:t>6,3%</w:t>
            </w:r>
          </w:p>
        </w:tc>
        <w:tc>
          <w:tcPr>
            <w:tcW w:w="681" w:type="dxa"/>
          </w:tcPr>
          <w:p>
            <w:pPr>
              <w:pStyle w:val="TableParagraph"/>
              <w:spacing w:before="47"/>
              <w:rPr>
                <w:b/>
                <w:sz w:val="22"/>
              </w:rPr>
            </w:pPr>
          </w:p>
          <w:p>
            <w:pPr>
              <w:pStyle w:val="TableParagraph"/>
              <w:spacing w:line="232" w:lineRule="exact"/>
              <w:ind w:left="10" w:right="119"/>
              <w:jc w:val="center"/>
              <w:rPr>
                <w:sz w:val="22"/>
              </w:rPr>
            </w:pPr>
            <w:r>
              <w:rPr>
                <w:spacing w:val="-4"/>
                <w:sz w:val="22"/>
              </w:rPr>
              <w:t>6,0%</w:t>
            </w:r>
          </w:p>
        </w:tc>
        <w:tc>
          <w:tcPr>
            <w:tcW w:w="707" w:type="dxa"/>
          </w:tcPr>
          <w:p>
            <w:pPr>
              <w:pStyle w:val="TableParagraph"/>
              <w:spacing w:before="47"/>
              <w:rPr>
                <w:b/>
                <w:sz w:val="22"/>
              </w:rPr>
            </w:pPr>
          </w:p>
          <w:p>
            <w:pPr>
              <w:pStyle w:val="TableParagraph"/>
              <w:spacing w:line="232" w:lineRule="exact"/>
              <w:ind w:left="10" w:right="143"/>
              <w:jc w:val="center"/>
              <w:rPr>
                <w:sz w:val="22"/>
              </w:rPr>
            </w:pPr>
            <w:r>
              <w:rPr>
                <w:spacing w:val="-4"/>
                <w:sz w:val="22"/>
              </w:rPr>
              <w:t>6,0%</w:t>
            </w:r>
          </w:p>
        </w:tc>
        <w:tc>
          <w:tcPr>
            <w:tcW w:w="649" w:type="dxa"/>
          </w:tcPr>
          <w:p>
            <w:pPr>
              <w:pStyle w:val="TableParagraph"/>
              <w:spacing w:before="47"/>
              <w:rPr>
                <w:b/>
                <w:sz w:val="22"/>
              </w:rPr>
            </w:pPr>
          </w:p>
          <w:p>
            <w:pPr>
              <w:pStyle w:val="TableParagraph"/>
              <w:spacing w:line="232" w:lineRule="exact"/>
              <w:ind w:left="25" w:right="98"/>
              <w:jc w:val="center"/>
              <w:rPr>
                <w:sz w:val="22"/>
              </w:rPr>
            </w:pPr>
            <w:r>
              <w:rPr>
                <w:spacing w:val="-4"/>
                <w:sz w:val="22"/>
              </w:rPr>
              <w:t>6,0%</w:t>
            </w:r>
          </w:p>
        </w:tc>
      </w:tr>
      <w:tr>
        <w:trPr>
          <w:trHeight w:val="551" w:hRule="atLeast"/>
        </w:trPr>
        <w:tc>
          <w:tcPr>
            <w:tcW w:w="1423" w:type="dxa"/>
          </w:tcPr>
          <w:p>
            <w:pPr>
              <w:pStyle w:val="TableParagraph"/>
              <w:spacing w:line="252" w:lineRule="exact" w:before="27"/>
              <w:ind w:left="69"/>
              <w:rPr>
                <w:sz w:val="22"/>
              </w:rPr>
            </w:pPr>
            <w:r>
              <w:rPr>
                <w:sz w:val="22"/>
              </w:rPr>
              <w:t>Taux</w:t>
            </w:r>
            <w:r>
              <w:rPr>
                <w:spacing w:val="80"/>
                <w:sz w:val="22"/>
              </w:rPr>
              <w:t> </w:t>
            </w:r>
            <w:r>
              <w:rPr>
                <w:sz w:val="22"/>
              </w:rPr>
              <w:t>Scénario </w:t>
            </w:r>
            <w:r>
              <w:rPr>
                <w:spacing w:val="-2"/>
                <w:sz w:val="22"/>
              </w:rPr>
              <w:t>optimiste</w:t>
            </w:r>
          </w:p>
        </w:tc>
        <w:tc>
          <w:tcPr>
            <w:tcW w:w="849" w:type="dxa"/>
          </w:tcPr>
          <w:p>
            <w:pPr>
              <w:pStyle w:val="TableParagraph"/>
              <w:spacing w:before="47"/>
              <w:rPr>
                <w:b/>
                <w:sz w:val="22"/>
              </w:rPr>
            </w:pPr>
          </w:p>
          <w:p>
            <w:pPr>
              <w:pStyle w:val="TableParagraph"/>
              <w:spacing w:line="232" w:lineRule="exact"/>
              <w:ind w:left="69"/>
              <w:rPr>
                <w:sz w:val="22"/>
              </w:rPr>
            </w:pPr>
            <w:r>
              <w:rPr>
                <w:spacing w:val="-4"/>
                <w:sz w:val="22"/>
              </w:rPr>
              <w:t>4,7%</w:t>
            </w:r>
          </w:p>
        </w:tc>
        <w:tc>
          <w:tcPr>
            <w:tcW w:w="708" w:type="dxa"/>
          </w:tcPr>
          <w:p>
            <w:pPr>
              <w:pStyle w:val="TableParagraph"/>
              <w:spacing w:before="47"/>
              <w:rPr>
                <w:b/>
                <w:sz w:val="22"/>
              </w:rPr>
            </w:pPr>
          </w:p>
          <w:p>
            <w:pPr>
              <w:pStyle w:val="TableParagraph"/>
              <w:spacing w:line="232" w:lineRule="exact"/>
              <w:ind w:left="70"/>
              <w:rPr>
                <w:sz w:val="22"/>
              </w:rPr>
            </w:pPr>
            <w:r>
              <w:rPr>
                <w:spacing w:val="-4"/>
                <w:sz w:val="22"/>
              </w:rPr>
              <w:t>5,0%</w:t>
            </w:r>
          </w:p>
        </w:tc>
        <w:tc>
          <w:tcPr>
            <w:tcW w:w="710" w:type="dxa"/>
          </w:tcPr>
          <w:p>
            <w:pPr>
              <w:pStyle w:val="TableParagraph"/>
              <w:spacing w:before="47"/>
              <w:rPr>
                <w:b/>
                <w:sz w:val="22"/>
              </w:rPr>
            </w:pPr>
          </w:p>
          <w:p>
            <w:pPr>
              <w:pStyle w:val="TableParagraph"/>
              <w:spacing w:line="232" w:lineRule="exact"/>
              <w:ind w:left="73"/>
              <w:rPr>
                <w:sz w:val="22"/>
              </w:rPr>
            </w:pPr>
            <w:r>
              <w:rPr>
                <w:spacing w:val="-4"/>
                <w:sz w:val="22"/>
              </w:rPr>
              <w:t>6,9%</w:t>
            </w:r>
          </w:p>
        </w:tc>
        <w:tc>
          <w:tcPr>
            <w:tcW w:w="708" w:type="dxa"/>
          </w:tcPr>
          <w:p>
            <w:pPr>
              <w:pStyle w:val="TableParagraph"/>
              <w:spacing w:before="47"/>
              <w:rPr>
                <w:b/>
                <w:sz w:val="22"/>
              </w:rPr>
            </w:pPr>
          </w:p>
          <w:p>
            <w:pPr>
              <w:pStyle w:val="TableParagraph"/>
              <w:spacing w:line="232" w:lineRule="exact"/>
              <w:ind w:left="71"/>
              <w:rPr>
                <w:sz w:val="22"/>
              </w:rPr>
            </w:pPr>
            <w:r>
              <w:rPr>
                <w:spacing w:val="-4"/>
                <w:sz w:val="22"/>
              </w:rPr>
              <w:t>7,4%</w:t>
            </w:r>
          </w:p>
        </w:tc>
        <w:tc>
          <w:tcPr>
            <w:tcW w:w="708" w:type="dxa"/>
          </w:tcPr>
          <w:p>
            <w:pPr>
              <w:pStyle w:val="TableParagraph"/>
              <w:spacing w:before="47"/>
              <w:rPr>
                <w:b/>
                <w:sz w:val="22"/>
              </w:rPr>
            </w:pPr>
          </w:p>
          <w:p>
            <w:pPr>
              <w:pStyle w:val="TableParagraph"/>
              <w:spacing w:line="232" w:lineRule="exact"/>
              <w:ind w:left="73"/>
              <w:rPr>
                <w:sz w:val="22"/>
              </w:rPr>
            </w:pPr>
            <w:r>
              <w:rPr>
                <w:spacing w:val="-4"/>
                <w:sz w:val="22"/>
              </w:rPr>
              <w:t>8,3%</w:t>
            </w:r>
          </w:p>
        </w:tc>
        <w:tc>
          <w:tcPr>
            <w:tcW w:w="710" w:type="dxa"/>
          </w:tcPr>
          <w:p>
            <w:pPr>
              <w:pStyle w:val="TableParagraph"/>
              <w:spacing w:before="47"/>
              <w:rPr>
                <w:b/>
                <w:sz w:val="22"/>
              </w:rPr>
            </w:pPr>
          </w:p>
          <w:p>
            <w:pPr>
              <w:pStyle w:val="TableParagraph"/>
              <w:spacing w:line="232" w:lineRule="exact"/>
              <w:ind w:left="73"/>
              <w:rPr>
                <w:sz w:val="22"/>
              </w:rPr>
            </w:pPr>
            <w:r>
              <w:rPr>
                <w:spacing w:val="-4"/>
                <w:sz w:val="22"/>
              </w:rPr>
              <w:t>9,7%</w:t>
            </w:r>
          </w:p>
        </w:tc>
        <w:tc>
          <w:tcPr>
            <w:tcW w:w="650" w:type="dxa"/>
          </w:tcPr>
          <w:p>
            <w:pPr>
              <w:pStyle w:val="TableParagraph"/>
              <w:spacing w:before="47"/>
              <w:rPr>
                <w:b/>
                <w:sz w:val="22"/>
              </w:rPr>
            </w:pPr>
          </w:p>
          <w:p>
            <w:pPr>
              <w:pStyle w:val="TableParagraph"/>
              <w:spacing w:line="232" w:lineRule="exact"/>
              <w:ind w:left="71"/>
              <w:rPr>
                <w:sz w:val="22"/>
              </w:rPr>
            </w:pPr>
            <w:r>
              <w:rPr>
                <w:spacing w:val="-2"/>
                <w:sz w:val="22"/>
              </w:rPr>
              <w:t>10,3%</w:t>
            </w:r>
          </w:p>
        </w:tc>
        <w:tc>
          <w:tcPr>
            <w:tcW w:w="652" w:type="dxa"/>
          </w:tcPr>
          <w:p>
            <w:pPr>
              <w:pStyle w:val="TableParagraph"/>
              <w:spacing w:before="47"/>
              <w:rPr>
                <w:b/>
                <w:sz w:val="22"/>
              </w:rPr>
            </w:pPr>
          </w:p>
          <w:p>
            <w:pPr>
              <w:pStyle w:val="TableParagraph"/>
              <w:spacing w:line="232" w:lineRule="exact"/>
              <w:ind w:left="21"/>
              <w:jc w:val="center"/>
              <w:rPr>
                <w:sz w:val="22"/>
              </w:rPr>
            </w:pPr>
            <w:r>
              <w:rPr>
                <w:spacing w:val="-2"/>
                <w:sz w:val="22"/>
              </w:rPr>
              <w:t>11,4%</w:t>
            </w:r>
          </w:p>
        </w:tc>
        <w:tc>
          <w:tcPr>
            <w:tcW w:w="681" w:type="dxa"/>
          </w:tcPr>
          <w:p>
            <w:pPr>
              <w:pStyle w:val="TableParagraph"/>
              <w:spacing w:before="47"/>
              <w:rPr>
                <w:b/>
                <w:sz w:val="22"/>
              </w:rPr>
            </w:pPr>
          </w:p>
          <w:p>
            <w:pPr>
              <w:pStyle w:val="TableParagraph"/>
              <w:spacing w:line="232" w:lineRule="exact"/>
              <w:ind w:right="8"/>
              <w:jc w:val="center"/>
              <w:rPr>
                <w:sz w:val="22"/>
              </w:rPr>
            </w:pPr>
            <w:r>
              <w:rPr>
                <w:spacing w:val="-2"/>
                <w:sz w:val="22"/>
              </w:rPr>
              <w:t>11,8%</w:t>
            </w:r>
          </w:p>
        </w:tc>
        <w:tc>
          <w:tcPr>
            <w:tcW w:w="707" w:type="dxa"/>
          </w:tcPr>
          <w:p>
            <w:pPr>
              <w:pStyle w:val="TableParagraph"/>
              <w:spacing w:before="47"/>
              <w:rPr>
                <w:b/>
                <w:sz w:val="22"/>
              </w:rPr>
            </w:pPr>
          </w:p>
          <w:p>
            <w:pPr>
              <w:pStyle w:val="TableParagraph"/>
              <w:spacing w:line="232" w:lineRule="exact"/>
              <w:ind w:right="32"/>
              <w:jc w:val="center"/>
              <w:rPr>
                <w:sz w:val="22"/>
              </w:rPr>
            </w:pPr>
            <w:r>
              <w:rPr>
                <w:spacing w:val="-2"/>
                <w:sz w:val="22"/>
              </w:rPr>
              <w:t>12,1%</w:t>
            </w:r>
          </w:p>
        </w:tc>
        <w:tc>
          <w:tcPr>
            <w:tcW w:w="649" w:type="dxa"/>
          </w:tcPr>
          <w:p>
            <w:pPr>
              <w:pStyle w:val="TableParagraph"/>
              <w:spacing w:before="47"/>
              <w:rPr>
                <w:b/>
                <w:sz w:val="22"/>
              </w:rPr>
            </w:pPr>
          </w:p>
          <w:p>
            <w:pPr>
              <w:pStyle w:val="TableParagraph"/>
              <w:spacing w:line="232" w:lineRule="exact"/>
              <w:ind w:left="25"/>
              <w:jc w:val="center"/>
              <w:rPr>
                <w:sz w:val="22"/>
              </w:rPr>
            </w:pPr>
            <w:r>
              <w:rPr>
                <w:spacing w:val="-2"/>
                <w:sz w:val="22"/>
              </w:rPr>
              <w:t>11,9%</w:t>
            </w:r>
          </w:p>
        </w:tc>
      </w:tr>
    </w:tbl>
    <w:p>
      <w:pPr>
        <w:spacing w:before="0"/>
        <w:ind w:left="1133" w:right="0" w:firstLine="0"/>
        <w:jc w:val="left"/>
        <w:rPr>
          <w:sz w:val="20"/>
        </w:rPr>
      </w:pPr>
      <w:r>
        <w:rPr>
          <w:b/>
          <w:sz w:val="20"/>
        </w:rPr>
        <w:t>Source</w:t>
      </w:r>
      <w:r>
        <w:rPr>
          <w:b/>
          <w:spacing w:val="-7"/>
          <w:sz w:val="20"/>
        </w:rPr>
        <w:t> </w:t>
      </w:r>
      <w:r>
        <w:rPr>
          <w:b/>
          <w:sz w:val="20"/>
        </w:rPr>
        <w:t>:</w:t>
      </w:r>
      <w:r>
        <w:rPr>
          <w:b/>
          <w:spacing w:val="-5"/>
          <w:sz w:val="20"/>
        </w:rPr>
        <w:t> </w:t>
      </w:r>
      <w:r>
        <w:rPr>
          <w:sz w:val="20"/>
        </w:rPr>
        <w:t>MME_DNPD</w:t>
      </w:r>
      <w:r>
        <w:rPr>
          <w:spacing w:val="-6"/>
          <w:sz w:val="20"/>
        </w:rPr>
        <w:t> </w:t>
      </w:r>
      <w:r>
        <w:rPr>
          <w:spacing w:val="-2"/>
          <w:sz w:val="20"/>
        </w:rPr>
        <w:t>Rénové</w:t>
      </w:r>
    </w:p>
    <w:p>
      <w:pPr>
        <w:pStyle w:val="BodyText"/>
        <w:spacing w:before="0"/>
        <w:ind w:left="0" w:firstLine="0"/>
        <w:jc w:val="left"/>
        <w:rPr>
          <w:sz w:val="20"/>
        </w:rPr>
      </w:pPr>
    </w:p>
    <w:p>
      <w:pPr>
        <w:pStyle w:val="BodyText"/>
        <w:spacing w:before="139"/>
        <w:ind w:left="0" w:firstLine="0"/>
        <w:jc w:val="left"/>
        <w:rPr>
          <w:sz w:val="20"/>
        </w:rPr>
      </w:pPr>
    </w:p>
    <w:p>
      <w:pPr>
        <w:pStyle w:val="ListParagraph"/>
        <w:numPr>
          <w:ilvl w:val="1"/>
          <w:numId w:val="1"/>
        </w:numPr>
        <w:tabs>
          <w:tab w:pos="1493" w:val="left" w:leader="none"/>
          <w:tab w:pos="1837" w:val="left" w:leader="none"/>
        </w:tabs>
        <w:spacing w:line="240" w:lineRule="auto" w:before="0" w:after="0"/>
        <w:ind w:left="1493" w:right="1133" w:hanging="360"/>
        <w:jc w:val="both"/>
        <w:rPr>
          <w:sz w:val="24"/>
        </w:rPr>
      </w:pPr>
      <w:r>
        <w:rPr>
          <w:sz w:val="24"/>
        </w:rPr>
        <w:t>L’inflation devrait ressortir en moyenne à 2,0% sur la période 2024-2033 inférieure à la norme communautaire de 3,0% contre 1,9% dans le scénario à politique inchangée.</w:t>
      </w:r>
    </w:p>
    <w:p>
      <w:pPr>
        <w:pStyle w:val="ListParagraph"/>
        <w:numPr>
          <w:ilvl w:val="1"/>
          <w:numId w:val="1"/>
        </w:numPr>
        <w:tabs>
          <w:tab w:pos="1493" w:val="left" w:leader="none"/>
          <w:tab w:pos="1893" w:val="left" w:leader="none"/>
        </w:tabs>
        <w:spacing w:line="240" w:lineRule="auto" w:before="184" w:after="0"/>
        <w:ind w:left="1493" w:right="1127" w:hanging="360"/>
        <w:jc w:val="both"/>
        <w:rPr>
          <w:sz w:val="24"/>
        </w:rPr>
      </w:pPr>
      <w:r>
        <w:rPr>
          <w:sz w:val="24"/>
        </w:rPr>
        <w:t>Les résultats font ressortir un niveau des recettes totales de 8 342,9 milliards de FCFA en 2033</w:t>
      </w:r>
      <w:r>
        <w:rPr>
          <w:spacing w:val="40"/>
          <w:sz w:val="24"/>
        </w:rPr>
        <w:t> </w:t>
      </w:r>
      <w:r>
        <w:rPr>
          <w:sz w:val="24"/>
        </w:rPr>
        <w:t>contre 2 215,7 milliards de FCFA en 2024, soit un niveau moyen sur la période de 4 757,7 milliards</w:t>
      </w:r>
      <w:r>
        <w:rPr>
          <w:spacing w:val="40"/>
          <w:sz w:val="24"/>
        </w:rPr>
        <w:t> </w:t>
      </w:r>
      <w:r>
        <w:rPr>
          <w:sz w:val="24"/>
        </w:rPr>
        <w:t>de FCFA contre 3</w:t>
      </w:r>
      <w:r>
        <w:rPr>
          <w:spacing w:val="-2"/>
          <w:sz w:val="24"/>
        </w:rPr>
        <w:t> </w:t>
      </w:r>
      <w:r>
        <w:rPr>
          <w:sz w:val="24"/>
        </w:rPr>
        <w:t>644,3 milliards en moyenne dans le scénario à politique inchangée. Les recettes fiscales augmenteraient en moyenne annuelle de 15,8% contre 10,6% dans le scénario à politique inchangée. Ainsi, le taux de pression fiscale serait en moyenne de 15,5% entre 2024-2033 contre 14,3% dans le scénario à politique inchangée. Quant au taux d’investissement (FBCF/PIB), il devrait connaitre une croissance pour se situer en moyenne à 20,3% pour la période 2024-2033 contre une moyenne tendancielle de 18,0%.</w:t>
      </w:r>
    </w:p>
    <w:p>
      <w:pPr>
        <w:pStyle w:val="ListParagraph"/>
        <w:numPr>
          <w:ilvl w:val="1"/>
          <w:numId w:val="1"/>
        </w:numPr>
        <w:tabs>
          <w:tab w:pos="1493" w:val="left" w:leader="none"/>
          <w:tab w:pos="1837" w:val="left" w:leader="none"/>
        </w:tabs>
        <w:spacing w:line="240" w:lineRule="auto" w:before="185" w:after="0"/>
        <w:ind w:left="1493" w:right="1130" w:hanging="360"/>
        <w:jc w:val="both"/>
        <w:rPr>
          <w:sz w:val="24"/>
        </w:rPr>
      </w:pPr>
      <w:r>
        <w:rPr>
          <w:sz w:val="24"/>
        </w:rPr>
        <w:t>Le</w:t>
      </w:r>
      <w:r>
        <w:rPr>
          <w:spacing w:val="40"/>
          <w:sz w:val="24"/>
        </w:rPr>
        <w:t> </w:t>
      </w:r>
      <w:r>
        <w:rPr>
          <w:sz w:val="24"/>
        </w:rPr>
        <w:t>solde</w:t>
      </w:r>
      <w:r>
        <w:rPr>
          <w:spacing w:val="40"/>
          <w:sz w:val="24"/>
        </w:rPr>
        <w:t> </w:t>
      </w:r>
      <w:r>
        <w:rPr>
          <w:sz w:val="24"/>
        </w:rPr>
        <w:t>global</w:t>
      </w:r>
      <w:r>
        <w:rPr>
          <w:spacing w:val="40"/>
          <w:sz w:val="24"/>
        </w:rPr>
        <w:t> </w:t>
      </w:r>
      <w:r>
        <w:rPr>
          <w:sz w:val="24"/>
        </w:rPr>
        <w:t>de</w:t>
      </w:r>
      <w:r>
        <w:rPr>
          <w:spacing w:val="40"/>
          <w:sz w:val="24"/>
        </w:rPr>
        <w:t> </w:t>
      </w:r>
      <w:r>
        <w:rPr>
          <w:sz w:val="24"/>
        </w:rPr>
        <w:t>la</w:t>
      </w:r>
      <w:r>
        <w:rPr>
          <w:spacing w:val="40"/>
          <w:sz w:val="24"/>
        </w:rPr>
        <w:t> </w:t>
      </w:r>
      <w:r>
        <w:rPr>
          <w:sz w:val="24"/>
        </w:rPr>
        <w:t>balance</w:t>
      </w:r>
      <w:r>
        <w:rPr>
          <w:spacing w:val="40"/>
          <w:sz w:val="24"/>
        </w:rPr>
        <w:t> </w:t>
      </w:r>
      <w:r>
        <w:rPr>
          <w:sz w:val="24"/>
        </w:rPr>
        <w:t>de</w:t>
      </w:r>
      <w:r>
        <w:rPr>
          <w:spacing w:val="40"/>
          <w:sz w:val="24"/>
        </w:rPr>
        <w:t> </w:t>
      </w:r>
      <w:r>
        <w:rPr>
          <w:sz w:val="24"/>
        </w:rPr>
        <w:t>paiement</w:t>
      </w:r>
      <w:r>
        <w:rPr>
          <w:spacing w:val="40"/>
          <w:sz w:val="24"/>
        </w:rPr>
        <w:t> </w:t>
      </w:r>
      <w:r>
        <w:rPr>
          <w:sz w:val="24"/>
        </w:rPr>
        <w:t>ressortirait</w:t>
      </w:r>
      <w:r>
        <w:rPr>
          <w:spacing w:val="40"/>
          <w:sz w:val="24"/>
        </w:rPr>
        <w:t> </w:t>
      </w:r>
      <w:r>
        <w:rPr>
          <w:sz w:val="24"/>
        </w:rPr>
        <w:t>excédentaire</w:t>
      </w:r>
      <w:r>
        <w:rPr>
          <w:spacing w:val="40"/>
          <w:sz w:val="24"/>
        </w:rPr>
        <w:t> </w:t>
      </w:r>
      <w:r>
        <w:rPr>
          <w:sz w:val="24"/>
        </w:rPr>
        <w:t>en</w:t>
      </w:r>
      <w:r>
        <w:rPr>
          <w:spacing w:val="40"/>
          <w:sz w:val="24"/>
        </w:rPr>
        <w:t> </w:t>
      </w:r>
      <w:r>
        <w:rPr>
          <w:sz w:val="24"/>
        </w:rPr>
        <w:t>moyenne</w:t>
      </w:r>
      <w:r>
        <w:rPr>
          <w:spacing w:val="40"/>
          <w:sz w:val="24"/>
        </w:rPr>
        <w:t> </w:t>
      </w:r>
      <w:r>
        <w:rPr>
          <w:sz w:val="24"/>
        </w:rPr>
        <w:t>de</w:t>
      </w:r>
      <w:r>
        <w:rPr>
          <w:spacing w:val="40"/>
          <w:sz w:val="24"/>
        </w:rPr>
        <w:t> </w:t>
      </w:r>
      <w:r>
        <w:rPr>
          <w:sz w:val="24"/>
        </w:rPr>
        <w:t>107,6 milliards</w:t>
      </w:r>
      <w:r>
        <w:rPr>
          <w:spacing w:val="14"/>
          <w:sz w:val="24"/>
        </w:rPr>
        <w:t> </w:t>
      </w:r>
      <w:r>
        <w:rPr>
          <w:sz w:val="24"/>
        </w:rPr>
        <w:t>de</w:t>
      </w:r>
      <w:r>
        <w:rPr>
          <w:spacing w:val="14"/>
          <w:sz w:val="24"/>
        </w:rPr>
        <w:t> </w:t>
      </w:r>
      <w:r>
        <w:rPr>
          <w:sz w:val="24"/>
        </w:rPr>
        <w:t>FCFA</w:t>
      </w:r>
      <w:r>
        <w:rPr>
          <w:spacing w:val="12"/>
          <w:sz w:val="24"/>
        </w:rPr>
        <w:t> </w:t>
      </w:r>
      <w:r>
        <w:rPr>
          <w:sz w:val="24"/>
        </w:rPr>
        <w:t>sur la</w:t>
      </w:r>
      <w:r>
        <w:rPr>
          <w:spacing w:val="12"/>
          <w:sz w:val="24"/>
        </w:rPr>
        <w:t> </w:t>
      </w:r>
      <w:r>
        <w:rPr>
          <w:sz w:val="24"/>
        </w:rPr>
        <w:t>période</w:t>
      </w:r>
      <w:r>
        <w:rPr>
          <w:spacing w:val="12"/>
          <w:sz w:val="24"/>
        </w:rPr>
        <w:t> </w:t>
      </w:r>
      <w:r>
        <w:rPr>
          <w:sz w:val="24"/>
        </w:rPr>
        <w:t>de</w:t>
      </w:r>
      <w:r>
        <w:rPr>
          <w:spacing w:val="12"/>
          <w:sz w:val="24"/>
        </w:rPr>
        <w:t> </w:t>
      </w:r>
      <w:r>
        <w:rPr>
          <w:sz w:val="24"/>
        </w:rPr>
        <w:t>2024</w:t>
      </w:r>
      <w:r>
        <w:rPr>
          <w:spacing w:val="12"/>
          <w:sz w:val="24"/>
        </w:rPr>
        <w:t> </w:t>
      </w:r>
      <w:r>
        <w:rPr>
          <w:sz w:val="24"/>
        </w:rPr>
        <w:t>à</w:t>
      </w:r>
      <w:r>
        <w:rPr>
          <w:spacing w:val="12"/>
          <w:sz w:val="24"/>
        </w:rPr>
        <w:t> </w:t>
      </w:r>
      <w:r>
        <w:rPr>
          <w:sz w:val="24"/>
        </w:rPr>
        <w:t>2033</w:t>
      </w:r>
      <w:r>
        <w:rPr>
          <w:spacing w:val="14"/>
          <w:sz w:val="24"/>
        </w:rPr>
        <w:t> </w:t>
      </w:r>
      <w:r>
        <w:rPr>
          <w:sz w:val="24"/>
        </w:rPr>
        <w:t>contre</w:t>
      </w:r>
      <w:r>
        <w:rPr>
          <w:spacing w:val="14"/>
          <w:sz w:val="24"/>
        </w:rPr>
        <w:t> </w:t>
      </w:r>
      <w:r>
        <w:rPr>
          <w:sz w:val="24"/>
        </w:rPr>
        <w:t>une</w:t>
      </w:r>
      <w:r>
        <w:rPr>
          <w:spacing w:val="12"/>
          <w:sz w:val="24"/>
        </w:rPr>
        <w:t> </w:t>
      </w:r>
      <w:r>
        <w:rPr>
          <w:sz w:val="24"/>
        </w:rPr>
        <w:t>moyenne de</w:t>
      </w:r>
      <w:r>
        <w:rPr>
          <w:spacing w:val="21"/>
          <w:sz w:val="24"/>
        </w:rPr>
        <w:t> </w:t>
      </w:r>
      <w:r>
        <w:rPr>
          <w:sz w:val="24"/>
        </w:rPr>
        <w:t>-334,6 milliards</w:t>
      </w:r>
      <w:r>
        <w:rPr>
          <w:spacing w:val="14"/>
          <w:sz w:val="24"/>
        </w:rPr>
        <w:t> </w:t>
      </w:r>
      <w:r>
        <w:rPr>
          <w:sz w:val="24"/>
        </w:rPr>
        <w:t>de</w:t>
      </w:r>
      <w:r>
        <w:rPr>
          <w:spacing w:val="14"/>
          <w:sz w:val="24"/>
        </w:rPr>
        <w:t> </w:t>
      </w:r>
      <w:r>
        <w:rPr>
          <w:sz w:val="24"/>
        </w:rPr>
        <w:t>FCFA</w:t>
      </w:r>
    </w:p>
    <w:p>
      <w:pPr>
        <w:pStyle w:val="ListParagraph"/>
        <w:spacing w:after="0" w:line="240" w:lineRule="auto"/>
        <w:jc w:val="both"/>
        <w:rPr>
          <w:sz w:val="24"/>
        </w:rPr>
        <w:sectPr>
          <w:pgSz w:w="11910" w:h="16840"/>
          <w:pgMar w:header="0" w:footer="680" w:top="1320" w:bottom="960" w:left="283" w:right="141"/>
        </w:sectPr>
      </w:pPr>
    </w:p>
    <w:p>
      <w:pPr>
        <w:pStyle w:val="BodyText"/>
        <w:spacing w:before="78"/>
        <w:ind w:right="1139" w:firstLine="0"/>
      </w:pPr>
      <w:r>
        <w:rPr/>
        <w:t>dans le scénario à politique inchangée. Cette amélioration du solde global serait en relation avec</w:t>
      </w:r>
      <w:r>
        <w:rPr>
          <w:spacing w:val="40"/>
        </w:rPr>
        <w:t> </w:t>
      </w:r>
      <w:r>
        <w:rPr/>
        <w:t>celle du solde des transactions courantes due à une meilleure structuration de l’économie et de la situation des avoirs et des engagements extérieurs des institutions.</w:t>
      </w:r>
    </w:p>
    <w:p>
      <w:pPr>
        <w:pStyle w:val="Heading3"/>
        <w:numPr>
          <w:ilvl w:val="2"/>
          <w:numId w:val="10"/>
        </w:numPr>
        <w:tabs>
          <w:tab w:pos="1678" w:val="left" w:leader="none"/>
        </w:tabs>
        <w:spacing w:line="240" w:lineRule="auto" w:before="185" w:after="0"/>
        <w:ind w:left="1678" w:right="0" w:hanging="545"/>
        <w:jc w:val="left"/>
        <w:rPr>
          <w:color w:val="006FC0"/>
        </w:rPr>
      </w:pPr>
      <w:bookmarkStart w:name="_bookmark27" w:id="28"/>
      <w:bookmarkEnd w:id="28"/>
      <w:r>
        <w:rPr>
          <w:b w:val="0"/>
        </w:rPr>
      </w:r>
      <w:r>
        <w:rPr>
          <w:color w:val="006FC0"/>
        </w:rPr>
        <w:t>Cadrage</w:t>
      </w:r>
      <w:r>
        <w:rPr>
          <w:color w:val="006FC0"/>
          <w:spacing w:val="-3"/>
        </w:rPr>
        <w:t> </w:t>
      </w:r>
      <w:r>
        <w:rPr>
          <w:color w:val="006FC0"/>
          <w:spacing w:val="-2"/>
        </w:rPr>
        <w:t>budgétaire</w:t>
      </w:r>
    </w:p>
    <w:p>
      <w:pPr>
        <w:pStyle w:val="ListParagraph"/>
        <w:numPr>
          <w:ilvl w:val="1"/>
          <w:numId w:val="1"/>
        </w:numPr>
        <w:tabs>
          <w:tab w:pos="1493" w:val="left" w:leader="none"/>
          <w:tab w:pos="1837" w:val="left" w:leader="none"/>
        </w:tabs>
        <w:spacing w:line="240" w:lineRule="auto" w:before="183" w:after="0"/>
        <w:ind w:left="1493" w:right="1134" w:hanging="360"/>
        <w:jc w:val="both"/>
        <w:rPr>
          <w:sz w:val="24"/>
        </w:rPr>
      </w:pPr>
      <w:r>
        <w:rPr>
          <w:sz w:val="24"/>
        </w:rPr>
        <w:t>Le</w:t>
      </w:r>
      <w:r>
        <w:rPr>
          <w:spacing w:val="40"/>
          <w:sz w:val="24"/>
        </w:rPr>
        <w:t> </w:t>
      </w:r>
      <w:r>
        <w:rPr>
          <w:sz w:val="24"/>
        </w:rPr>
        <w:t>cadrage budgétaire 2024-2033</w:t>
      </w:r>
      <w:r>
        <w:rPr>
          <w:spacing w:val="40"/>
          <w:sz w:val="24"/>
        </w:rPr>
        <w:t> </w:t>
      </w:r>
      <w:r>
        <w:rPr>
          <w:sz w:val="24"/>
        </w:rPr>
        <w:t>de</w:t>
      </w:r>
      <w:r>
        <w:rPr>
          <w:spacing w:val="40"/>
          <w:sz w:val="24"/>
        </w:rPr>
        <w:t> </w:t>
      </w:r>
      <w:r>
        <w:rPr>
          <w:sz w:val="24"/>
        </w:rPr>
        <w:t>la</w:t>
      </w:r>
      <w:r>
        <w:rPr>
          <w:spacing w:val="40"/>
          <w:sz w:val="24"/>
        </w:rPr>
        <w:t> </w:t>
      </w:r>
      <w:r>
        <w:rPr>
          <w:sz w:val="24"/>
        </w:rPr>
        <w:t>Stratégie</w:t>
      </w:r>
      <w:r>
        <w:rPr>
          <w:spacing w:val="40"/>
          <w:sz w:val="24"/>
        </w:rPr>
        <w:t> </w:t>
      </w:r>
      <w:r>
        <w:rPr>
          <w:sz w:val="24"/>
        </w:rPr>
        <w:t>Nationale</w:t>
      </w:r>
      <w:r>
        <w:rPr>
          <w:spacing w:val="40"/>
          <w:sz w:val="24"/>
        </w:rPr>
        <w:t> </w:t>
      </w:r>
      <w:r>
        <w:rPr>
          <w:sz w:val="24"/>
        </w:rPr>
        <w:t>pour</w:t>
      </w:r>
      <w:r>
        <w:rPr>
          <w:spacing w:val="40"/>
          <w:sz w:val="24"/>
        </w:rPr>
        <w:t> </w:t>
      </w:r>
      <w:r>
        <w:rPr>
          <w:sz w:val="24"/>
        </w:rPr>
        <w:t>l’Emergence</w:t>
      </w:r>
      <w:r>
        <w:rPr>
          <w:spacing w:val="40"/>
          <w:sz w:val="24"/>
        </w:rPr>
        <w:t> </w:t>
      </w:r>
      <w:r>
        <w:rPr>
          <w:sz w:val="24"/>
        </w:rPr>
        <w:t>et</w:t>
      </w:r>
      <w:r>
        <w:rPr>
          <w:spacing w:val="40"/>
          <w:sz w:val="24"/>
        </w:rPr>
        <w:t> </w:t>
      </w:r>
      <w:r>
        <w:rPr>
          <w:sz w:val="24"/>
        </w:rPr>
        <w:t>le Développement Durable (SNEDD 2024-2033) se base sur le cadrage macroéconomique élaboré par le Comité de Prévision et de Modélisation (CPM).</w:t>
      </w:r>
    </w:p>
    <w:p>
      <w:pPr>
        <w:pStyle w:val="ListParagraph"/>
        <w:numPr>
          <w:ilvl w:val="1"/>
          <w:numId w:val="1"/>
        </w:numPr>
        <w:tabs>
          <w:tab w:pos="1493" w:val="left" w:leader="none"/>
          <w:tab w:pos="1837" w:val="left" w:leader="none"/>
        </w:tabs>
        <w:spacing w:line="240" w:lineRule="auto" w:before="184" w:after="0"/>
        <w:ind w:left="1493" w:right="1136" w:hanging="360"/>
        <w:jc w:val="both"/>
        <w:rPr>
          <w:sz w:val="24"/>
        </w:rPr>
      </w:pPr>
      <w:r>
        <w:rPr>
          <w:sz w:val="24"/>
        </w:rPr>
        <w:t>Le scénario optimiste constitue le scénario central pour le cadrage budgétaire. A ce titre, les</w:t>
      </w:r>
      <w:r>
        <w:rPr>
          <w:spacing w:val="80"/>
          <w:sz w:val="24"/>
        </w:rPr>
        <w:t> </w:t>
      </w:r>
      <w:r>
        <w:rPr>
          <w:sz w:val="24"/>
        </w:rPr>
        <w:t>réformes et actions qui seront proposées s’inscriront dans le cadre de l’opérationnalisation de ce scénario. Toutefois, les prévisions du scénario tendanciel seront aussi mises en exergue et serviront de scénario alternatif au regard des contraintes éventuelles qui pourraient surgir sur les plans économique, politique, social, environnemental, entre autres.</w:t>
      </w:r>
    </w:p>
    <w:p>
      <w:pPr>
        <w:pStyle w:val="ListParagraph"/>
        <w:numPr>
          <w:ilvl w:val="1"/>
          <w:numId w:val="1"/>
        </w:numPr>
        <w:tabs>
          <w:tab w:pos="1493" w:val="left" w:leader="none"/>
          <w:tab w:pos="1837" w:val="left" w:leader="none"/>
        </w:tabs>
        <w:spacing w:line="240" w:lineRule="auto" w:before="184" w:after="0"/>
        <w:ind w:left="1493" w:right="1128" w:hanging="360"/>
        <w:jc w:val="both"/>
        <w:rPr>
          <w:sz w:val="24"/>
        </w:rPr>
      </w:pPr>
      <w:r>
        <w:rPr>
          <w:sz w:val="24"/>
        </w:rPr>
        <w:t>Le</w:t>
      </w:r>
      <w:r>
        <w:rPr>
          <w:spacing w:val="40"/>
          <w:sz w:val="24"/>
        </w:rPr>
        <w:t> </w:t>
      </w:r>
      <w:r>
        <w:rPr>
          <w:sz w:val="24"/>
        </w:rPr>
        <w:t>coût</w:t>
      </w:r>
      <w:r>
        <w:rPr>
          <w:spacing w:val="40"/>
          <w:sz w:val="24"/>
        </w:rPr>
        <w:t> </w:t>
      </w:r>
      <w:r>
        <w:rPr>
          <w:sz w:val="24"/>
        </w:rPr>
        <w:t>global</w:t>
      </w:r>
      <w:r>
        <w:rPr>
          <w:spacing w:val="40"/>
          <w:sz w:val="24"/>
        </w:rPr>
        <w:t> </w:t>
      </w:r>
      <w:r>
        <w:rPr>
          <w:sz w:val="24"/>
        </w:rPr>
        <w:t>de</w:t>
      </w:r>
      <w:r>
        <w:rPr>
          <w:spacing w:val="40"/>
          <w:sz w:val="24"/>
        </w:rPr>
        <w:t> </w:t>
      </w:r>
      <w:r>
        <w:rPr>
          <w:sz w:val="24"/>
        </w:rPr>
        <w:t>la</w:t>
      </w:r>
      <w:r>
        <w:rPr>
          <w:spacing w:val="40"/>
          <w:sz w:val="24"/>
        </w:rPr>
        <w:t> </w:t>
      </w:r>
      <w:r>
        <w:rPr>
          <w:sz w:val="24"/>
        </w:rPr>
        <w:t>mise</w:t>
      </w:r>
      <w:r>
        <w:rPr>
          <w:spacing w:val="40"/>
          <w:sz w:val="24"/>
        </w:rPr>
        <w:t> </w:t>
      </w:r>
      <w:r>
        <w:rPr>
          <w:sz w:val="24"/>
        </w:rPr>
        <w:t>en</w:t>
      </w:r>
      <w:r>
        <w:rPr>
          <w:spacing w:val="40"/>
          <w:sz w:val="24"/>
        </w:rPr>
        <w:t> </w:t>
      </w:r>
      <w:r>
        <w:rPr>
          <w:sz w:val="24"/>
        </w:rPr>
        <w:t>œuvre</w:t>
      </w:r>
      <w:r>
        <w:rPr>
          <w:spacing w:val="40"/>
          <w:sz w:val="24"/>
        </w:rPr>
        <w:t> </w:t>
      </w:r>
      <w:r>
        <w:rPr>
          <w:sz w:val="24"/>
        </w:rPr>
        <w:t>de</w:t>
      </w:r>
      <w:r>
        <w:rPr>
          <w:spacing w:val="40"/>
          <w:sz w:val="24"/>
        </w:rPr>
        <w:t> </w:t>
      </w:r>
      <w:r>
        <w:rPr>
          <w:sz w:val="24"/>
        </w:rPr>
        <w:t>la</w:t>
      </w:r>
      <w:r>
        <w:rPr>
          <w:spacing w:val="40"/>
          <w:sz w:val="24"/>
        </w:rPr>
        <w:t> </w:t>
      </w:r>
      <w:r>
        <w:rPr>
          <w:sz w:val="24"/>
        </w:rPr>
        <w:t>Stratégie</w:t>
      </w:r>
      <w:r>
        <w:rPr>
          <w:spacing w:val="40"/>
          <w:sz w:val="24"/>
        </w:rPr>
        <w:t> </w:t>
      </w:r>
      <w:r>
        <w:rPr>
          <w:sz w:val="24"/>
        </w:rPr>
        <w:t>Nationale</w:t>
      </w:r>
      <w:r>
        <w:rPr>
          <w:spacing w:val="40"/>
          <w:sz w:val="24"/>
        </w:rPr>
        <w:t> </w:t>
      </w:r>
      <w:r>
        <w:rPr>
          <w:sz w:val="24"/>
        </w:rPr>
        <w:t>pour</w:t>
      </w:r>
      <w:r>
        <w:rPr>
          <w:spacing w:val="40"/>
          <w:sz w:val="24"/>
        </w:rPr>
        <w:t> </w:t>
      </w:r>
      <w:r>
        <w:rPr>
          <w:sz w:val="24"/>
        </w:rPr>
        <w:t>l’Emergence</w:t>
      </w:r>
      <w:r>
        <w:rPr>
          <w:spacing w:val="40"/>
          <w:sz w:val="24"/>
        </w:rPr>
        <w:t> </w:t>
      </w:r>
      <w:r>
        <w:rPr>
          <w:sz w:val="24"/>
        </w:rPr>
        <w:t>et</w:t>
      </w:r>
      <w:r>
        <w:rPr>
          <w:spacing w:val="40"/>
          <w:sz w:val="24"/>
        </w:rPr>
        <w:t> </w:t>
      </w:r>
      <w:r>
        <w:rPr>
          <w:sz w:val="24"/>
        </w:rPr>
        <w:t>le Développement (SNEDD 2024-2033) s’élèverait </w:t>
      </w:r>
      <w:r>
        <w:rPr>
          <w:b/>
          <w:sz w:val="24"/>
        </w:rPr>
        <w:t>à 42 095,3 milliards de FCFA </w:t>
      </w:r>
      <w:r>
        <w:rPr>
          <w:sz w:val="24"/>
        </w:rPr>
        <w:t>sur la période 2024- 2033, hors intérêts de la dette publique, pour le scénario tendanciel, soit une moyenne de 4 209,5 milliards de FCFA par an. S’agissant du scénario optimiste, il afficherait un montant global </w:t>
      </w:r>
      <w:r>
        <w:rPr>
          <w:b/>
          <w:sz w:val="24"/>
        </w:rPr>
        <w:t>de 61 232,1 milliards de FCFA, </w:t>
      </w:r>
      <w:r>
        <w:rPr>
          <w:sz w:val="24"/>
        </w:rPr>
        <w:t>soit un coût moyen par an de 6 123,3 milliards de FCFA sur la même période.</w:t>
      </w:r>
      <w:r>
        <w:rPr>
          <w:spacing w:val="-2"/>
          <w:sz w:val="24"/>
        </w:rPr>
        <w:t> </w:t>
      </w:r>
      <w:r>
        <w:rPr>
          <w:sz w:val="24"/>
        </w:rPr>
        <w:t>Ce</w:t>
      </w:r>
      <w:r>
        <w:rPr>
          <w:spacing w:val="-2"/>
          <w:sz w:val="24"/>
        </w:rPr>
        <w:t> </w:t>
      </w:r>
      <w:r>
        <w:rPr>
          <w:sz w:val="24"/>
        </w:rPr>
        <w:t>scénario</w:t>
      </w:r>
      <w:r>
        <w:rPr>
          <w:spacing w:val="-2"/>
          <w:sz w:val="24"/>
        </w:rPr>
        <w:t> </w:t>
      </w:r>
      <w:r>
        <w:rPr>
          <w:sz w:val="24"/>
        </w:rPr>
        <w:t>prévoit</w:t>
      </w:r>
      <w:r>
        <w:rPr>
          <w:spacing w:val="-2"/>
          <w:sz w:val="24"/>
        </w:rPr>
        <w:t> </w:t>
      </w:r>
      <w:r>
        <w:rPr>
          <w:sz w:val="24"/>
        </w:rPr>
        <w:t>une</w:t>
      </w:r>
      <w:r>
        <w:rPr>
          <w:spacing w:val="-2"/>
          <w:sz w:val="24"/>
        </w:rPr>
        <w:t> </w:t>
      </w:r>
      <w:r>
        <w:rPr>
          <w:sz w:val="24"/>
        </w:rPr>
        <w:t>mobilisation</w:t>
      </w:r>
      <w:r>
        <w:rPr>
          <w:spacing w:val="-2"/>
          <w:sz w:val="24"/>
        </w:rPr>
        <w:t> </w:t>
      </w:r>
      <w:r>
        <w:rPr>
          <w:sz w:val="24"/>
        </w:rPr>
        <w:t>de</w:t>
      </w:r>
      <w:r>
        <w:rPr>
          <w:spacing w:val="-2"/>
          <w:sz w:val="24"/>
        </w:rPr>
        <w:t> </w:t>
      </w:r>
      <w:r>
        <w:rPr>
          <w:sz w:val="24"/>
        </w:rPr>
        <w:t>ressources</w:t>
      </w:r>
      <w:r>
        <w:rPr>
          <w:spacing w:val="-2"/>
          <w:sz w:val="24"/>
        </w:rPr>
        <w:t> </w:t>
      </w:r>
      <w:r>
        <w:rPr>
          <w:sz w:val="24"/>
        </w:rPr>
        <w:t>supplémentaires</w:t>
      </w:r>
      <w:r>
        <w:rPr>
          <w:spacing w:val="-2"/>
          <w:sz w:val="24"/>
        </w:rPr>
        <w:t> </w:t>
      </w:r>
      <w:r>
        <w:rPr>
          <w:sz w:val="24"/>
        </w:rPr>
        <w:t>hors</w:t>
      </w:r>
      <w:r>
        <w:rPr>
          <w:spacing w:val="-3"/>
          <w:sz w:val="24"/>
        </w:rPr>
        <w:t> </w:t>
      </w:r>
      <w:r>
        <w:rPr>
          <w:sz w:val="24"/>
        </w:rPr>
        <w:t>intérêts</w:t>
      </w:r>
      <w:r>
        <w:rPr>
          <w:spacing w:val="-3"/>
          <w:sz w:val="24"/>
        </w:rPr>
        <w:t> </w:t>
      </w:r>
      <w:r>
        <w:rPr>
          <w:sz w:val="24"/>
        </w:rPr>
        <w:t>de</w:t>
      </w:r>
      <w:r>
        <w:rPr>
          <w:spacing w:val="-2"/>
          <w:sz w:val="24"/>
        </w:rPr>
        <w:t> </w:t>
      </w:r>
      <w:r>
        <w:rPr>
          <w:sz w:val="24"/>
        </w:rPr>
        <w:t>la</w:t>
      </w:r>
      <w:r>
        <w:rPr>
          <w:spacing w:val="-2"/>
          <w:sz w:val="24"/>
        </w:rPr>
        <w:t> </w:t>
      </w:r>
      <w:r>
        <w:rPr>
          <w:sz w:val="24"/>
        </w:rPr>
        <w:t>dette publique de 1 913,8 milliards de FCFA en moyenne sur la période 2024-2033.</w:t>
      </w:r>
    </w:p>
    <w:p>
      <w:pPr>
        <w:pStyle w:val="ListParagraph"/>
        <w:numPr>
          <w:ilvl w:val="1"/>
          <w:numId w:val="1"/>
        </w:numPr>
        <w:tabs>
          <w:tab w:pos="1493" w:val="left" w:leader="none"/>
          <w:tab w:pos="1837" w:val="left" w:leader="none"/>
        </w:tabs>
        <w:spacing w:line="240" w:lineRule="auto" w:before="184" w:after="0"/>
        <w:ind w:left="1493" w:right="1129" w:hanging="360"/>
        <w:jc w:val="both"/>
        <w:rPr>
          <w:sz w:val="24"/>
        </w:rPr>
      </w:pPr>
      <w:r>
        <w:rPr>
          <w:sz w:val="24"/>
        </w:rPr>
        <w:t>Le</w:t>
      </w:r>
      <w:r>
        <w:rPr>
          <w:spacing w:val="40"/>
          <w:sz w:val="24"/>
        </w:rPr>
        <w:t> </w:t>
      </w:r>
      <w:r>
        <w:rPr>
          <w:sz w:val="24"/>
        </w:rPr>
        <w:t>secteur</w:t>
      </w:r>
      <w:r>
        <w:rPr>
          <w:spacing w:val="40"/>
          <w:sz w:val="24"/>
        </w:rPr>
        <w:t> </w:t>
      </w:r>
      <w:r>
        <w:rPr>
          <w:sz w:val="24"/>
        </w:rPr>
        <w:t>minier</w:t>
      </w:r>
      <w:r>
        <w:rPr>
          <w:spacing w:val="40"/>
          <w:sz w:val="24"/>
        </w:rPr>
        <w:t> </w:t>
      </w:r>
      <w:r>
        <w:rPr>
          <w:sz w:val="24"/>
        </w:rPr>
        <w:t>fournit</w:t>
      </w:r>
      <w:r>
        <w:rPr>
          <w:spacing w:val="40"/>
          <w:sz w:val="24"/>
        </w:rPr>
        <w:t> </w:t>
      </w:r>
      <w:r>
        <w:rPr>
          <w:sz w:val="24"/>
        </w:rPr>
        <w:t>les</w:t>
      </w:r>
      <w:r>
        <w:rPr>
          <w:spacing w:val="40"/>
          <w:sz w:val="24"/>
        </w:rPr>
        <w:t> </w:t>
      </w:r>
      <w:r>
        <w:rPr>
          <w:sz w:val="24"/>
        </w:rPr>
        <w:t>ressources</w:t>
      </w:r>
      <w:r>
        <w:rPr>
          <w:spacing w:val="40"/>
          <w:sz w:val="24"/>
        </w:rPr>
        <w:t> </w:t>
      </w:r>
      <w:r>
        <w:rPr>
          <w:sz w:val="24"/>
        </w:rPr>
        <w:t>nécessaires</w:t>
      </w:r>
      <w:r>
        <w:rPr>
          <w:spacing w:val="40"/>
          <w:sz w:val="24"/>
        </w:rPr>
        <w:t> </w:t>
      </w:r>
      <w:r>
        <w:rPr>
          <w:sz w:val="24"/>
        </w:rPr>
        <w:t>de</w:t>
      </w:r>
      <w:r>
        <w:rPr>
          <w:spacing w:val="40"/>
          <w:sz w:val="24"/>
        </w:rPr>
        <w:t> </w:t>
      </w:r>
      <w:r>
        <w:rPr>
          <w:sz w:val="24"/>
        </w:rPr>
        <w:t>financement</w:t>
      </w:r>
      <w:r>
        <w:rPr>
          <w:spacing w:val="40"/>
          <w:sz w:val="24"/>
        </w:rPr>
        <w:t> </w:t>
      </w:r>
      <w:r>
        <w:rPr>
          <w:sz w:val="24"/>
        </w:rPr>
        <w:t>pour</w:t>
      </w:r>
      <w:r>
        <w:rPr>
          <w:spacing w:val="40"/>
          <w:sz w:val="24"/>
        </w:rPr>
        <w:t> </w:t>
      </w:r>
      <w:r>
        <w:rPr>
          <w:sz w:val="24"/>
        </w:rPr>
        <w:t>l’amorce</w:t>
      </w:r>
      <w:r>
        <w:rPr>
          <w:spacing w:val="40"/>
          <w:sz w:val="24"/>
        </w:rPr>
        <w:t> </w:t>
      </w:r>
      <w:r>
        <w:rPr>
          <w:sz w:val="24"/>
        </w:rPr>
        <w:t>du</w:t>
      </w:r>
      <w:r>
        <w:rPr>
          <w:spacing w:val="40"/>
          <w:sz w:val="24"/>
        </w:rPr>
        <w:t> </w:t>
      </w:r>
      <w:r>
        <w:rPr>
          <w:sz w:val="24"/>
        </w:rPr>
        <w:t>cycle vertueux de la croissance. Les fonds d’investissement générés (plus de 500 milliards de FCFA par an)</w:t>
      </w:r>
      <w:r>
        <w:rPr>
          <w:spacing w:val="-3"/>
          <w:sz w:val="24"/>
        </w:rPr>
        <w:t> </w:t>
      </w:r>
      <w:r>
        <w:rPr>
          <w:sz w:val="24"/>
        </w:rPr>
        <w:t>; les revenus budgétaires supplémentaires générés (plus de 100 milliards de FCFA par an) ; le volume d’affaires généré par la satisfaction locale des besoins miniers (plus de 5000 milliards de FCFA par an) assurent l’essentiel des ressources de fonctionnement couplés au financement Partenariat Public Privé (PPP), aux investissements directs étrangers et au financement des partenaires techniques et financiers.</w:t>
      </w:r>
    </w:p>
    <w:p>
      <w:pPr>
        <w:pStyle w:val="BodyText"/>
        <w:spacing w:before="0"/>
        <w:ind w:left="0" w:firstLine="0"/>
        <w:jc w:val="left"/>
      </w:pPr>
    </w:p>
    <w:p>
      <w:pPr>
        <w:pStyle w:val="Heading3"/>
        <w:spacing w:before="0" w:after="23"/>
        <w:ind w:left="849" w:right="1139"/>
      </w:pPr>
      <w:r>
        <w:rPr/>
        <w:t>Scénario optimiste - Allocations budgétaires suivant les axes de la SNEDD</w:t>
      </w:r>
      <w:r>
        <w:rPr>
          <w:spacing w:val="80"/>
        </w:rPr>
        <w:t> </w:t>
      </w:r>
      <w:r>
        <w:rPr/>
        <w:t>2024-2033 (en milliards de FCFA)</w:t>
      </w:r>
    </w:p>
    <w:tbl>
      <w:tblPr>
        <w:tblW w:w="0" w:type="auto"/>
        <w:jc w:val="lef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36"/>
        <w:gridCol w:w="694"/>
        <w:gridCol w:w="742"/>
        <w:gridCol w:w="851"/>
        <w:gridCol w:w="853"/>
        <w:gridCol w:w="851"/>
        <w:gridCol w:w="779"/>
        <w:gridCol w:w="714"/>
        <w:gridCol w:w="750"/>
        <w:gridCol w:w="755"/>
        <w:gridCol w:w="795"/>
        <w:gridCol w:w="1133"/>
        <w:gridCol w:w="922"/>
      </w:tblGrid>
      <w:tr>
        <w:trPr>
          <w:trHeight w:val="702" w:hRule="atLeast"/>
        </w:trPr>
        <w:tc>
          <w:tcPr>
            <w:tcW w:w="1436" w:type="dxa"/>
            <w:shd w:val="clear" w:color="auto" w:fill="92CDDC"/>
          </w:tcPr>
          <w:p>
            <w:pPr>
              <w:pStyle w:val="TableParagraph"/>
              <w:spacing w:before="121"/>
              <w:ind w:left="71"/>
              <w:rPr>
                <w:b/>
                <w:sz w:val="20"/>
              </w:rPr>
            </w:pPr>
            <w:r>
              <w:rPr>
                <w:b/>
                <w:spacing w:val="-4"/>
                <w:sz w:val="20"/>
              </w:rPr>
              <w:t>AXES </w:t>
            </w:r>
            <w:r>
              <w:rPr>
                <w:b/>
                <w:spacing w:val="-2"/>
                <w:sz w:val="20"/>
              </w:rPr>
              <w:t>STRATEGIQUES</w:t>
            </w:r>
          </w:p>
        </w:tc>
        <w:tc>
          <w:tcPr>
            <w:tcW w:w="694" w:type="dxa"/>
            <w:shd w:val="clear" w:color="auto" w:fill="92CDDC"/>
          </w:tcPr>
          <w:p>
            <w:pPr>
              <w:pStyle w:val="TableParagraph"/>
              <w:spacing w:before="225"/>
              <w:ind w:left="20"/>
              <w:jc w:val="center"/>
              <w:rPr>
                <w:b/>
                <w:sz w:val="22"/>
              </w:rPr>
            </w:pPr>
            <w:r>
              <w:rPr>
                <w:b/>
                <w:spacing w:val="-4"/>
                <w:sz w:val="22"/>
              </w:rPr>
              <w:t>2024</w:t>
            </w:r>
          </w:p>
        </w:tc>
        <w:tc>
          <w:tcPr>
            <w:tcW w:w="742" w:type="dxa"/>
            <w:shd w:val="clear" w:color="auto" w:fill="92CDDC"/>
          </w:tcPr>
          <w:p>
            <w:pPr>
              <w:pStyle w:val="TableParagraph"/>
              <w:spacing w:before="225"/>
              <w:ind w:left="169"/>
              <w:rPr>
                <w:b/>
                <w:sz w:val="22"/>
              </w:rPr>
            </w:pPr>
            <w:r>
              <w:rPr>
                <w:b/>
                <w:spacing w:val="-4"/>
                <w:sz w:val="22"/>
              </w:rPr>
              <w:t>2025</w:t>
            </w:r>
          </w:p>
        </w:tc>
        <w:tc>
          <w:tcPr>
            <w:tcW w:w="851" w:type="dxa"/>
            <w:shd w:val="clear" w:color="auto" w:fill="92CDDC"/>
          </w:tcPr>
          <w:p>
            <w:pPr>
              <w:pStyle w:val="TableParagraph"/>
              <w:spacing w:before="225"/>
              <w:ind w:right="204"/>
              <w:jc w:val="right"/>
              <w:rPr>
                <w:b/>
                <w:sz w:val="22"/>
              </w:rPr>
            </w:pPr>
            <w:r>
              <w:rPr>
                <w:b/>
                <w:spacing w:val="-4"/>
                <w:sz w:val="22"/>
              </w:rPr>
              <w:t>2026</w:t>
            </w:r>
          </w:p>
        </w:tc>
        <w:tc>
          <w:tcPr>
            <w:tcW w:w="853" w:type="dxa"/>
            <w:shd w:val="clear" w:color="auto" w:fill="92CDDC"/>
          </w:tcPr>
          <w:p>
            <w:pPr>
              <w:pStyle w:val="TableParagraph"/>
              <w:spacing w:before="225"/>
              <w:ind w:left="223"/>
              <w:rPr>
                <w:b/>
                <w:sz w:val="22"/>
              </w:rPr>
            </w:pPr>
            <w:r>
              <w:rPr>
                <w:b/>
                <w:spacing w:val="-4"/>
                <w:sz w:val="22"/>
              </w:rPr>
              <w:t>2027</w:t>
            </w:r>
          </w:p>
        </w:tc>
        <w:tc>
          <w:tcPr>
            <w:tcW w:w="851" w:type="dxa"/>
            <w:shd w:val="clear" w:color="auto" w:fill="92CDDC"/>
          </w:tcPr>
          <w:p>
            <w:pPr>
              <w:pStyle w:val="TableParagraph"/>
              <w:spacing w:before="225"/>
              <w:ind w:left="219"/>
              <w:rPr>
                <w:b/>
                <w:sz w:val="22"/>
              </w:rPr>
            </w:pPr>
            <w:r>
              <w:rPr>
                <w:b/>
                <w:spacing w:val="-4"/>
                <w:sz w:val="22"/>
              </w:rPr>
              <w:t>2028</w:t>
            </w:r>
          </w:p>
        </w:tc>
        <w:tc>
          <w:tcPr>
            <w:tcW w:w="779" w:type="dxa"/>
            <w:shd w:val="clear" w:color="auto" w:fill="92CDDC"/>
          </w:tcPr>
          <w:p>
            <w:pPr>
              <w:pStyle w:val="TableParagraph"/>
              <w:spacing w:before="225"/>
              <w:ind w:left="184"/>
              <w:rPr>
                <w:b/>
                <w:sz w:val="22"/>
              </w:rPr>
            </w:pPr>
            <w:r>
              <w:rPr>
                <w:b/>
                <w:spacing w:val="-4"/>
                <w:sz w:val="22"/>
              </w:rPr>
              <w:t>2029</w:t>
            </w:r>
          </w:p>
        </w:tc>
        <w:tc>
          <w:tcPr>
            <w:tcW w:w="714" w:type="dxa"/>
            <w:shd w:val="clear" w:color="auto" w:fill="92CDDC"/>
          </w:tcPr>
          <w:p>
            <w:pPr>
              <w:pStyle w:val="TableParagraph"/>
              <w:spacing w:before="225"/>
              <w:ind w:left="18" w:right="9"/>
              <w:jc w:val="center"/>
              <w:rPr>
                <w:b/>
                <w:sz w:val="22"/>
              </w:rPr>
            </w:pPr>
            <w:r>
              <w:rPr>
                <w:b/>
                <w:spacing w:val="-4"/>
                <w:sz w:val="22"/>
              </w:rPr>
              <w:t>2030</w:t>
            </w:r>
          </w:p>
        </w:tc>
        <w:tc>
          <w:tcPr>
            <w:tcW w:w="750" w:type="dxa"/>
            <w:shd w:val="clear" w:color="auto" w:fill="92CDDC"/>
          </w:tcPr>
          <w:p>
            <w:pPr>
              <w:pStyle w:val="TableParagraph"/>
              <w:spacing w:before="225"/>
              <w:ind w:right="156"/>
              <w:jc w:val="right"/>
              <w:rPr>
                <w:b/>
                <w:sz w:val="22"/>
              </w:rPr>
            </w:pPr>
            <w:r>
              <w:rPr>
                <w:b/>
                <w:spacing w:val="-4"/>
                <w:sz w:val="22"/>
              </w:rPr>
              <w:t>2031</w:t>
            </w:r>
          </w:p>
        </w:tc>
        <w:tc>
          <w:tcPr>
            <w:tcW w:w="755" w:type="dxa"/>
            <w:shd w:val="clear" w:color="auto" w:fill="92CDDC"/>
          </w:tcPr>
          <w:p>
            <w:pPr>
              <w:pStyle w:val="TableParagraph"/>
              <w:spacing w:before="225"/>
              <w:ind w:right="162"/>
              <w:jc w:val="right"/>
              <w:rPr>
                <w:b/>
                <w:sz w:val="22"/>
              </w:rPr>
            </w:pPr>
            <w:r>
              <w:rPr>
                <w:b/>
                <w:spacing w:val="-4"/>
                <w:sz w:val="22"/>
              </w:rPr>
              <w:t>2032</w:t>
            </w:r>
          </w:p>
        </w:tc>
        <w:tc>
          <w:tcPr>
            <w:tcW w:w="795" w:type="dxa"/>
            <w:shd w:val="clear" w:color="auto" w:fill="92CDDC"/>
          </w:tcPr>
          <w:p>
            <w:pPr>
              <w:pStyle w:val="TableParagraph"/>
              <w:spacing w:before="225"/>
              <w:ind w:left="187"/>
              <w:rPr>
                <w:b/>
                <w:sz w:val="22"/>
              </w:rPr>
            </w:pPr>
            <w:r>
              <w:rPr>
                <w:b/>
                <w:spacing w:val="-4"/>
                <w:sz w:val="22"/>
              </w:rPr>
              <w:t>2033</w:t>
            </w:r>
          </w:p>
        </w:tc>
        <w:tc>
          <w:tcPr>
            <w:tcW w:w="1133" w:type="dxa"/>
            <w:shd w:val="clear" w:color="auto" w:fill="92CDDC"/>
          </w:tcPr>
          <w:p>
            <w:pPr>
              <w:pStyle w:val="TableParagraph"/>
              <w:spacing w:before="100"/>
              <w:ind w:left="60" w:right="187"/>
              <w:rPr>
                <w:b/>
                <w:sz w:val="22"/>
              </w:rPr>
            </w:pPr>
            <w:r>
              <w:rPr>
                <w:b/>
                <w:spacing w:val="-2"/>
                <w:sz w:val="22"/>
              </w:rPr>
              <w:t>Total 2024-</w:t>
            </w:r>
            <w:r>
              <w:rPr>
                <w:b/>
                <w:spacing w:val="-2"/>
                <w:sz w:val="22"/>
              </w:rPr>
              <w:t>2033</w:t>
            </w:r>
          </w:p>
        </w:tc>
        <w:tc>
          <w:tcPr>
            <w:tcW w:w="922" w:type="dxa"/>
            <w:shd w:val="clear" w:color="auto" w:fill="92CDDC"/>
          </w:tcPr>
          <w:p>
            <w:pPr>
              <w:pStyle w:val="TableParagraph"/>
              <w:ind w:left="62" w:right="53"/>
              <w:rPr>
                <w:b/>
                <w:sz w:val="22"/>
              </w:rPr>
            </w:pPr>
            <w:r>
              <w:rPr>
                <w:b/>
                <w:spacing w:val="-2"/>
                <w:sz w:val="22"/>
              </w:rPr>
              <w:t>Moyenne 2024-</w:t>
            </w:r>
          </w:p>
          <w:p>
            <w:pPr>
              <w:pStyle w:val="TableParagraph"/>
              <w:spacing w:line="176" w:lineRule="exact" w:before="1"/>
              <w:ind w:left="62"/>
              <w:rPr>
                <w:b/>
                <w:sz w:val="22"/>
              </w:rPr>
            </w:pPr>
            <w:r>
              <w:rPr>
                <w:b/>
                <w:spacing w:val="-4"/>
                <w:sz w:val="22"/>
              </w:rPr>
              <w:t>2033</w:t>
            </w:r>
          </w:p>
        </w:tc>
      </w:tr>
      <w:tr>
        <w:trPr>
          <w:trHeight w:val="254" w:hRule="atLeast"/>
        </w:trPr>
        <w:tc>
          <w:tcPr>
            <w:tcW w:w="1436" w:type="dxa"/>
          </w:tcPr>
          <w:p>
            <w:pPr>
              <w:pStyle w:val="TableParagraph"/>
              <w:spacing w:line="232" w:lineRule="exact" w:before="2"/>
              <w:ind w:left="71"/>
              <w:rPr>
                <w:b/>
                <w:sz w:val="22"/>
              </w:rPr>
            </w:pPr>
            <w:r>
              <w:rPr>
                <w:b/>
                <w:sz w:val="22"/>
              </w:rPr>
              <w:t>Axe</w:t>
            </w:r>
            <w:r>
              <w:rPr>
                <w:b/>
                <w:spacing w:val="-2"/>
                <w:sz w:val="22"/>
              </w:rPr>
              <w:t> </w:t>
            </w:r>
            <w:r>
              <w:rPr>
                <w:b/>
                <w:sz w:val="22"/>
              </w:rPr>
              <w:t>1</w:t>
            </w:r>
            <w:r>
              <w:rPr>
                <w:b/>
                <w:spacing w:val="-1"/>
                <w:sz w:val="22"/>
              </w:rPr>
              <w:t> </w:t>
            </w:r>
            <w:r>
              <w:rPr>
                <w:b/>
                <w:spacing w:val="-10"/>
                <w:sz w:val="22"/>
              </w:rPr>
              <w:t>:</w:t>
            </w:r>
          </w:p>
        </w:tc>
        <w:tc>
          <w:tcPr>
            <w:tcW w:w="694" w:type="dxa"/>
          </w:tcPr>
          <w:p>
            <w:pPr>
              <w:pStyle w:val="TableParagraph"/>
              <w:spacing w:line="232" w:lineRule="exact" w:before="2"/>
              <w:ind w:left="23"/>
              <w:jc w:val="center"/>
              <w:rPr>
                <w:sz w:val="22"/>
              </w:rPr>
            </w:pPr>
            <w:r>
              <w:rPr>
                <w:spacing w:val="-2"/>
                <w:sz w:val="22"/>
              </w:rPr>
              <w:t>836,8</w:t>
            </w:r>
          </w:p>
        </w:tc>
        <w:tc>
          <w:tcPr>
            <w:tcW w:w="742" w:type="dxa"/>
          </w:tcPr>
          <w:p>
            <w:pPr>
              <w:pStyle w:val="TableParagraph"/>
              <w:spacing w:line="232" w:lineRule="exact" w:before="2"/>
              <w:ind w:left="142"/>
              <w:rPr>
                <w:sz w:val="22"/>
              </w:rPr>
            </w:pPr>
            <w:r>
              <w:rPr>
                <w:spacing w:val="-2"/>
                <w:sz w:val="22"/>
              </w:rPr>
              <w:t>994,1</w:t>
            </w:r>
          </w:p>
        </w:tc>
        <w:tc>
          <w:tcPr>
            <w:tcW w:w="851" w:type="dxa"/>
          </w:tcPr>
          <w:p>
            <w:pPr>
              <w:pStyle w:val="TableParagraph"/>
              <w:spacing w:line="232" w:lineRule="exact" w:before="2"/>
              <w:ind w:left="120"/>
              <w:rPr>
                <w:sz w:val="22"/>
              </w:rPr>
            </w:pPr>
            <w:r>
              <w:rPr>
                <w:sz w:val="22"/>
              </w:rPr>
              <w:t>1 </w:t>
            </w:r>
            <w:r>
              <w:rPr>
                <w:spacing w:val="-2"/>
                <w:sz w:val="22"/>
              </w:rPr>
              <w:t>128,8</w:t>
            </w:r>
          </w:p>
        </w:tc>
        <w:tc>
          <w:tcPr>
            <w:tcW w:w="853" w:type="dxa"/>
          </w:tcPr>
          <w:p>
            <w:pPr>
              <w:pStyle w:val="TableParagraph"/>
              <w:spacing w:line="232" w:lineRule="exact" w:before="2"/>
              <w:ind w:left="122"/>
              <w:rPr>
                <w:sz w:val="22"/>
              </w:rPr>
            </w:pPr>
            <w:r>
              <w:rPr>
                <w:sz w:val="22"/>
              </w:rPr>
              <w:t>1 </w:t>
            </w:r>
            <w:r>
              <w:rPr>
                <w:spacing w:val="-2"/>
                <w:sz w:val="22"/>
              </w:rPr>
              <w:t>224,6</w:t>
            </w:r>
          </w:p>
        </w:tc>
        <w:tc>
          <w:tcPr>
            <w:tcW w:w="851" w:type="dxa"/>
          </w:tcPr>
          <w:p>
            <w:pPr>
              <w:pStyle w:val="TableParagraph"/>
              <w:spacing w:line="232" w:lineRule="exact" w:before="2"/>
              <w:ind w:right="105"/>
              <w:jc w:val="right"/>
              <w:rPr>
                <w:sz w:val="22"/>
              </w:rPr>
            </w:pPr>
            <w:r>
              <w:rPr>
                <w:sz w:val="22"/>
              </w:rPr>
              <w:t>1 </w:t>
            </w:r>
            <w:r>
              <w:rPr>
                <w:spacing w:val="-2"/>
                <w:sz w:val="22"/>
              </w:rPr>
              <w:t>450,0</w:t>
            </w:r>
          </w:p>
        </w:tc>
        <w:tc>
          <w:tcPr>
            <w:tcW w:w="779" w:type="dxa"/>
          </w:tcPr>
          <w:p>
            <w:pPr>
              <w:pStyle w:val="TableParagraph"/>
              <w:spacing w:line="232" w:lineRule="exact" w:before="2"/>
              <w:ind w:left="108"/>
              <w:rPr>
                <w:sz w:val="22"/>
              </w:rPr>
            </w:pPr>
            <w:r>
              <w:rPr>
                <w:spacing w:val="-2"/>
                <w:sz w:val="22"/>
              </w:rPr>
              <w:t>1572,7</w:t>
            </w:r>
          </w:p>
        </w:tc>
        <w:tc>
          <w:tcPr>
            <w:tcW w:w="714" w:type="dxa"/>
          </w:tcPr>
          <w:p>
            <w:pPr>
              <w:pStyle w:val="TableParagraph"/>
              <w:spacing w:line="232" w:lineRule="exact" w:before="2"/>
              <w:ind w:left="16" w:right="9"/>
              <w:jc w:val="center"/>
              <w:rPr>
                <w:sz w:val="22"/>
              </w:rPr>
            </w:pPr>
            <w:r>
              <w:rPr>
                <w:spacing w:val="-2"/>
                <w:sz w:val="22"/>
              </w:rPr>
              <w:t>1674,5</w:t>
            </w:r>
          </w:p>
        </w:tc>
        <w:tc>
          <w:tcPr>
            <w:tcW w:w="750" w:type="dxa"/>
          </w:tcPr>
          <w:p>
            <w:pPr>
              <w:pStyle w:val="TableParagraph"/>
              <w:spacing w:line="232" w:lineRule="exact" w:before="2"/>
              <w:ind w:left="67"/>
              <w:rPr>
                <w:sz w:val="22"/>
              </w:rPr>
            </w:pPr>
            <w:r>
              <w:rPr>
                <w:sz w:val="22"/>
              </w:rPr>
              <w:t>1 </w:t>
            </w:r>
            <w:r>
              <w:rPr>
                <w:spacing w:val="-2"/>
                <w:sz w:val="22"/>
              </w:rPr>
              <w:t>751,9</w:t>
            </w:r>
          </w:p>
        </w:tc>
        <w:tc>
          <w:tcPr>
            <w:tcW w:w="755" w:type="dxa"/>
          </w:tcPr>
          <w:p>
            <w:pPr>
              <w:pStyle w:val="TableParagraph"/>
              <w:spacing w:line="232" w:lineRule="exact" w:before="2"/>
              <w:ind w:left="92"/>
              <w:rPr>
                <w:sz w:val="22"/>
              </w:rPr>
            </w:pPr>
            <w:r>
              <w:rPr>
                <w:spacing w:val="-2"/>
                <w:sz w:val="22"/>
              </w:rPr>
              <w:t>1830,7</w:t>
            </w:r>
          </w:p>
        </w:tc>
        <w:tc>
          <w:tcPr>
            <w:tcW w:w="795" w:type="dxa"/>
          </w:tcPr>
          <w:p>
            <w:pPr>
              <w:pStyle w:val="TableParagraph"/>
              <w:spacing w:line="232" w:lineRule="exact" w:before="2"/>
              <w:ind w:right="105"/>
              <w:jc w:val="right"/>
              <w:rPr>
                <w:sz w:val="22"/>
              </w:rPr>
            </w:pPr>
            <w:r>
              <w:rPr>
                <w:spacing w:val="-2"/>
                <w:sz w:val="22"/>
              </w:rPr>
              <w:t>1889,1</w:t>
            </w:r>
          </w:p>
        </w:tc>
        <w:tc>
          <w:tcPr>
            <w:tcW w:w="1133" w:type="dxa"/>
          </w:tcPr>
          <w:p>
            <w:pPr>
              <w:pStyle w:val="TableParagraph"/>
              <w:spacing w:line="232" w:lineRule="exact" w:before="2"/>
              <w:ind w:left="60"/>
              <w:rPr>
                <w:b/>
                <w:sz w:val="22"/>
              </w:rPr>
            </w:pPr>
            <w:r>
              <w:rPr>
                <w:b/>
                <w:sz w:val="22"/>
              </w:rPr>
              <w:t>14 </w:t>
            </w:r>
            <w:r>
              <w:rPr>
                <w:b/>
                <w:spacing w:val="-2"/>
                <w:sz w:val="22"/>
              </w:rPr>
              <w:t>353,1</w:t>
            </w:r>
          </w:p>
        </w:tc>
        <w:tc>
          <w:tcPr>
            <w:tcW w:w="922" w:type="dxa"/>
          </w:tcPr>
          <w:p>
            <w:pPr>
              <w:pStyle w:val="TableParagraph"/>
              <w:spacing w:line="232" w:lineRule="exact" w:before="2"/>
              <w:ind w:left="62"/>
              <w:rPr>
                <w:b/>
                <w:sz w:val="22"/>
              </w:rPr>
            </w:pPr>
            <w:r>
              <w:rPr>
                <w:b/>
                <w:sz w:val="22"/>
              </w:rPr>
              <w:t>1 </w:t>
            </w:r>
            <w:r>
              <w:rPr>
                <w:b/>
                <w:spacing w:val="-2"/>
                <w:sz w:val="22"/>
              </w:rPr>
              <w:t>435,3</w:t>
            </w:r>
          </w:p>
        </w:tc>
      </w:tr>
      <w:tr>
        <w:trPr>
          <w:trHeight w:val="263" w:hRule="atLeast"/>
        </w:trPr>
        <w:tc>
          <w:tcPr>
            <w:tcW w:w="1436" w:type="dxa"/>
          </w:tcPr>
          <w:p>
            <w:pPr>
              <w:pStyle w:val="TableParagraph"/>
              <w:spacing w:line="239" w:lineRule="exact" w:before="4"/>
              <w:ind w:left="71"/>
              <w:rPr>
                <w:b/>
                <w:sz w:val="22"/>
              </w:rPr>
            </w:pPr>
            <w:r>
              <w:rPr>
                <w:b/>
                <w:sz w:val="22"/>
              </w:rPr>
              <w:t>Axe</w:t>
            </w:r>
            <w:r>
              <w:rPr>
                <w:b/>
                <w:spacing w:val="-2"/>
                <w:sz w:val="22"/>
              </w:rPr>
              <w:t> </w:t>
            </w:r>
            <w:r>
              <w:rPr>
                <w:b/>
                <w:sz w:val="22"/>
              </w:rPr>
              <w:t>2</w:t>
            </w:r>
            <w:r>
              <w:rPr>
                <w:b/>
                <w:spacing w:val="-1"/>
                <w:sz w:val="22"/>
              </w:rPr>
              <w:t> </w:t>
            </w:r>
            <w:r>
              <w:rPr>
                <w:b/>
                <w:spacing w:val="-10"/>
                <w:sz w:val="22"/>
              </w:rPr>
              <w:t>:</w:t>
            </w:r>
          </w:p>
        </w:tc>
        <w:tc>
          <w:tcPr>
            <w:tcW w:w="694" w:type="dxa"/>
          </w:tcPr>
          <w:p>
            <w:pPr>
              <w:pStyle w:val="TableParagraph"/>
              <w:spacing w:line="239" w:lineRule="exact" w:before="4"/>
              <w:ind w:left="23"/>
              <w:jc w:val="center"/>
              <w:rPr>
                <w:sz w:val="22"/>
              </w:rPr>
            </w:pPr>
            <w:r>
              <w:rPr>
                <w:spacing w:val="-2"/>
                <w:sz w:val="22"/>
              </w:rPr>
              <w:t>632,6</w:t>
            </w:r>
          </w:p>
        </w:tc>
        <w:tc>
          <w:tcPr>
            <w:tcW w:w="742" w:type="dxa"/>
          </w:tcPr>
          <w:p>
            <w:pPr>
              <w:pStyle w:val="TableParagraph"/>
              <w:spacing w:line="239" w:lineRule="exact" w:before="4"/>
              <w:ind w:left="142"/>
              <w:rPr>
                <w:sz w:val="22"/>
              </w:rPr>
            </w:pPr>
            <w:r>
              <w:rPr>
                <w:spacing w:val="-2"/>
                <w:sz w:val="22"/>
              </w:rPr>
              <w:t>636,2</w:t>
            </w:r>
          </w:p>
        </w:tc>
        <w:tc>
          <w:tcPr>
            <w:tcW w:w="851" w:type="dxa"/>
          </w:tcPr>
          <w:p>
            <w:pPr>
              <w:pStyle w:val="TableParagraph"/>
              <w:spacing w:line="239" w:lineRule="exact" w:before="4"/>
              <w:ind w:right="177"/>
              <w:jc w:val="right"/>
              <w:rPr>
                <w:sz w:val="22"/>
              </w:rPr>
            </w:pPr>
            <w:r>
              <w:rPr>
                <w:spacing w:val="-2"/>
                <w:sz w:val="22"/>
              </w:rPr>
              <w:t>706,5</w:t>
            </w:r>
          </w:p>
        </w:tc>
        <w:tc>
          <w:tcPr>
            <w:tcW w:w="853" w:type="dxa"/>
          </w:tcPr>
          <w:p>
            <w:pPr>
              <w:pStyle w:val="TableParagraph"/>
              <w:spacing w:line="239" w:lineRule="exact" w:before="4"/>
              <w:ind w:left="199"/>
              <w:rPr>
                <w:sz w:val="22"/>
              </w:rPr>
            </w:pPr>
            <w:r>
              <w:rPr>
                <w:spacing w:val="-2"/>
                <w:sz w:val="22"/>
              </w:rPr>
              <w:t>769,6</w:t>
            </w:r>
          </w:p>
        </w:tc>
        <w:tc>
          <w:tcPr>
            <w:tcW w:w="851" w:type="dxa"/>
          </w:tcPr>
          <w:p>
            <w:pPr>
              <w:pStyle w:val="TableParagraph"/>
              <w:spacing w:line="239" w:lineRule="exact" w:before="4"/>
              <w:ind w:left="195"/>
              <w:rPr>
                <w:sz w:val="22"/>
              </w:rPr>
            </w:pPr>
            <w:r>
              <w:rPr>
                <w:spacing w:val="-2"/>
                <w:sz w:val="22"/>
              </w:rPr>
              <w:t>904,4</w:t>
            </w:r>
          </w:p>
        </w:tc>
        <w:tc>
          <w:tcPr>
            <w:tcW w:w="779" w:type="dxa"/>
          </w:tcPr>
          <w:p>
            <w:pPr>
              <w:pStyle w:val="TableParagraph"/>
              <w:spacing w:line="239" w:lineRule="exact" w:before="4"/>
              <w:ind w:left="84"/>
              <w:rPr>
                <w:sz w:val="22"/>
              </w:rPr>
            </w:pPr>
            <w:r>
              <w:rPr>
                <w:sz w:val="22"/>
              </w:rPr>
              <w:t>1 </w:t>
            </w:r>
            <w:r>
              <w:rPr>
                <w:spacing w:val="-2"/>
                <w:sz w:val="22"/>
              </w:rPr>
              <w:t>012,4</w:t>
            </w:r>
          </w:p>
        </w:tc>
        <w:tc>
          <w:tcPr>
            <w:tcW w:w="714" w:type="dxa"/>
          </w:tcPr>
          <w:p>
            <w:pPr>
              <w:pStyle w:val="TableParagraph"/>
              <w:spacing w:line="239" w:lineRule="exact" w:before="4"/>
              <w:ind w:left="16" w:right="9"/>
              <w:jc w:val="center"/>
              <w:rPr>
                <w:sz w:val="22"/>
              </w:rPr>
            </w:pPr>
            <w:r>
              <w:rPr>
                <w:spacing w:val="-2"/>
                <w:sz w:val="22"/>
              </w:rPr>
              <w:t>1121,3</w:t>
            </w:r>
          </w:p>
        </w:tc>
        <w:tc>
          <w:tcPr>
            <w:tcW w:w="750" w:type="dxa"/>
          </w:tcPr>
          <w:p>
            <w:pPr>
              <w:pStyle w:val="TableParagraph"/>
              <w:spacing w:line="239" w:lineRule="exact" w:before="4"/>
              <w:ind w:left="67"/>
              <w:rPr>
                <w:sz w:val="22"/>
              </w:rPr>
            </w:pPr>
            <w:r>
              <w:rPr>
                <w:sz w:val="22"/>
              </w:rPr>
              <w:t>1 </w:t>
            </w:r>
            <w:r>
              <w:rPr>
                <w:spacing w:val="-2"/>
                <w:sz w:val="22"/>
              </w:rPr>
              <w:t>215,5</w:t>
            </w:r>
          </w:p>
        </w:tc>
        <w:tc>
          <w:tcPr>
            <w:tcW w:w="755" w:type="dxa"/>
          </w:tcPr>
          <w:p>
            <w:pPr>
              <w:pStyle w:val="TableParagraph"/>
              <w:spacing w:line="239" w:lineRule="exact" w:before="4"/>
              <w:ind w:left="92"/>
              <w:rPr>
                <w:sz w:val="22"/>
              </w:rPr>
            </w:pPr>
            <w:r>
              <w:rPr>
                <w:spacing w:val="-2"/>
                <w:sz w:val="22"/>
              </w:rPr>
              <w:t>1328,7</w:t>
            </w:r>
          </w:p>
        </w:tc>
        <w:tc>
          <w:tcPr>
            <w:tcW w:w="795" w:type="dxa"/>
          </w:tcPr>
          <w:p>
            <w:pPr>
              <w:pStyle w:val="TableParagraph"/>
              <w:spacing w:line="239" w:lineRule="exact" w:before="4"/>
              <w:ind w:right="105"/>
              <w:jc w:val="right"/>
              <w:rPr>
                <w:sz w:val="22"/>
              </w:rPr>
            </w:pPr>
            <w:r>
              <w:rPr>
                <w:spacing w:val="-2"/>
                <w:sz w:val="22"/>
              </w:rPr>
              <w:t>1435,3</w:t>
            </w:r>
          </w:p>
        </w:tc>
        <w:tc>
          <w:tcPr>
            <w:tcW w:w="1133" w:type="dxa"/>
          </w:tcPr>
          <w:p>
            <w:pPr>
              <w:pStyle w:val="TableParagraph"/>
              <w:spacing w:line="239" w:lineRule="exact" w:before="4"/>
              <w:ind w:left="60"/>
              <w:rPr>
                <w:b/>
                <w:sz w:val="22"/>
              </w:rPr>
            </w:pPr>
            <w:r>
              <w:rPr>
                <w:b/>
                <w:sz w:val="22"/>
              </w:rPr>
              <w:t>9 </w:t>
            </w:r>
            <w:r>
              <w:rPr>
                <w:b/>
                <w:spacing w:val="-2"/>
                <w:sz w:val="22"/>
              </w:rPr>
              <w:t>762,4</w:t>
            </w:r>
          </w:p>
        </w:tc>
        <w:tc>
          <w:tcPr>
            <w:tcW w:w="922" w:type="dxa"/>
          </w:tcPr>
          <w:p>
            <w:pPr>
              <w:pStyle w:val="TableParagraph"/>
              <w:spacing w:line="239" w:lineRule="exact" w:before="4"/>
              <w:ind w:left="62"/>
              <w:rPr>
                <w:b/>
                <w:sz w:val="22"/>
              </w:rPr>
            </w:pPr>
            <w:r>
              <w:rPr>
                <w:b/>
                <w:spacing w:val="-2"/>
                <w:sz w:val="22"/>
              </w:rPr>
              <w:t>976,2</w:t>
            </w:r>
          </w:p>
        </w:tc>
      </w:tr>
      <w:tr>
        <w:trPr>
          <w:trHeight w:val="263" w:hRule="atLeast"/>
        </w:trPr>
        <w:tc>
          <w:tcPr>
            <w:tcW w:w="1436" w:type="dxa"/>
          </w:tcPr>
          <w:p>
            <w:pPr>
              <w:pStyle w:val="TableParagraph"/>
              <w:spacing w:line="239" w:lineRule="exact" w:before="4"/>
              <w:ind w:left="71"/>
              <w:rPr>
                <w:b/>
                <w:sz w:val="22"/>
              </w:rPr>
            </w:pPr>
            <w:r>
              <w:rPr>
                <w:b/>
                <w:sz w:val="22"/>
              </w:rPr>
              <w:t>Axe</w:t>
            </w:r>
            <w:r>
              <w:rPr>
                <w:b/>
                <w:spacing w:val="-2"/>
                <w:sz w:val="22"/>
              </w:rPr>
              <w:t> </w:t>
            </w:r>
            <w:r>
              <w:rPr>
                <w:b/>
                <w:sz w:val="22"/>
              </w:rPr>
              <w:t>3</w:t>
            </w:r>
            <w:r>
              <w:rPr>
                <w:b/>
                <w:spacing w:val="-1"/>
                <w:sz w:val="22"/>
              </w:rPr>
              <w:t> </w:t>
            </w:r>
            <w:r>
              <w:rPr>
                <w:b/>
                <w:spacing w:val="-10"/>
                <w:sz w:val="22"/>
              </w:rPr>
              <w:t>:</w:t>
            </w:r>
          </w:p>
        </w:tc>
        <w:tc>
          <w:tcPr>
            <w:tcW w:w="694" w:type="dxa"/>
          </w:tcPr>
          <w:p>
            <w:pPr>
              <w:pStyle w:val="TableParagraph"/>
              <w:spacing w:line="239" w:lineRule="exact" w:before="4"/>
              <w:ind w:left="23"/>
              <w:jc w:val="center"/>
              <w:rPr>
                <w:sz w:val="22"/>
              </w:rPr>
            </w:pPr>
            <w:r>
              <w:rPr>
                <w:spacing w:val="-2"/>
                <w:sz w:val="22"/>
              </w:rPr>
              <w:t>467,3</w:t>
            </w:r>
          </w:p>
        </w:tc>
        <w:tc>
          <w:tcPr>
            <w:tcW w:w="742" w:type="dxa"/>
          </w:tcPr>
          <w:p>
            <w:pPr>
              <w:pStyle w:val="TableParagraph"/>
              <w:spacing w:line="239" w:lineRule="exact" w:before="4"/>
              <w:ind w:left="142"/>
              <w:rPr>
                <w:sz w:val="22"/>
              </w:rPr>
            </w:pPr>
            <w:r>
              <w:rPr>
                <w:spacing w:val="-2"/>
                <w:sz w:val="22"/>
              </w:rPr>
              <w:t>620,6</w:t>
            </w:r>
          </w:p>
        </w:tc>
        <w:tc>
          <w:tcPr>
            <w:tcW w:w="851" w:type="dxa"/>
          </w:tcPr>
          <w:p>
            <w:pPr>
              <w:pStyle w:val="TableParagraph"/>
              <w:spacing w:line="239" w:lineRule="exact" w:before="4"/>
              <w:ind w:right="177"/>
              <w:jc w:val="right"/>
              <w:rPr>
                <w:sz w:val="22"/>
              </w:rPr>
            </w:pPr>
            <w:r>
              <w:rPr>
                <w:spacing w:val="-2"/>
                <w:sz w:val="22"/>
              </w:rPr>
              <w:t>773,9</w:t>
            </w:r>
          </w:p>
        </w:tc>
        <w:tc>
          <w:tcPr>
            <w:tcW w:w="853" w:type="dxa"/>
          </w:tcPr>
          <w:p>
            <w:pPr>
              <w:pStyle w:val="TableParagraph"/>
              <w:spacing w:line="239" w:lineRule="exact" w:before="4"/>
              <w:ind w:left="122"/>
              <w:rPr>
                <w:sz w:val="22"/>
              </w:rPr>
            </w:pPr>
            <w:r>
              <w:rPr>
                <w:sz w:val="22"/>
              </w:rPr>
              <w:t>1 </w:t>
            </w:r>
            <w:r>
              <w:rPr>
                <w:spacing w:val="-2"/>
                <w:sz w:val="22"/>
              </w:rPr>
              <w:t>069,0</w:t>
            </w:r>
          </w:p>
        </w:tc>
        <w:tc>
          <w:tcPr>
            <w:tcW w:w="851" w:type="dxa"/>
          </w:tcPr>
          <w:p>
            <w:pPr>
              <w:pStyle w:val="TableParagraph"/>
              <w:spacing w:line="239" w:lineRule="exact" w:before="4"/>
              <w:ind w:right="105"/>
              <w:jc w:val="right"/>
              <w:rPr>
                <w:sz w:val="22"/>
              </w:rPr>
            </w:pPr>
            <w:r>
              <w:rPr>
                <w:sz w:val="22"/>
              </w:rPr>
              <w:t>1 </w:t>
            </w:r>
            <w:r>
              <w:rPr>
                <w:spacing w:val="-2"/>
                <w:sz w:val="22"/>
              </w:rPr>
              <w:t>479,2</w:t>
            </w:r>
          </w:p>
        </w:tc>
        <w:tc>
          <w:tcPr>
            <w:tcW w:w="779" w:type="dxa"/>
          </w:tcPr>
          <w:p>
            <w:pPr>
              <w:pStyle w:val="TableParagraph"/>
              <w:spacing w:line="239" w:lineRule="exact" w:before="4"/>
              <w:ind w:left="84"/>
              <w:rPr>
                <w:sz w:val="22"/>
              </w:rPr>
            </w:pPr>
            <w:r>
              <w:rPr>
                <w:sz w:val="22"/>
              </w:rPr>
              <w:t>1 </w:t>
            </w:r>
            <w:r>
              <w:rPr>
                <w:spacing w:val="-2"/>
                <w:sz w:val="22"/>
              </w:rPr>
              <w:t>848,0</w:t>
            </w:r>
          </w:p>
        </w:tc>
        <w:tc>
          <w:tcPr>
            <w:tcW w:w="714" w:type="dxa"/>
          </w:tcPr>
          <w:p>
            <w:pPr>
              <w:pStyle w:val="TableParagraph"/>
              <w:spacing w:line="239" w:lineRule="exact" w:before="4"/>
              <w:ind w:left="16" w:right="9"/>
              <w:jc w:val="center"/>
              <w:rPr>
                <w:sz w:val="22"/>
              </w:rPr>
            </w:pPr>
            <w:r>
              <w:rPr>
                <w:spacing w:val="-2"/>
                <w:sz w:val="22"/>
              </w:rPr>
              <w:t>2204,9</w:t>
            </w:r>
          </w:p>
        </w:tc>
        <w:tc>
          <w:tcPr>
            <w:tcW w:w="750" w:type="dxa"/>
          </w:tcPr>
          <w:p>
            <w:pPr>
              <w:pStyle w:val="TableParagraph"/>
              <w:spacing w:line="239" w:lineRule="exact" w:before="4"/>
              <w:ind w:left="67"/>
              <w:rPr>
                <w:sz w:val="22"/>
              </w:rPr>
            </w:pPr>
            <w:r>
              <w:rPr>
                <w:sz w:val="22"/>
              </w:rPr>
              <w:t>2 </w:t>
            </w:r>
            <w:r>
              <w:rPr>
                <w:spacing w:val="-2"/>
                <w:sz w:val="22"/>
              </w:rPr>
              <w:t>641,5</w:t>
            </w:r>
          </w:p>
        </w:tc>
        <w:tc>
          <w:tcPr>
            <w:tcW w:w="755" w:type="dxa"/>
          </w:tcPr>
          <w:p>
            <w:pPr>
              <w:pStyle w:val="TableParagraph"/>
              <w:spacing w:line="239" w:lineRule="exact" w:before="4"/>
              <w:ind w:left="92"/>
              <w:rPr>
                <w:sz w:val="22"/>
              </w:rPr>
            </w:pPr>
            <w:r>
              <w:rPr>
                <w:spacing w:val="-2"/>
                <w:sz w:val="22"/>
              </w:rPr>
              <w:t>3137,9</w:t>
            </w:r>
          </w:p>
        </w:tc>
        <w:tc>
          <w:tcPr>
            <w:tcW w:w="795" w:type="dxa"/>
          </w:tcPr>
          <w:p>
            <w:pPr>
              <w:pStyle w:val="TableParagraph"/>
              <w:spacing w:line="239" w:lineRule="exact" w:before="4"/>
              <w:ind w:right="105"/>
              <w:jc w:val="right"/>
              <w:rPr>
                <w:sz w:val="22"/>
              </w:rPr>
            </w:pPr>
            <w:r>
              <w:rPr>
                <w:spacing w:val="-2"/>
                <w:sz w:val="22"/>
              </w:rPr>
              <w:t>3704,7</w:t>
            </w:r>
          </w:p>
        </w:tc>
        <w:tc>
          <w:tcPr>
            <w:tcW w:w="1133" w:type="dxa"/>
          </w:tcPr>
          <w:p>
            <w:pPr>
              <w:pStyle w:val="TableParagraph"/>
              <w:spacing w:line="239" w:lineRule="exact" w:before="4"/>
              <w:ind w:left="60"/>
              <w:rPr>
                <w:b/>
                <w:sz w:val="22"/>
              </w:rPr>
            </w:pPr>
            <w:r>
              <w:rPr>
                <w:b/>
                <w:sz w:val="22"/>
              </w:rPr>
              <w:t>17 </w:t>
            </w:r>
            <w:r>
              <w:rPr>
                <w:b/>
                <w:spacing w:val="-2"/>
                <w:sz w:val="22"/>
              </w:rPr>
              <w:t>947,0</w:t>
            </w:r>
          </w:p>
        </w:tc>
        <w:tc>
          <w:tcPr>
            <w:tcW w:w="922" w:type="dxa"/>
          </w:tcPr>
          <w:p>
            <w:pPr>
              <w:pStyle w:val="TableParagraph"/>
              <w:spacing w:line="239" w:lineRule="exact" w:before="4"/>
              <w:ind w:left="62"/>
              <w:rPr>
                <w:b/>
                <w:sz w:val="22"/>
              </w:rPr>
            </w:pPr>
            <w:r>
              <w:rPr>
                <w:b/>
                <w:sz w:val="22"/>
              </w:rPr>
              <w:t>1 </w:t>
            </w:r>
            <w:r>
              <w:rPr>
                <w:b/>
                <w:spacing w:val="-2"/>
                <w:sz w:val="22"/>
              </w:rPr>
              <w:t>794,7</w:t>
            </w:r>
          </w:p>
        </w:tc>
      </w:tr>
      <w:tr>
        <w:trPr>
          <w:trHeight w:val="263" w:hRule="atLeast"/>
        </w:trPr>
        <w:tc>
          <w:tcPr>
            <w:tcW w:w="1436" w:type="dxa"/>
          </w:tcPr>
          <w:p>
            <w:pPr>
              <w:pStyle w:val="TableParagraph"/>
              <w:spacing w:line="239" w:lineRule="exact" w:before="4"/>
              <w:ind w:left="71"/>
              <w:rPr>
                <w:b/>
                <w:sz w:val="22"/>
              </w:rPr>
            </w:pPr>
            <w:r>
              <w:rPr>
                <w:b/>
                <w:sz w:val="22"/>
              </w:rPr>
              <w:t>Axe</w:t>
            </w:r>
            <w:r>
              <w:rPr>
                <w:b/>
                <w:spacing w:val="-2"/>
                <w:sz w:val="22"/>
              </w:rPr>
              <w:t> </w:t>
            </w:r>
            <w:r>
              <w:rPr>
                <w:b/>
                <w:sz w:val="22"/>
              </w:rPr>
              <w:t>4</w:t>
            </w:r>
            <w:r>
              <w:rPr>
                <w:b/>
                <w:spacing w:val="-1"/>
                <w:sz w:val="22"/>
              </w:rPr>
              <w:t> </w:t>
            </w:r>
            <w:r>
              <w:rPr>
                <w:b/>
                <w:spacing w:val="-10"/>
                <w:sz w:val="22"/>
              </w:rPr>
              <w:t>:</w:t>
            </w:r>
          </w:p>
        </w:tc>
        <w:tc>
          <w:tcPr>
            <w:tcW w:w="694" w:type="dxa"/>
          </w:tcPr>
          <w:p>
            <w:pPr>
              <w:pStyle w:val="TableParagraph"/>
              <w:spacing w:line="239" w:lineRule="exact" w:before="4"/>
              <w:ind w:left="23"/>
              <w:jc w:val="center"/>
              <w:rPr>
                <w:sz w:val="22"/>
              </w:rPr>
            </w:pPr>
            <w:r>
              <w:rPr>
                <w:spacing w:val="-2"/>
                <w:sz w:val="22"/>
              </w:rPr>
              <w:t>850,7</w:t>
            </w:r>
          </w:p>
        </w:tc>
        <w:tc>
          <w:tcPr>
            <w:tcW w:w="742" w:type="dxa"/>
          </w:tcPr>
          <w:p>
            <w:pPr>
              <w:pStyle w:val="TableParagraph"/>
              <w:spacing w:line="239" w:lineRule="exact" w:before="4"/>
              <w:ind w:left="68"/>
              <w:rPr>
                <w:sz w:val="22"/>
              </w:rPr>
            </w:pPr>
            <w:r>
              <w:rPr>
                <w:sz w:val="22"/>
              </w:rPr>
              <w:t>1 </w:t>
            </w:r>
            <w:r>
              <w:rPr>
                <w:spacing w:val="-2"/>
                <w:sz w:val="22"/>
              </w:rPr>
              <w:t>002,1</w:t>
            </w:r>
          </w:p>
        </w:tc>
        <w:tc>
          <w:tcPr>
            <w:tcW w:w="851" w:type="dxa"/>
          </w:tcPr>
          <w:p>
            <w:pPr>
              <w:pStyle w:val="TableParagraph"/>
              <w:spacing w:line="239" w:lineRule="exact" w:before="4"/>
              <w:ind w:left="120"/>
              <w:rPr>
                <w:sz w:val="22"/>
              </w:rPr>
            </w:pPr>
            <w:r>
              <w:rPr>
                <w:sz w:val="22"/>
              </w:rPr>
              <w:t>1 </w:t>
            </w:r>
            <w:r>
              <w:rPr>
                <w:spacing w:val="-2"/>
                <w:sz w:val="22"/>
              </w:rPr>
              <w:t>150,2</w:t>
            </w:r>
          </w:p>
        </w:tc>
        <w:tc>
          <w:tcPr>
            <w:tcW w:w="853" w:type="dxa"/>
          </w:tcPr>
          <w:p>
            <w:pPr>
              <w:pStyle w:val="TableParagraph"/>
              <w:spacing w:line="239" w:lineRule="exact" w:before="4"/>
              <w:ind w:left="122"/>
              <w:rPr>
                <w:sz w:val="22"/>
              </w:rPr>
            </w:pPr>
            <w:r>
              <w:rPr>
                <w:sz w:val="22"/>
              </w:rPr>
              <w:t>1 </w:t>
            </w:r>
            <w:r>
              <w:rPr>
                <w:spacing w:val="-2"/>
                <w:sz w:val="22"/>
              </w:rPr>
              <w:t>343,6</w:t>
            </w:r>
          </w:p>
        </w:tc>
        <w:tc>
          <w:tcPr>
            <w:tcW w:w="851" w:type="dxa"/>
          </w:tcPr>
          <w:p>
            <w:pPr>
              <w:pStyle w:val="TableParagraph"/>
              <w:spacing w:line="239" w:lineRule="exact" w:before="4"/>
              <w:ind w:right="105"/>
              <w:jc w:val="right"/>
              <w:rPr>
                <w:sz w:val="22"/>
              </w:rPr>
            </w:pPr>
            <w:r>
              <w:rPr>
                <w:sz w:val="22"/>
              </w:rPr>
              <w:t>1 </w:t>
            </w:r>
            <w:r>
              <w:rPr>
                <w:spacing w:val="-2"/>
                <w:sz w:val="22"/>
              </w:rPr>
              <w:t>660,4</w:t>
            </w:r>
          </w:p>
        </w:tc>
        <w:tc>
          <w:tcPr>
            <w:tcW w:w="779" w:type="dxa"/>
          </w:tcPr>
          <w:p>
            <w:pPr>
              <w:pStyle w:val="TableParagraph"/>
              <w:spacing w:line="239" w:lineRule="exact" w:before="4"/>
              <w:ind w:left="84"/>
              <w:rPr>
                <w:sz w:val="22"/>
              </w:rPr>
            </w:pPr>
            <w:r>
              <w:rPr>
                <w:sz w:val="22"/>
              </w:rPr>
              <w:t>1 </w:t>
            </w:r>
            <w:r>
              <w:rPr>
                <w:spacing w:val="-2"/>
                <w:sz w:val="22"/>
              </w:rPr>
              <w:t>921,9</w:t>
            </w:r>
          </w:p>
        </w:tc>
        <w:tc>
          <w:tcPr>
            <w:tcW w:w="714" w:type="dxa"/>
          </w:tcPr>
          <w:p>
            <w:pPr>
              <w:pStyle w:val="TableParagraph"/>
              <w:spacing w:line="239" w:lineRule="exact" w:before="4"/>
              <w:ind w:left="16" w:right="9"/>
              <w:jc w:val="center"/>
              <w:rPr>
                <w:sz w:val="22"/>
              </w:rPr>
            </w:pPr>
            <w:r>
              <w:rPr>
                <w:spacing w:val="-2"/>
                <w:sz w:val="22"/>
              </w:rPr>
              <w:t>2189,7</w:t>
            </w:r>
          </w:p>
        </w:tc>
        <w:tc>
          <w:tcPr>
            <w:tcW w:w="750" w:type="dxa"/>
          </w:tcPr>
          <w:p>
            <w:pPr>
              <w:pStyle w:val="TableParagraph"/>
              <w:spacing w:line="239" w:lineRule="exact" w:before="4"/>
              <w:ind w:left="67"/>
              <w:rPr>
                <w:sz w:val="22"/>
              </w:rPr>
            </w:pPr>
            <w:r>
              <w:rPr>
                <w:sz w:val="22"/>
              </w:rPr>
              <w:t>2 </w:t>
            </w:r>
            <w:r>
              <w:rPr>
                <w:spacing w:val="-2"/>
                <w:sz w:val="22"/>
              </w:rPr>
              <w:t>466,9</w:t>
            </w:r>
          </w:p>
        </w:tc>
        <w:tc>
          <w:tcPr>
            <w:tcW w:w="755" w:type="dxa"/>
          </w:tcPr>
          <w:p>
            <w:pPr>
              <w:pStyle w:val="TableParagraph"/>
              <w:spacing w:line="239" w:lineRule="exact" w:before="4"/>
              <w:ind w:left="92"/>
              <w:rPr>
                <w:sz w:val="22"/>
              </w:rPr>
            </w:pPr>
            <w:r>
              <w:rPr>
                <w:spacing w:val="-2"/>
                <w:sz w:val="22"/>
              </w:rPr>
              <w:t>2791,0</w:t>
            </w:r>
          </w:p>
        </w:tc>
        <w:tc>
          <w:tcPr>
            <w:tcW w:w="795" w:type="dxa"/>
          </w:tcPr>
          <w:p>
            <w:pPr>
              <w:pStyle w:val="TableParagraph"/>
              <w:spacing w:line="239" w:lineRule="exact" w:before="4"/>
              <w:ind w:right="105"/>
              <w:jc w:val="right"/>
              <w:rPr>
                <w:sz w:val="22"/>
              </w:rPr>
            </w:pPr>
            <w:r>
              <w:rPr>
                <w:spacing w:val="-2"/>
                <w:sz w:val="22"/>
              </w:rPr>
              <w:t>3132,0</w:t>
            </w:r>
          </w:p>
        </w:tc>
        <w:tc>
          <w:tcPr>
            <w:tcW w:w="1133" w:type="dxa"/>
          </w:tcPr>
          <w:p>
            <w:pPr>
              <w:pStyle w:val="TableParagraph"/>
              <w:spacing w:line="239" w:lineRule="exact" w:before="4"/>
              <w:ind w:left="60"/>
              <w:rPr>
                <w:b/>
                <w:sz w:val="22"/>
              </w:rPr>
            </w:pPr>
            <w:r>
              <w:rPr>
                <w:b/>
                <w:sz w:val="22"/>
              </w:rPr>
              <w:t>18 </w:t>
            </w:r>
            <w:r>
              <w:rPr>
                <w:b/>
                <w:spacing w:val="-2"/>
                <w:sz w:val="22"/>
              </w:rPr>
              <w:t>508,5</w:t>
            </w:r>
          </w:p>
        </w:tc>
        <w:tc>
          <w:tcPr>
            <w:tcW w:w="922" w:type="dxa"/>
          </w:tcPr>
          <w:p>
            <w:pPr>
              <w:pStyle w:val="TableParagraph"/>
              <w:spacing w:line="239" w:lineRule="exact" w:before="4"/>
              <w:ind w:left="62"/>
              <w:rPr>
                <w:b/>
                <w:sz w:val="22"/>
              </w:rPr>
            </w:pPr>
            <w:r>
              <w:rPr>
                <w:b/>
                <w:sz w:val="22"/>
              </w:rPr>
              <w:t>1 </w:t>
            </w:r>
            <w:r>
              <w:rPr>
                <w:b/>
                <w:spacing w:val="-2"/>
                <w:sz w:val="22"/>
              </w:rPr>
              <w:t>850,9</w:t>
            </w:r>
          </w:p>
        </w:tc>
      </w:tr>
      <w:tr>
        <w:trPr>
          <w:trHeight w:val="263" w:hRule="atLeast"/>
        </w:trPr>
        <w:tc>
          <w:tcPr>
            <w:tcW w:w="1436" w:type="dxa"/>
          </w:tcPr>
          <w:p>
            <w:pPr>
              <w:pStyle w:val="TableParagraph"/>
              <w:spacing w:line="239" w:lineRule="exact" w:before="4"/>
              <w:ind w:left="71"/>
              <w:rPr>
                <w:b/>
                <w:sz w:val="22"/>
              </w:rPr>
            </w:pPr>
            <w:r>
              <w:rPr>
                <w:b/>
                <w:sz w:val="22"/>
              </w:rPr>
              <w:t>Axe</w:t>
            </w:r>
            <w:r>
              <w:rPr>
                <w:b/>
                <w:spacing w:val="-2"/>
                <w:sz w:val="22"/>
              </w:rPr>
              <w:t> </w:t>
            </w:r>
            <w:r>
              <w:rPr>
                <w:b/>
                <w:sz w:val="22"/>
              </w:rPr>
              <w:t>5</w:t>
            </w:r>
            <w:r>
              <w:rPr>
                <w:b/>
                <w:spacing w:val="-1"/>
                <w:sz w:val="22"/>
              </w:rPr>
              <w:t> </w:t>
            </w:r>
            <w:r>
              <w:rPr>
                <w:b/>
                <w:spacing w:val="-10"/>
                <w:sz w:val="22"/>
              </w:rPr>
              <w:t>:</w:t>
            </w:r>
          </w:p>
        </w:tc>
        <w:tc>
          <w:tcPr>
            <w:tcW w:w="694" w:type="dxa"/>
          </w:tcPr>
          <w:p>
            <w:pPr>
              <w:pStyle w:val="TableParagraph"/>
              <w:spacing w:line="239" w:lineRule="exact" w:before="4"/>
              <w:ind w:left="23"/>
              <w:jc w:val="center"/>
              <w:rPr>
                <w:sz w:val="22"/>
              </w:rPr>
            </w:pPr>
            <w:r>
              <w:rPr>
                <w:spacing w:val="-4"/>
                <w:sz w:val="22"/>
              </w:rPr>
              <w:t>22,5</w:t>
            </w:r>
          </w:p>
        </w:tc>
        <w:tc>
          <w:tcPr>
            <w:tcW w:w="742" w:type="dxa"/>
          </w:tcPr>
          <w:p>
            <w:pPr>
              <w:pStyle w:val="TableParagraph"/>
              <w:spacing w:line="239" w:lineRule="exact" w:before="4"/>
              <w:ind w:left="193"/>
              <w:rPr>
                <w:sz w:val="22"/>
              </w:rPr>
            </w:pPr>
            <w:r>
              <w:rPr>
                <w:spacing w:val="-4"/>
                <w:sz w:val="22"/>
              </w:rPr>
              <w:t>30,0</w:t>
            </w:r>
          </w:p>
        </w:tc>
        <w:tc>
          <w:tcPr>
            <w:tcW w:w="851" w:type="dxa"/>
          </w:tcPr>
          <w:p>
            <w:pPr>
              <w:pStyle w:val="TableParagraph"/>
              <w:spacing w:line="239" w:lineRule="exact" w:before="4"/>
              <w:ind w:left="248"/>
              <w:rPr>
                <w:sz w:val="22"/>
              </w:rPr>
            </w:pPr>
            <w:r>
              <w:rPr>
                <w:spacing w:val="-4"/>
                <w:sz w:val="22"/>
              </w:rPr>
              <w:t>33,4</w:t>
            </w:r>
          </w:p>
        </w:tc>
        <w:tc>
          <w:tcPr>
            <w:tcW w:w="853" w:type="dxa"/>
          </w:tcPr>
          <w:p>
            <w:pPr>
              <w:pStyle w:val="TableParagraph"/>
              <w:spacing w:line="239" w:lineRule="exact" w:before="4"/>
              <w:ind w:left="249"/>
              <w:rPr>
                <w:sz w:val="22"/>
              </w:rPr>
            </w:pPr>
            <w:r>
              <w:rPr>
                <w:spacing w:val="-4"/>
                <w:sz w:val="22"/>
              </w:rPr>
              <w:t>38,4</w:t>
            </w:r>
          </w:p>
        </w:tc>
        <w:tc>
          <w:tcPr>
            <w:tcW w:w="851" w:type="dxa"/>
          </w:tcPr>
          <w:p>
            <w:pPr>
              <w:pStyle w:val="TableParagraph"/>
              <w:spacing w:line="239" w:lineRule="exact" w:before="4"/>
              <w:ind w:left="246"/>
              <w:rPr>
                <w:sz w:val="22"/>
              </w:rPr>
            </w:pPr>
            <w:r>
              <w:rPr>
                <w:spacing w:val="-4"/>
                <w:sz w:val="22"/>
              </w:rPr>
              <w:t>49,7</w:t>
            </w:r>
          </w:p>
        </w:tc>
        <w:tc>
          <w:tcPr>
            <w:tcW w:w="779" w:type="dxa"/>
          </w:tcPr>
          <w:p>
            <w:pPr>
              <w:pStyle w:val="TableParagraph"/>
              <w:spacing w:line="239" w:lineRule="exact" w:before="4"/>
              <w:ind w:left="208"/>
              <w:rPr>
                <w:sz w:val="22"/>
              </w:rPr>
            </w:pPr>
            <w:r>
              <w:rPr>
                <w:spacing w:val="-4"/>
                <w:sz w:val="22"/>
              </w:rPr>
              <w:t>61,8</w:t>
            </w:r>
          </w:p>
        </w:tc>
        <w:tc>
          <w:tcPr>
            <w:tcW w:w="714" w:type="dxa"/>
          </w:tcPr>
          <w:p>
            <w:pPr>
              <w:pStyle w:val="TableParagraph"/>
              <w:spacing w:line="239" w:lineRule="exact" w:before="4"/>
              <w:ind w:left="16" w:right="9"/>
              <w:jc w:val="center"/>
              <w:rPr>
                <w:sz w:val="22"/>
              </w:rPr>
            </w:pPr>
            <w:r>
              <w:rPr>
                <w:spacing w:val="-4"/>
                <w:sz w:val="22"/>
              </w:rPr>
              <w:t>83,3</w:t>
            </w:r>
          </w:p>
        </w:tc>
        <w:tc>
          <w:tcPr>
            <w:tcW w:w="750" w:type="dxa"/>
          </w:tcPr>
          <w:p>
            <w:pPr>
              <w:pStyle w:val="TableParagraph"/>
              <w:spacing w:line="239" w:lineRule="exact" w:before="4"/>
              <w:ind w:right="132"/>
              <w:jc w:val="right"/>
              <w:rPr>
                <w:sz w:val="22"/>
              </w:rPr>
            </w:pPr>
            <w:r>
              <w:rPr>
                <w:spacing w:val="-2"/>
                <w:sz w:val="22"/>
              </w:rPr>
              <w:t>104,4</w:t>
            </w:r>
          </w:p>
        </w:tc>
        <w:tc>
          <w:tcPr>
            <w:tcW w:w="755" w:type="dxa"/>
          </w:tcPr>
          <w:p>
            <w:pPr>
              <w:pStyle w:val="TableParagraph"/>
              <w:spacing w:line="239" w:lineRule="exact" w:before="4"/>
              <w:ind w:right="136"/>
              <w:jc w:val="right"/>
              <w:rPr>
                <w:sz w:val="22"/>
              </w:rPr>
            </w:pPr>
            <w:r>
              <w:rPr>
                <w:spacing w:val="-2"/>
                <w:sz w:val="22"/>
              </w:rPr>
              <w:t>112,9</w:t>
            </w:r>
          </w:p>
        </w:tc>
        <w:tc>
          <w:tcPr>
            <w:tcW w:w="795" w:type="dxa"/>
          </w:tcPr>
          <w:p>
            <w:pPr>
              <w:pStyle w:val="TableParagraph"/>
              <w:spacing w:line="239" w:lineRule="exact" w:before="4"/>
              <w:ind w:left="163"/>
              <w:rPr>
                <w:sz w:val="22"/>
              </w:rPr>
            </w:pPr>
            <w:r>
              <w:rPr>
                <w:spacing w:val="-2"/>
                <w:sz w:val="22"/>
              </w:rPr>
              <w:t>125,4</w:t>
            </w:r>
          </w:p>
        </w:tc>
        <w:tc>
          <w:tcPr>
            <w:tcW w:w="1133" w:type="dxa"/>
          </w:tcPr>
          <w:p>
            <w:pPr>
              <w:pStyle w:val="TableParagraph"/>
              <w:spacing w:line="239" w:lineRule="exact" w:before="4"/>
              <w:ind w:left="60"/>
              <w:rPr>
                <w:b/>
                <w:sz w:val="22"/>
              </w:rPr>
            </w:pPr>
            <w:r>
              <w:rPr>
                <w:b/>
                <w:spacing w:val="-2"/>
                <w:sz w:val="22"/>
              </w:rPr>
              <w:t>661,7</w:t>
            </w:r>
          </w:p>
        </w:tc>
        <w:tc>
          <w:tcPr>
            <w:tcW w:w="922" w:type="dxa"/>
          </w:tcPr>
          <w:p>
            <w:pPr>
              <w:pStyle w:val="TableParagraph"/>
              <w:spacing w:line="239" w:lineRule="exact" w:before="4"/>
              <w:ind w:left="62"/>
              <w:rPr>
                <w:b/>
                <w:sz w:val="22"/>
              </w:rPr>
            </w:pPr>
            <w:r>
              <w:rPr>
                <w:b/>
                <w:spacing w:val="-4"/>
                <w:sz w:val="22"/>
              </w:rPr>
              <w:t>66,2</w:t>
            </w:r>
          </w:p>
        </w:tc>
      </w:tr>
      <w:tr>
        <w:trPr>
          <w:trHeight w:val="503" w:hRule="atLeast"/>
        </w:trPr>
        <w:tc>
          <w:tcPr>
            <w:tcW w:w="1436" w:type="dxa"/>
            <w:shd w:val="clear" w:color="auto" w:fill="92D050"/>
          </w:tcPr>
          <w:p>
            <w:pPr>
              <w:pStyle w:val="TableParagraph"/>
              <w:spacing w:line="252" w:lineRule="exact"/>
              <w:ind w:left="71"/>
              <w:rPr>
                <w:b/>
                <w:sz w:val="22"/>
              </w:rPr>
            </w:pPr>
            <w:r>
              <w:rPr>
                <w:b/>
                <w:sz w:val="22"/>
              </w:rPr>
              <w:t>Dette</w:t>
            </w:r>
            <w:r>
              <w:rPr>
                <w:b/>
                <w:spacing w:val="40"/>
                <w:sz w:val="22"/>
              </w:rPr>
              <w:t> </w:t>
            </w:r>
            <w:r>
              <w:rPr>
                <w:b/>
                <w:sz w:val="22"/>
              </w:rPr>
              <w:t>(intérêts </w:t>
            </w:r>
            <w:r>
              <w:rPr>
                <w:b/>
                <w:spacing w:val="-2"/>
                <w:sz w:val="22"/>
              </w:rPr>
              <w:t>uniquement)</w:t>
            </w:r>
          </w:p>
        </w:tc>
        <w:tc>
          <w:tcPr>
            <w:tcW w:w="694" w:type="dxa"/>
            <w:shd w:val="clear" w:color="auto" w:fill="92D050"/>
          </w:tcPr>
          <w:p>
            <w:pPr>
              <w:pStyle w:val="TableParagraph"/>
              <w:spacing w:before="124"/>
              <w:ind w:right="75"/>
              <w:jc w:val="center"/>
              <w:rPr>
                <w:b/>
                <w:sz w:val="22"/>
              </w:rPr>
            </w:pPr>
            <w:r>
              <w:rPr>
                <w:b/>
                <w:spacing w:val="-2"/>
                <w:sz w:val="22"/>
              </w:rPr>
              <w:t>260,9</w:t>
            </w:r>
          </w:p>
        </w:tc>
        <w:tc>
          <w:tcPr>
            <w:tcW w:w="742" w:type="dxa"/>
            <w:shd w:val="clear" w:color="auto" w:fill="92D050"/>
          </w:tcPr>
          <w:p>
            <w:pPr>
              <w:pStyle w:val="TableParagraph"/>
              <w:spacing w:before="124"/>
              <w:ind w:left="68"/>
              <w:rPr>
                <w:b/>
                <w:sz w:val="22"/>
              </w:rPr>
            </w:pPr>
            <w:r>
              <w:rPr>
                <w:b/>
                <w:spacing w:val="-2"/>
                <w:sz w:val="22"/>
              </w:rPr>
              <w:t>269,3</w:t>
            </w:r>
          </w:p>
        </w:tc>
        <w:tc>
          <w:tcPr>
            <w:tcW w:w="851" w:type="dxa"/>
            <w:shd w:val="clear" w:color="auto" w:fill="92D050"/>
          </w:tcPr>
          <w:p>
            <w:pPr>
              <w:pStyle w:val="TableParagraph"/>
              <w:spacing w:before="124"/>
              <w:ind w:left="68"/>
              <w:rPr>
                <w:b/>
                <w:sz w:val="22"/>
              </w:rPr>
            </w:pPr>
            <w:r>
              <w:rPr>
                <w:b/>
                <w:spacing w:val="-2"/>
                <w:sz w:val="22"/>
              </w:rPr>
              <w:t>286,1</w:t>
            </w:r>
          </w:p>
        </w:tc>
        <w:tc>
          <w:tcPr>
            <w:tcW w:w="853" w:type="dxa"/>
            <w:shd w:val="clear" w:color="auto" w:fill="92D050"/>
          </w:tcPr>
          <w:p>
            <w:pPr>
              <w:pStyle w:val="TableParagraph"/>
              <w:spacing w:before="124"/>
              <w:ind w:left="69"/>
              <w:rPr>
                <w:b/>
                <w:sz w:val="22"/>
              </w:rPr>
            </w:pPr>
            <w:r>
              <w:rPr>
                <w:b/>
                <w:spacing w:val="-2"/>
                <w:sz w:val="22"/>
              </w:rPr>
              <w:t>302,6</w:t>
            </w:r>
          </w:p>
        </w:tc>
        <w:tc>
          <w:tcPr>
            <w:tcW w:w="851" w:type="dxa"/>
            <w:shd w:val="clear" w:color="auto" w:fill="92D050"/>
          </w:tcPr>
          <w:p>
            <w:pPr>
              <w:pStyle w:val="TableParagraph"/>
              <w:spacing w:before="124"/>
              <w:ind w:left="66"/>
              <w:rPr>
                <w:b/>
                <w:sz w:val="22"/>
              </w:rPr>
            </w:pPr>
            <w:r>
              <w:rPr>
                <w:b/>
                <w:spacing w:val="-2"/>
                <w:sz w:val="22"/>
              </w:rPr>
              <w:t>302,9</w:t>
            </w:r>
          </w:p>
        </w:tc>
        <w:tc>
          <w:tcPr>
            <w:tcW w:w="779" w:type="dxa"/>
            <w:shd w:val="clear" w:color="auto" w:fill="92D050"/>
          </w:tcPr>
          <w:p>
            <w:pPr>
              <w:pStyle w:val="TableParagraph"/>
              <w:spacing w:before="124"/>
              <w:ind w:left="67"/>
              <w:rPr>
                <w:b/>
                <w:sz w:val="22"/>
              </w:rPr>
            </w:pPr>
            <w:r>
              <w:rPr>
                <w:b/>
                <w:spacing w:val="-2"/>
                <w:sz w:val="22"/>
              </w:rPr>
              <w:t>303,1</w:t>
            </w:r>
          </w:p>
        </w:tc>
        <w:tc>
          <w:tcPr>
            <w:tcW w:w="714" w:type="dxa"/>
            <w:shd w:val="clear" w:color="auto" w:fill="92D050"/>
          </w:tcPr>
          <w:p>
            <w:pPr>
              <w:pStyle w:val="TableParagraph"/>
              <w:spacing w:before="124"/>
              <w:ind w:left="9" w:right="119"/>
              <w:jc w:val="center"/>
              <w:rPr>
                <w:b/>
                <w:sz w:val="22"/>
              </w:rPr>
            </w:pPr>
            <w:r>
              <w:rPr>
                <w:b/>
                <w:spacing w:val="-2"/>
                <w:sz w:val="22"/>
              </w:rPr>
              <w:t>303,1</w:t>
            </w:r>
          </w:p>
        </w:tc>
        <w:tc>
          <w:tcPr>
            <w:tcW w:w="750" w:type="dxa"/>
            <w:shd w:val="clear" w:color="auto" w:fill="92D050"/>
          </w:tcPr>
          <w:p>
            <w:pPr>
              <w:pStyle w:val="TableParagraph"/>
              <w:spacing w:before="124"/>
              <w:ind w:left="65"/>
              <w:rPr>
                <w:b/>
                <w:sz w:val="22"/>
              </w:rPr>
            </w:pPr>
            <w:r>
              <w:rPr>
                <w:b/>
                <w:spacing w:val="-2"/>
                <w:sz w:val="22"/>
              </w:rPr>
              <w:t>340,9</w:t>
            </w:r>
          </w:p>
        </w:tc>
        <w:tc>
          <w:tcPr>
            <w:tcW w:w="755" w:type="dxa"/>
            <w:shd w:val="clear" w:color="auto" w:fill="92D050"/>
          </w:tcPr>
          <w:p>
            <w:pPr>
              <w:pStyle w:val="TableParagraph"/>
              <w:spacing w:before="124"/>
              <w:ind w:left="61"/>
              <w:rPr>
                <w:b/>
                <w:sz w:val="22"/>
              </w:rPr>
            </w:pPr>
            <w:r>
              <w:rPr>
                <w:b/>
                <w:spacing w:val="-2"/>
                <w:sz w:val="22"/>
              </w:rPr>
              <w:t>383,5</w:t>
            </w:r>
          </w:p>
        </w:tc>
        <w:tc>
          <w:tcPr>
            <w:tcW w:w="795" w:type="dxa"/>
            <w:shd w:val="clear" w:color="auto" w:fill="92D050"/>
          </w:tcPr>
          <w:p>
            <w:pPr>
              <w:pStyle w:val="TableParagraph"/>
              <w:spacing w:before="124"/>
              <w:ind w:left="63"/>
              <w:rPr>
                <w:b/>
                <w:sz w:val="22"/>
              </w:rPr>
            </w:pPr>
            <w:r>
              <w:rPr>
                <w:b/>
                <w:spacing w:val="-2"/>
                <w:sz w:val="22"/>
              </w:rPr>
              <w:t>428,7</w:t>
            </w:r>
          </w:p>
        </w:tc>
        <w:tc>
          <w:tcPr>
            <w:tcW w:w="1133" w:type="dxa"/>
            <w:shd w:val="clear" w:color="auto" w:fill="92D050"/>
          </w:tcPr>
          <w:p>
            <w:pPr>
              <w:pStyle w:val="TableParagraph"/>
              <w:spacing w:before="124"/>
              <w:ind w:left="60"/>
              <w:rPr>
                <w:b/>
                <w:sz w:val="22"/>
              </w:rPr>
            </w:pPr>
            <w:r>
              <w:rPr>
                <w:b/>
                <w:sz w:val="22"/>
              </w:rPr>
              <w:t>3 </w:t>
            </w:r>
            <w:r>
              <w:rPr>
                <w:b/>
                <w:spacing w:val="-2"/>
                <w:sz w:val="22"/>
              </w:rPr>
              <w:t>181,1</w:t>
            </w:r>
          </w:p>
        </w:tc>
        <w:tc>
          <w:tcPr>
            <w:tcW w:w="922" w:type="dxa"/>
            <w:shd w:val="clear" w:color="auto" w:fill="92D050"/>
          </w:tcPr>
          <w:p>
            <w:pPr>
              <w:pStyle w:val="TableParagraph"/>
              <w:spacing w:before="124"/>
              <w:ind w:left="62"/>
              <w:rPr>
                <w:b/>
                <w:sz w:val="22"/>
              </w:rPr>
            </w:pPr>
            <w:r>
              <w:rPr>
                <w:b/>
                <w:spacing w:val="-2"/>
                <w:sz w:val="22"/>
              </w:rPr>
              <w:t>318,1</w:t>
            </w:r>
          </w:p>
        </w:tc>
      </w:tr>
      <w:tr>
        <w:trPr>
          <w:trHeight w:val="262" w:hRule="atLeast"/>
        </w:trPr>
        <w:tc>
          <w:tcPr>
            <w:tcW w:w="1436" w:type="dxa"/>
            <w:shd w:val="clear" w:color="auto" w:fill="92CDDC"/>
          </w:tcPr>
          <w:p>
            <w:pPr>
              <w:pStyle w:val="TableParagraph"/>
              <w:spacing w:line="236" w:lineRule="exact" w:before="6"/>
              <w:ind w:left="71"/>
              <w:rPr>
                <w:b/>
                <w:sz w:val="22"/>
              </w:rPr>
            </w:pPr>
            <w:r>
              <w:rPr>
                <w:b/>
                <w:sz w:val="22"/>
              </w:rPr>
              <w:t>Total</w:t>
            </w:r>
            <w:r>
              <w:rPr>
                <w:b/>
                <w:spacing w:val="-1"/>
                <w:sz w:val="22"/>
              </w:rPr>
              <w:t> </w:t>
            </w:r>
            <w:r>
              <w:rPr>
                <w:b/>
                <w:spacing w:val="-2"/>
                <w:sz w:val="22"/>
              </w:rPr>
              <w:t>Général</w:t>
            </w:r>
          </w:p>
        </w:tc>
        <w:tc>
          <w:tcPr>
            <w:tcW w:w="694" w:type="dxa"/>
            <w:shd w:val="clear" w:color="auto" w:fill="92CDDC"/>
          </w:tcPr>
          <w:p>
            <w:pPr>
              <w:pStyle w:val="TableParagraph"/>
              <w:spacing w:line="236" w:lineRule="exact" w:before="6"/>
              <w:ind w:left="23"/>
              <w:jc w:val="center"/>
              <w:rPr>
                <w:b/>
                <w:sz w:val="22"/>
              </w:rPr>
            </w:pPr>
            <w:r>
              <w:rPr>
                <w:b/>
                <w:spacing w:val="-2"/>
                <w:sz w:val="22"/>
              </w:rPr>
              <w:t>3070,7</w:t>
            </w:r>
          </w:p>
        </w:tc>
        <w:tc>
          <w:tcPr>
            <w:tcW w:w="742" w:type="dxa"/>
            <w:shd w:val="clear" w:color="auto" w:fill="92CDDC"/>
          </w:tcPr>
          <w:p>
            <w:pPr>
              <w:pStyle w:val="TableParagraph"/>
              <w:spacing w:line="236" w:lineRule="exact" w:before="6"/>
              <w:ind w:left="68"/>
              <w:rPr>
                <w:b/>
                <w:sz w:val="22"/>
              </w:rPr>
            </w:pPr>
            <w:r>
              <w:rPr>
                <w:b/>
                <w:sz w:val="22"/>
              </w:rPr>
              <w:t>3 </w:t>
            </w:r>
            <w:r>
              <w:rPr>
                <w:b/>
                <w:spacing w:val="-2"/>
                <w:sz w:val="22"/>
              </w:rPr>
              <w:t>552,1</w:t>
            </w:r>
          </w:p>
        </w:tc>
        <w:tc>
          <w:tcPr>
            <w:tcW w:w="851" w:type="dxa"/>
            <w:shd w:val="clear" w:color="auto" w:fill="92CDDC"/>
          </w:tcPr>
          <w:p>
            <w:pPr>
              <w:pStyle w:val="TableParagraph"/>
              <w:spacing w:line="236" w:lineRule="exact" w:before="6"/>
              <w:ind w:left="68"/>
              <w:rPr>
                <w:b/>
                <w:sz w:val="22"/>
              </w:rPr>
            </w:pPr>
            <w:r>
              <w:rPr>
                <w:b/>
                <w:sz w:val="22"/>
              </w:rPr>
              <w:t>4 </w:t>
            </w:r>
            <w:r>
              <w:rPr>
                <w:b/>
                <w:spacing w:val="-2"/>
                <w:sz w:val="22"/>
              </w:rPr>
              <w:t>078,8</w:t>
            </w:r>
          </w:p>
        </w:tc>
        <w:tc>
          <w:tcPr>
            <w:tcW w:w="853" w:type="dxa"/>
            <w:shd w:val="clear" w:color="auto" w:fill="92CDDC"/>
          </w:tcPr>
          <w:p>
            <w:pPr>
              <w:pStyle w:val="TableParagraph"/>
              <w:spacing w:line="236" w:lineRule="exact" w:before="6"/>
              <w:ind w:left="69"/>
              <w:rPr>
                <w:b/>
                <w:sz w:val="22"/>
              </w:rPr>
            </w:pPr>
            <w:r>
              <w:rPr>
                <w:b/>
                <w:sz w:val="22"/>
              </w:rPr>
              <w:t>4 </w:t>
            </w:r>
            <w:r>
              <w:rPr>
                <w:b/>
                <w:spacing w:val="-2"/>
                <w:sz w:val="22"/>
              </w:rPr>
              <w:t>747,7</w:t>
            </w:r>
          </w:p>
        </w:tc>
        <w:tc>
          <w:tcPr>
            <w:tcW w:w="851" w:type="dxa"/>
            <w:shd w:val="clear" w:color="auto" w:fill="92CDDC"/>
          </w:tcPr>
          <w:p>
            <w:pPr>
              <w:pStyle w:val="TableParagraph"/>
              <w:spacing w:line="236" w:lineRule="exact" w:before="6"/>
              <w:ind w:left="66"/>
              <w:rPr>
                <w:b/>
                <w:sz w:val="22"/>
              </w:rPr>
            </w:pPr>
            <w:r>
              <w:rPr>
                <w:b/>
                <w:sz w:val="22"/>
              </w:rPr>
              <w:t>5 </w:t>
            </w:r>
            <w:r>
              <w:rPr>
                <w:b/>
                <w:spacing w:val="-2"/>
                <w:sz w:val="22"/>
              </w:rPr>
              <w:t>846,6</w:t>
            </w:r>
          </w:p>
        </w:tc>
        <w:tc>
          <w:tcPr>
            <w:tcW w:w="779" w:type="dxa"/>
            <w:shd w:val="clear" w:color="auto" w:fill="92CDDC"/>
          </w:tcPr>
          <w:p>
            <w:pPr>
              <w:pStyle w:val="TableParagraph"/>
              <w:spacing w:line="236" w:lineRule="exact" w:before="6"/>
              <w:ind w:left="67"/>
              <w:rPr>
                <w:b/>
                <w:sz w:val="22"/>
              </w:rPr>
            </w:pPr>
            <w:r>
              <w:rPr>
                <w:b/>
                <w:sz w:val="22"/>
              </w:rPr>
              <w:t>6 </w:t>
            </w:r>
            <w:r>
              <w:rPr>
                <w:b/>
                <w:spacing w:val="-2"/>
                <w:sz w:val="22"/>
              </w:rPr>
              <w:t>720,1</w:t>
            </w:r>
          </w:p>
        </w:tc>
        <w:tc>
          <w:tcPr>
            <w:tcW w:w="714" w:type="dxa"/>
            <w:shd w:val="clear" w:color="auto" w:fill="92CDDC"/>
          </w:tcPr>
          <w:p>
            <w:pPr>
              <w:pStyle w:val="TableParagraph"/>
              <w:spacing w:line="236" w:lineRule="exact" w:before="6"/>
              <w:ind w:left="9" w:right="18"/>
              <w:jc w:val="center"/>
              <w:rPr>
                <w:b/>
                <w:sz w:val="22"/>
              </w:rPr>
            </w:pPr>
            <w:r>
              <w:rPr>
                <w:b/>
                <w:spacing w:val="-2"/>
                <w:sz w:val="22"/>
              </w:rPr>
              <w:t>7576,8</w:t>
            </w:r>
          </w:p>
        </w:tc>
        <w:tc>
          <w:tcPr>
            <w:tcW w:w="750" w:type="dxa"/>
            <w:shd w:val="clear" w:color="auto" w:fill="92CDDC"/>
          </w:tcPr>
          <w:p>
            <w:pPr>
              <w:pStyle w:val="TableParagraph"/>
              <w:spacing w:line="236" w:lineRule="exact" w:before="6"/>
              <w:ind w:left="65"/>
              <w:rPr>
                <w:b/>
                <w:sz w:val="22"/>
              </w:rPr>
            </w:pPr>
            <w:r>
              <w:rPr>
                <w:b/>
                <w:spacing w:val="-2"/>
                <w:sz w:val="22"/>
              </w:rPr>
              <w:t>8521,1</w:t>
            </w:r>
          </w:p>
        </w:tc>
        <w:tc>
          <w:tcPr>
            <w:tcW w:w="755" w:type="dxa"/>
            <w:shd w:val="clear" w:color="auto" w:fill="92CDDC"/>
          </w:tcPr>
          <w:p>
            <w:pPr>
              <w:pStyle w:val="TableParagraph"/>
              <w:spacing w:line="236" w:lineRule="exact" w:before="6"/>
              <w:ind w:left="61"/>
              <w:rPr>
                <w:b/>
                <w:sz w:val="22"/>
              </w:rPr>
            </w:pPr>
            <w:r>
              <w:rPr>
                <w:b/>
                <w:spacing w:val="-2"/>
                <w:sz w:val="22"/>
              </w:rPr>
              <w:t>9584,6</w:t>
            </w:r>
          </w:p>
        </w:tc>
        <w:tc>
          <w:tcPr>
            <w:tcW w:w="795" w:type="dxa"/>
            <w:shd w:val="clear" w:color="auto" w:fill="92CDDC"/>
          </w:tcPr>
          <w:p>
            <w:pPr>
              <w:pStyle w:val="TableParagraph"/>
              <w:spacing w:line="236" w:lineRule="exact" w:before="6"/>
              <w:ind w:left="63"/>
              <w:rPr>
                <w:b/>
                <w:sz w:val="22"/>
              </w:rPr>
            </w:pPr>
            <w:r>
              <w:rPr>
                <w:b/>
                <w:spacing w:val="-2"/>
                <w:sz w:val="22"/>
              </w:rPr>
              <w:t>10715,1</w:t>
            </w:r>
          </w:p>
        </w:tc>
        <w:tc>
          <w:tcPr>
            <w:tcW w:w="1133" w:type="dxa"/>
            <w:shd w:val="clear" w:color="auto" w:fill="92CDDC"/>
          </w:tcPr>
          <w:p>
            <w:pPr>
              <w:pStyle w:val="TableParagraph"/>
              <w:spacing w:line="236" w:lineRule="exact" w:before="6"/>
              <w:ind w:left="60"/>
              <w:rPr>
                <w:b/>
                <w:sz w:val="22"/>
              </w:rPr>
            </w:pPr>
            <w:r>
              <w:rPr>
                <w:b/>
                <w:sz w:val="22"/>
              </w:rPr>
              <w:t>64 </w:t>
            </w:r>
            <w:r>
              <w:rPr>
                <w:b/>
                <w:spacing w:val="-2"/>
                <w:sz w:val="22"/>
              </w:rPr>
              <w:t>413,7</w:t>
            </w:r>
          </w:p>
        </w:tc>
        <w:tc>
          <w:tcPr>
            <w:tcW w:w="922" w:type="dxa"/>
            <w:tcBorders>
              <w:bottom w:val="nil"/>
              <w:right w:val="nil"/>
            </w:tcBorders>
          </w:tcPr>
          <w:p>
            <w:pPr>
              <w:pStyle w:val="TableParagraph"/>
              <w:rPr>
                <w:rFonts w:ascii="Times New Roman"/>
                <w:sz w:val="18"/>
              </w:rPr>
            </w:pPr>
          </w:p>
        </w:tc>
      </w:tr>
    </w:tbl>
    <w:p>
      <w:pPr>
        <w:spacing w:before="0"/>
        <w:ind w:left="1133" w:right="0" w:firstLine="0"/>
        <w:jc w:val="left"/>
        <w:rPr>
          <w:sz w:val="20"/>
        </w:rPr>
      </w:pPr>
      <w:r>
        <w:rPr>
          <w:b/>
          <w:sz w:val="20"/>
        </w:rPr>
        <w:t>Source</w:t>
      </w:r>
      <w:r>
        <w:rPr>
          <w:b/>
          <w:spacing w:val="-4"/>
          <w:sz w:val="20"/>
        </w:rPr>
        <w:t> </w:t>
      </w:r>
      <w:r>
        <w:rPr>
          <w:b/>
          <w:sz w:val="20"/>
        </w:rPr>
        <w:t>:</w:t>
      </w:r>
      <w:r>
        <w:rPr>
          <w:b/>
          <w:spacing w:val="-4"/>
          <w:sz w:val="20"/>
        </w:rPr>
        <w:t> </w:t>
      </w:r>
      <w:r>
        <w:rPr>
          <w:sz w:val="20"/>
        </w:rPr>
        <w:t>DGB,</w:t>
      </w:r>
      <w:r>
        <w:rPr>
          <w:spacing w:val="-6"/>
          <w:sz w:val="20"/>
        </w:rPr>
        <w:t> </w:t>
      </w:r>
      <w:r>
        <w:rPr>
          <w:sz w:val="20"/>
        </w:rPr>
        <w:t>août</w:t>
      </w:r>
      <w:r>
        <w:rPr>
          <w:spacing w:val="-5"/>
          <w:sz w:val="20"/>
        </w:rPr>
        <w:t> </w:t>
      </w:r>
      <w:r>
        <w:rPr>
          <w:spacing w:val="-4"/>
          <w:sz w:val="20"/>
        </w:rPr>
        <w:t>2024</w:t>
      </w:r>
    </w:p>
    <w:p>
      <w:pPr>
        <w:pStyle w:val="Heading3"/>
        <w:numPr>
          <w:ilvl w:val="1"/>
          <w:numId w:val="10"/>
        </w:numPr>
        <w:tabs>
          <w:tab w:pos="1516" w:val="left" w:leader="none"/>
        </w:tabs>
        <w:spacing w:line="240" w:lineRule="auto" w:before="185" w:after="0"/>
        <w:ind w:left="1516" w:right="0" w:hanging="383"/>
        <w:jc w:val="left"/>
      </w:pPr>
      <w:bookmarkStart w:name="_bookmark28" w:id="29"/>
      <w:bookmarkEnd w:id="29"/>
      <w:r>
        <w:rPr>
          <w:b w:val="0"/>
        </w:rPr>
      </w:r>
      <w:r>
        <w:rPr>
          <w:color w:val="2E5395"/>
        </w:rPr>
        <w:t>Mise</w:t>
      </w:r>
      <w:r>
        <w:rPr>
          <w:color w:val="2E5395"/>
          <w:spacing w:val="-4"/>
        </w:rPr>
        <w:t> </w:t>
      </w:r>
      <w:r>
        <w:rPr>
          <w:color w:val="2E5395"/>
        </w:rPr>
        <w:t>en</w:t>
      </w:r>
      <w:r>
        <w:rPr>
          <w:color w:val="2E5395"/>
          <w:spacing w:val="-2"/>
        </w:rPr>
        <w:t> </w:t>
      </w:r>
      <w:r>
        <w:rPr>
          <w:color w:val="2E5395"/>
        </w:rPr>
        <w:t>œuvre</w:t>
      </w:r>
      <w:r>
        <w:rPr>
          <w:color w:val="2E5395"/>
          <w:spacing w:val="-3"/>
        </w:rPr>
        <w:t> </w:t>
      </w:r>
      <w:r>
        <w:rPr>
          <w:color w:val="2E5395"/>
        </w:rPr>
        <w:t>et</w:t>
      </w:r>
      <w:r>
        <w:rPr>
          <w:color w:val="2E5395"/>
          <w:spacing w:val="-2"/>
        </w:rPr>
        <w:t> </w:t>
      </w:r>
      <w:r>
        <w:rPr>
          <w:color w:val="2E5395"/>
        </w:rPr>
        <w:t>suivi-évaluation</w:t>
      </w:r>
      <w:r>
        <w:rPr>
          <w:color w:val="2E5395"/>
          <w:spacing w:val="-3"/>
        </w:rPr>
        <w:t> </w:t>
      </w:r>
      <w:r>
        <w:rPr>
          <w:color w:val="2E5395"/>
        </w:rPr>
        <w:t>de</w:t>
      </w:r>
      <w:r>
        <w:rPr>
          <w:color w:val="2E5395"/>
          <w:spacing w:val="-2"/>
        </w:rPr>
        <w:t> </w:t>
      </w:r>
      <w:r>
        <w:rPr>
          <w:color w:val="2E5395"/>
        </w:rPr>
        <w:t>la </w:t>
      </w:r>
      <w:r>
        <w:rPr>
          <w:color w:val="2E5395"/>
          <w:spacing w:val="-2"/>
        </w:rPr>
        <w:t>Stratégie</w:t>
      </w:r>
    </w:p>
    <w:p>
      <w:pPr>
        <w:pStyle w:val="Heading3"/>
        <w:numPr>
          <w:ilvl w:val="2"/>
          <w:numId w:val="10"/>
        </w:numPr>
        <w:tabs>
          <w:tab w:pos="1678" w:val="left" w:leader="none"/>
        </w:tabs>
        <w:spacing w:line="240" w:lineRule="auto" w:before="185" w:after="0"/>
        <w:ind w:left="1678" w:right="0" w:hanging="545"/>
        <w:jc w:val="left"/>
        <w:rPr>
          <w:color w:val="006FC0"/>
        </w:rPr>
      </w:pPr>
      <w:bookmarkStart w:name="_bookmark29" w:id="30"/>
      <w:bookmarkEnd w:id="30"/>
      <w:r>
        <w:rPr>
          <w:b w:val="0"/>
        </w:rPr>
      </w:r>
      <w:r>
        <w:rPr>
          <w:color w:val="006FC0"/>
        </w:rPr>
        <w:t>Les</w:t>
      </w:r>
      <w:r>
        <w:rPr>
          <w:color w:val="006FC0"/>
          <w:spacing w:val="-5"/>
        </w:rPr>
        <w:t> </w:t>
      </w:r>
      <w:r>
        <w:rPr>
          <w:color w:val="006FC0"/>
        </w:rPr>
        <w:t>Principes</w:t>
      </w:r>
      <w:r>
        <w:rPr>
          <w:color w:val="006FC0"/>
          <w:spacing w:val="-5"/>
        </w:rPr>
        <w:t> </w:t>
      </w:r>
      <w:r>
        <w:rPr>
          <w:color w:val="006FC0"/>
          <w:spacing w:val="-2"/>
        </w:rPr>
        <w:t>directeurs</w:t>
      </w:r>
    </w:p>
    <w:p>
      <w:pPr>
        <w:pStyle w:val="ListParagraph"/>
        <w:numPr>
          <w:ilvl w:val="1"/>
          <w:numId w:val="1"/>
        </w:numPr>
        <w:tabs>
          <w:tab w:pos="707" w:val="left" w:leader="none"/>
        </w:tabs>
        <w:spacing w:line="240" w:lineRule="auto" w:before="184" w:after="0"/>
        <w:ind w:left="707" w:right="1140" w:hanging="707"/>
        <w:jc w:val="right"/>
        <w:rPr>
          <w:b/>
          <w:sz w:val="24"/>
        </w:rPr>
      </w:pPr>
      <w:r>
        <w:rPr>
          <w:sz w:val="24"/>
        </w:rPr>
        <w:t>Le</w:t>
      </w:r>
      <w:r>
        <w:rPr>
          <w:spacing w:val="-2"/>
          <w:sz w:val="24"/>
        </w:rPr>
        <w:t> </w:t>
      </w:r>
      <w:r>
        <w:rPr>
          <w:sz w:val="24"/>
        </w:rPr>
        <w:t>principe fondamental</w:t>
      </w:r>
      <w:r>
        <w:rPr>
          <w:spacing w:val="-1"/>
          <w:sz w:val="24"/>
        </w:rPr>
        <w:t> </w:t>
      </w:r>
      <w:r>
        <w:rPr>
          <w:sz w:val="24"/>
        </w:rPr>
        <w:t>qui</w:t>
      </w:r>
      <w:r>
        <w:rPr>
          <w:spacing w:val="-1"/>
          <w:sz w:val="24"/>
        </w:rPr>
        <w:t> </w:t>
      </w:r>
      <w:r>
        <w:rPr>
          <w:sz w:val="24"/>
        </w:rPr>
        <w:t>guidera</w:t>
      </w:r>
      <w:r>
        <w:rPr>
          <w:spacing w:val="-1"/>
          <w:sz w:val="24"/>
        </w:rPr>
        <w:t> </w:t>
      </w:r>
      <w:r>
        <w:rPr>
          <w:sz w:val="24"/>
        </w:rPr>
        <w:t>la mise</w:t>
      </w:r>
      <w:r>
        <w:rPr>
          <w:spacing w:val="-3"/>
          <w:sz w:val="24"/>
        </w:rPr>
        <w:t> </w:t>
      </w:r>
      <w:r>
        <w:rPr>
          <w:sz w:val="24"/>
        </w:rPr>
        <w:t>en œuvre</w:t>
      </w:r>
      <w:r>
        <w:rPr>
          <w:spacing w:val="-3"/>
          <w:sz w:val="24"/>
        </w:rPr>
        <w:t> </w:t>
      </w:r>
      <w:r>
        <w:rPr>
          <w:sz w:val="24"/>
        </w:rPr>
        <w:t>de cette stratégie est</w:t>
      </w:r>
      <w:r>
        <w:rPr>
          <w:spacing w:val="-3"/>
          <w:sz w:val="24"/>
        </w:rPr>
        <w:t> </w:t>
      </w:r>
      <w:r>
        <w:rPr>
          <w:sz w:val="24"/>
        </w:rPr>
        <w:t>édicté</w:t>
      </w:r>
      <w:r>
        <w:rPr>
          <w:spacing w:val="-2"/>
          <w:sz w:val="24"/>
        </w:rPr>
        <w:t> </w:t>
      </w:r>
      <w:r>
        <w:rPr>
          <w:sz w:val="24"/>
        </w:rPr>
        <w:t>par</w:t>
      </w:r>
      <w:r>
        <w:rPr>
          <w:spacing w:val="-2"/>
          <w:sz w:val="24"/>
        </w:rPr>
        <w:t> </w:t>
      </w:r>
      <w:r>
        <w:rPr>
          <w:sz w:val="24"/>
        </w:rPr>
        <w:t>l’Article</w:t>
      </w:r>
      <w:r>
        <w:rPr>
          <w:spacing w:val="1"/>
          <w:sz w:val="24"/>
        </w:rPr>
        <w:t> </w:t>
      </w:r>
      <w:r>
        <w:rPr>
          <w:spacing w:val="-5"/>
          <w:sz w:val="24"/>
        </w:rPr>
        <w:t>34</w:t>
      </w:r>
    </w:p>
    <w:p>
      <w:pPr>
        <w:pStyle w:val="BodyText"/>
        <w:spacing w:before="0"/>
        <w:ind w:left="0" w:right="1134" w:firstLine="0"/>
        <w:jc w:val="right"/>
      </w:pPr>
      <w:r>
        <w:rPr/>
        <w:t>de</w:t>
      </w:r>
      <w:r>
        <w:rPr>
          <w:spacing w:val="26"/>
        </w:rPr>
        <w:t> </w:t>
      </w:r>
      <w:r>
        <w:rPr/>
        <w:t>la</w:t>
      </w:r>
      <w:r>
        <w:rPr>
          <w:spacing w:val="27"/>
        </w:rPr>
        <w:t> </w:t>
      </w:r>
      <w:r>
        <w:rPr/>
        <w:t>Constitution</w:t>
      </w:r>
      <w:r>
        <w:rPr>
          <w:spacing w:val="23"/>
        </w:rPr>
        <w:t> </w:t>
      </w:r>
      <w:r>
        <w:rPr/>
        <w:t>du</w:t>
      </w:r>
      <w:r>
        <w:rPr>
          <w:spacing w:val="24"/>
        </w:rPr>
        <w:t> </w:t>
      </w:r>
      <w:r>
        <w:rPr/>
        <w:t>Mali</w:t>
      </w:r>
      <w:r>
        <w:rPr>
          <w:spacing w:val="25"/>
        </w:rPr>
        <w:t> </w:t>
      </w:r>
      <w:r>
        <w:rPr/>
        <w:t>du</w:t>
      </w:r>
      <w:r>
        <w:rPr>
          <w:spacing w:val="25"/>
        </w:rPr>
        <w:t> </w:t>
      </w:r>
      <w:r>
        <w:rPr/>
        <w:t>22</w:t>
      </w:r>
      <w:r>
        <w:rPr>
          <w:spacing w:val="23"/>
        </w:rPr>
        <w:t> </w:t>
      </w:r>
      <w:r>
        <w:rPr/>
        <w:t>juillet</w:t>
      </w:r>
      <w:r>
        <w:rPr>
          <w:spacing w:val="25"/>
        </w:rPr>
        <w:t> </w:t>
      </w:r>
      <w:r>
        <w:rPr/>
        <w:t>2023</w:t>
      </w:r>
      <w:r>
        <w:rPr>
          <w:spacing w:val="26"/>
        </w:rPr>
        <w:t> </w:t>
      </w:r>
      <w:r>
        <w:rPr/>
        <w:t>qui</w:t>
      </w:r>
      <w:r>
        <w:rPr>
          <w:spacing w:val="24"/>
        </w:rPr>
        <w:t> </w:t>
      </w:r>
      <w:r>
        <w:rPr/>
        <w:t>stipule</w:t>
      </w:r>
      <w:r>
        <w:rPr>
          <w:spacing w:val="26"/>
        </w:rPr>
        <w:t> </w:t>
      </w:r>
      <w:r>
        <w:rPr/>
        <w:t>que</w:t>
      </w:r>
      <w:r>
        <w:rPr>
          <w:spacing w:val="23"/>
        </w:rPr>
        <w:t> </w:t>
      </w:r>
      <w:r>
        <w:rPr/>
        <w:t>«</w:t>
      </w:r>
      <w:r>
        <w:rPr>
          <w:spacing w:val="-1"/>
        </w:rPr>
        <w:t> </w:t>
      </w:r>
      <w:r>
        <w:rPr/>
        <w:t>L’action</w:t>
      </w:r>
      <w:r>
        <w:rPr>
          <w:spacing w:val="24"/>
        </w:rPr>
        <w:t> </w:t>
      </w:r>
      <w:r>
        <w:rPr/>
        <w:t>publique</w:t>
      </w:r>
      <w:r>
        <w:rPr>
          <w:spacing w:val="23"/>
        </w:rPr>
        <w:t> </w:t>
      </w:r>
      <w:r>
        <w:rPr/>
        <w:t>est</w:t>
      </w:r>
      <w:r>
        <w:rPr>
          <w:spacing w:val="24"/>
        </w:rPr>
        <w:t> </w:t>
      </w:r>
      <w:r>
        <w:rPr/>
        <w:t>guidée</w:t>
      </w:r>
      <w:r>
        <w:rPr>
          <w:spacing w:val="24"/>
        </w:rPr>
        <w:t> </w:t>
      </w:r>
      <w:r>
        <w:rPr/>
        <w:t>par</w:t>
      </w:r>
      <w:r>
        <w:rPr>
          <w:spacing w:val="23"/>
        </w:rPr>
        <w:t> </w:t>
      </w:r>
      <w:r>
        <w:rPr>
          <w:spacing w:val="-5"/>
        </w:rPr>
        <w:t>les</w:t>
      </w:r>
    </w:p>
    <w:p>
      <w:pPr>
        <w:pStyle w:val="BodyText"/>
        <w:spacing w:after="0"/>
        <w:jc w:val="right"/>
        <w:sectPr>
          <w:pgSz w:w="11910" w:h="16840"/>
          <w:pgMar w:header="0" w:footer="680" w:top="1320" w:bottom="960" w:left="283" w:right="141"/>
        </w:sectPr>
      </w:pPr>
    </w:p>
    <w:p>
      <w:pPr>
        <w:spacing w:before="78"/>
        <w:ind w:left="1493" w:right="1126" w:firstLine="0"/>
        <w:jc w:val="both"/>
        <w:rPr>
          <w:b/>
          <w:sz w:val="24"/>
        </w:rPr>
      </w:pPr>
      <w:r>
        <w:rPr>
          <w:sz w:val="24"/>
        </w:rPr>
        <w:t>principes fondés sur le respect de la souveraineté de l’Etat, les choix souverains du Peuple et la défense de ses intérêts ». Ces principes fondamentaux seront complétés par d’autres, à savoir : </w:t>
      </w:r>
      <w:r>
        <w:rPr>
          <w:b/>
          <w:sz w:val="24"/>
        </w:rPr>
        <w:t>Déclinaison régionale et locale ; Performance Budgétaire et Gestion Axée sur les Résultats</w:t>
      </w:r>
      <w:r>
        <w:rPr>
          <w:b/>
          <w:spacing w:val="-2"/>
          <w:sz w:val="24"/>
        </w:rPr>
        <w:t> </w:t>
      </w:r>
      <w:r>
        <w:rPr>
          <w:b/>
          <w:sz w:val="24"/>
        </w:rPr>
        <w:t>; Priorisation et Redevabilité.</w:t>
      </w:r>
    </w:p>
    <w:p>
      <w:pPr>
        <w:pStyle w:val="Heading3"/>
        <w:numPr>
          <w:ilvl w:val="2"/>
          <w:numId w:val="10"/>
        </w:numPr>
        <w:tabs>
          <w:tab w:pos="1678" w:val="left" w:leader="none"/>
        </w:tabs>
        <w:spacing w:line="240" w:lineRule="auto" w:before="185" w:after="0"/>
        <w:ind w:left="1678" w:right="0" w:hanging="545"/>
        <w:jc w:val="left"/>
        <w:rPr>
          <w:color w:val="006FC0"/>
        </w:rPr>
      </w:pPr>
      <w:bookmarkStart w:name="_bookmark30" w:id="31"/>
      <w:bookmarkEnd w:id="31"/>
      <w:r>
        <w:rPr>
          <w:b w:val="0"/>
        </w:rPr>
      </w:r>
      <w:r>
        <w:rPr>
          <w:color w:val="006FC0"/>
        </w:rPr>
        <w:t>Le</w:t>
      </w:r>
      <w:r>
        <w:rPr>
          <w:color w:val="006FC0"/>
          <w:spacing w:val="-3"/>
        </w:rPr>
        <w:t> </w:t>
      </w:r>
      <w:r>
        <w:rPr>
          <w:color w:val="006FC0"/>
        </w:rPr>
        <w:t>dispositif</w:t>
      </w:r>
      <w:r>
        <w:rPr>
          <w:color w:val="006FC0"/>
          <w:spacing w:val="-3"/>
        </w:rPr>
        <w:t> </w:t>
      </w:r>
      <w:r>
        <w:rPr>
          <w:color w:val="006FC0"/>
        </w:rPr>
        <w:t>de</w:t>
      </w:r>
      <w:r>
        <w:rPr>
          <w:color w:val="006FC0"/>
          <w:spacing w:val="-4"/>
        </w:rPr>
        <w:t> </w:t>
      </w:r>
      <w:r>
        <w:rPr>
          <w:color w:val="006FC0"/>
        </w:rPr>
        <w:t>suivi-</w:t>
      </w:r>
      <w:r>
        <w:rPr>
          <w:color w:val="006FC0"/>
          <w:spacing w:val="-2"/>
        </w:rPr>
        <w:t>évaluation</w:t>
      </w:r>
    </w:p>
    <w:p>
      <w:pPr>
        <w:pStyle w:val="ListParagraph"/>
        <w:numPr>
          <w:ilvl w:val="1"/>
          <w:numId w:val="1"/>
        </w:numPr>
        <w:tabs>
          <w:tab w:pos="1493" w:val="left" w:leader="none"/>
          <w:tab w:pos="1837" w:val="left" w:leader="none"/>
        </w:tabs>
        <w:spacing w:line="240" w:lineRule="auto" w:before="183" w:after="0"/>
        <w:ind w:left="1493" w:right="1134" w:hanging="360"/>
        <w:jc w:val="both"/>
        <w:rPr>
          <w:sz w:val="24"/>
        </w:rPr>
      </w:pPr>
      <w:r>
        <w:rPr>
          <w:sz w:val="24"/>
        </w:rPr>
        <w:t>En tirant les leçons de l’expérience du suivi de la mise en œuvre des différentes générations du CSLP, du CSCRP et du CREDD, des innovations seront apportées aux dispositifs et mécanismes de suivi-évaluation de la Stratégie Nationale pour l’Emergence et le Développement Durable (SNEDD). L’objectif recherché est de renforcer l’implication des autorités pour un fort portage politique mais aussi d’améliorer significativement la qualité analytique des différents rapports de suivi de la mise en œuvre de la Vision Mali 2063 et de la SNEDD en vue de renforcer la synergie d’actions et d’éclairer les prises de décision.</w:t>
      </w:r>
    </w:p>
    <w:p>
      <w:pPr>
        <w:pStyle w:val="Heading3"/>
        <w:numPr>
          <w:ilvl w:val="1"/>
          <w:numId w:val="10"/>
        </w:numPr>
        <w:tabs>
          <w:tab w:pos="1517" w:val="left" w:leader="none"/>
        </w:tabs>
        <w:spacing w:line="240" w:lineRule="auto" w:before="185" w:after="0"/>
        <w:ind w:left="1517" w:right="0" w:hanging="384"/>
        <w:jc w:val="left"/>
      </w:pPr>
      <w:bookmarkStart w:name="_bookmark31" w:id="32"/>
      <w:bookmarkEnd w:id="32"/>
      <w:r>
        <w:rPr>
          <w:b w:val="0"/>
        </w:rPr>
      </w:r>
      <w:r>
        <w:rPr>
          <w:color w:val="2E5395"/>
        </w:rPr>
        <w:t>Risques</w:t>
      </w:r>
      <w:r>
        <w:rPr>
          <w:color w:val="2E5395"/>
          <w:spacing w:val="-4"/>
        </w:rPr>
        <w:t> </w:t>
      </w:r>
      <w:r>
        <w:rPr>
          <w:color w:val="2E5395"/>
        </w:rPr>
        <w:t>et</w:t>
      </w:r>
      <w:r>
        <w:rPr>
          <w:color w:val="2E5395"/>
          <w:spacing w:val="-2"/>
        </w:rPr>
        <w:t> Menaces</w:t>
      </w:r>
    </w:p>
    <w:p>
      <w:pPr>
        <w:pStyle w:val="ListParagraph"/>
        <w:numPr>
          <w:ilvl w:val="1"/>
          <w:numId w:val="1"/>
        </w:numPr>
        <w:tabs>
          <w:tab w:pos="1493" w:val="left" w:leader="none"/>
          <w:tab w:pos="1837" w:val="left" w:leader="none"/>
        </w:tabs>
        <w:spacing w:line="240" w:lineRule="auto" w:before="183" w:after="0"/>
        <w:ind w:left="1493" w:right="1139" w:hanging="360"/>
        <w:jc w:val="both"/>
        <w:rPr>
          <w:sz w:val="24"/>
        </w:rPr>
      </w:pPr>
      <w:r>
        <w:rPr>
          <w:sz w:val="24"/>
        </w:rPr>
        <w:t>Le Mali est exposé à d’énormes défis, menaces, risques et vulnérabilités tant au niveau national qu’international pouvant impacter considérablement son développement et sa marche vers la paix, la cohésion sociale, sa stabilité politique et la transformation structurelle de son économie.</w:t>
      </w:r>
    </w:p>
    <w:p>
      <w:pPr>
        <w:pStyle w:val="Heading3"/>
        <w:numPr>
          <w:ilvl w:val="2"/>
          <w:numId w:val="10"/>
        </w:numPr>
        <w:tabs>
          <w:tab w:pos="1735" w:val="left" w:leader="none"/>
        </w:tabs>
        <w:spacing w:line="240" w:lineRule="auto" w:before="184" w:after="0"/>
        <w:ind w:left="1735" w:right="0" w:hanging="602"/>
        <w:jc w:val="left"/>
        <w:rPr>
          <w:color w:val="2E5395"/>
        </w:rPr>
      </w:pPr>
      <w:bookmarkStart w:name="_bookmark32" w:id="33"/>
      <w:bookmarkEnd w:id="33"/>
      <w:r>
        <w:rPr>
          <w:b w:val="0"/>
        </w:rPr>
      </w:r>
      <w:r>
        <w:rPr>
          <w:color w:val="2E5395"/>
        </w:rPr>
        <w:t>Au</w:t>
      </w:r>
      <w:r>
        <w:rPr>
          <w:color w:val="2E5395"/>
          <w:spacing w:val="-2"/>
        </w:rPr>
        <w:t> </w:t>
      </w:r>
      <w:r>
        <w:rPr>
          <w:color w:val="2E5395"/>
        </w:rPr>
        <w:t>niveau</w:t>
      </w:r>
      <w:r>
        <w:rPr>
          <w:color w:val="2E5395"/>
          <w:spacing w:val="-1"/>
        </w:rPr>
        <w:t> </w:t>
      </w:r>
      <w:r>
        <w:rPr>
          <w:color w:val="2E5395"/>
          <w:spacing w:val="-2"/>
        </w:rPr>
        <w:t>national</w:t>
      </w:r>
    </w:p>
    <w:p>
      <w:pPr>
        <w:spacing w:line="327" w:lineRule="exact" w:before="91"/>
        <w:ind w:left="1493" w:right="0" w:firstLine="0"/>
        <w:jc w:val="both"/>
        <w:rPr>
          <w:b/>
          <w:sz w:val="24"/>
        </w:rPr>
      </w:pPr>
      <w:r>
        <w:rPr>
          <w:rFonts w:ascii="Arial Black" w:hAnsi="Arial Black"/>
          <w:sz w:val="24"/>
        </w:rPr>
        <w:t>-</w:t>
      </w:r>
      <w:r>
        <w:rPr>
          <w:rFonts w:ascii="Arial Black" w:hAnsi="Arial Black"/>
          <w:spacing w:val="53"/>
          <w:sz w:val="24"/>
        </w:rPr>
        <w:t>  </w:t>
      </w:r>
      <w:r>
        <w:rPr>
          <w:b/>
          <w:spacing w:val="-2"/>
          <w:sz w:val="24"/>
        </w:rPr>
        <w:t>L’insécurité</w:t>
      </w:r>
    </w:p>
    <w:p>
      <w:pPr>
        <w:pStyle w:val="ListParagraph"/>
        <w:numPr>
          <w:ilvl w:val="1"/>
          <w:numId w:val="1"/>
        </w:numPr>
        <w:tabs>
          <w:tab w:pos="1491" w:val="left" w:leader="none"/>
          <w:tab w:pos="1837" w:val="left" w:leader="none"/>
        </w:tabs>
        <w:spacing w:line="240" w:lineRule="auto" w:before="0" w:after="0"/>
        <w:ind w:left="1491" w:right="1136" w:hanging="358"/>
        <w:jc w:val="both"/>
        <w:rPr>
          <w:sz w:val="24"/>
        </w:rPr>
      </w:pPr>
      <w:r>
        <w:rPr>
          <w:sz w:val="24"/>
        </w:rPr>
        <w:t>Les menaces sont nombreuses et multiformes avec entre autres, le terrorisme et l’extrémisme</w:t>
      </w:r>
      <w:r>
        <w:rPr>
          <w:spacing w:val="80"/>
          <w:w w:val="150"/>
          <w:sz w:val="24"/>
        </w:rPr>
        <w:t> </w:t>
      </w:r>
      <w:r>
        <w:rPr>
          <w:sz w:val="24"/>
        </w:rPr>
        <w:t>violent et la criminalité transnationale organisée, l’irrédentisme, les replis identitaires et les conflits confessionnels et l’insécurité cybernétique.</w:t>
      </w:r>
    </w:p>
    <w:p>
      <w:pPr>
        <w:pStyle w:val="Heading3"/>
        <w:tabs>
          <w:tab w:pos="1841" w:val="left" w:leader="none"/>
        </w:tabs>
        <w:spacing w:before="69"/>
        <w:ind w:left="1493"/>
      </w:pPr>
      <w:r>
        <w:rPr>
          <w:rFonts w:ascii="Arial Black" w:hAnsi="Arial Black"/>
          <w:b w:val="0"/>
          <w:spacing w:val="-10"/>
        </w:rPr>
        <w:t>-</w:t>
      </w:r>
      <w:r>
        <w:rPr>
          <w:rFonts w:ascii="Arial Black" w:hAnsi="Arial Black"/>
          <w:b w:val="0"/>
        </w:rPr>
        <w:tab/>
      </w:r>
      <w:r>
        <w:rPr/>
        <w:t>La</w:t>
      </w:r>
      <w:r>
        <w:rPr>
          <w:spacing w:val="-4"/>
        </w:rPr>
        <w:t> </w:t>
      </w:r>
      <w:r>
        <w:rPr/>
        <w:t>persistance</w:t>
      </w:r>
      <w:r>
        <w:rPr>
          <w:spacing w:val="-3"/>
        </w:rPr>
        <w:t> </w:t>
      </w:r>
      <w:r>
        <w:rPr/>
        <w:t>de</w:t>
      </w:r>
      <w:r>
        <w:rPr>
          <w:spacing w:val="-4"/>
        </w:rPr>
        <w:t> </w:t>
      </w:r>
      <w:r>
        <w:rPr/>
        <w:t>la</w:t>
      </w:r>
      <w:r>
        <w:rPr>
          <w:spacing w:val="-2"/>
        </w:rPr>
        <w:t> </w:t>
      </w:r>
      <w:r>
        <w:rPr/>
        <w:t>crise</w:t>
      </w:r>
      <w:r>
        <w:rPr>
          <w:spacing w:val="-4"/>
        </w:rPr>
        <w:t> </w:t>
      </w:r>
      <w:r>
        <w:rPr>
          <w:spacing w:val="-2"/>
        </w:rPr>
        <w:t>énergétique</w:t>
      </w:r>
    </w:p>
    <w:p>
      <w:pPr>
        <w:pStyle w:val="ListParagraph"/>
        <w:numPr>
          <w:ilvl w:val="1"/>
          <w:numId w:val="1"/>
        </w:numPr>
        <w:tabs>
          <w:tab w:pos="1491" w:val="left" w:leader="none"/>
          <w:tab w:pos="1837" w:val="left" w:leader="none"/>
        </w:tabs>
        <w:spacing w:line="240" w:lineRule="auto" w:before="68" w:after="0"/>
        <w:ind w:left="1491" w:right="1128" w:hanging="358"/>
        <w:jc w:val="both"/>
        <w:rPr>
          <w:sz w:val="24"/>
        </w:rPr>
      </w:pPr>
      <w:r>
        <w:rPr>
          <w:sz w:val="24"/>
        </w:rPr>
        <w:t>La sortie de la pénurie énergétique est une condition essentielle pour un développement socio- économique et</w:t>
      </w:r>
      <w:r>
        <w:rPr>
          <w:spacing w:val="-1"/>
          <w:sz w:val="24"/>
        </w:rPr>
        <w:t> </w:t>
      </w:r>
      <w:r>
        <w:rPr>
          <w:sz w:val="24"/>
        </w:rPr>
        <w:t>humain durable. En effet,</w:t>
      </w:r>
      <w:r>
        <w:rPr>
          <w:spacing w:val="-1"/>
          <w:sz w:val="24"/>
        </w:rPr>
        <w:t> </w:t>
      </w:r>
      <w:r>
        <w:rPr>
          <w:sz w:val="24"/>
        </w:rPr>
        <w:t>garantir l’accès de tous à des services énergétiques fiables, durables et modernes, à un coût abordable représente un défi d’envergure tant en termes de production alimentaire que d’activité économique, d’emplois, de revenus, et de lutte contre la </w:t>
      </w:r>
      <w:r>
        <w:rPr>
          <w:spacing w:val="-2"/>
          <w:sz w:val="24"/>
        </w:rPr>
        <w:t>pauvreté.</w:t>
      </w:r>
    </w:p>
    <w:p>
      <w:pPr>
        <w:pStyle w:val="Heading3"/>
        <w:tabs>
          <w:tab w:pos="1841" w:val="left" w:leader="none"/>
        </w:tabs>
        <w:spacing w:before="183"/>
        <w:ind w:left="1493"/>
      </w:pPr>
      <w:r>
        <w:rPr>
          <w:rFonts w:ascii="Arial Black" w:hAnsi="Arial Black"/>
          <w:b w:val="0"/>
          <w:spacing w:val="-10"/>
        </w:rPr>
        <w:t>-</w:t>
      </w:r>
      <w:r>
        <w:rPr>
          <w:rFonts w:ascii="Arial Black" w:hAnsi="Arial Black"/>
          <w:b w:val="0"/>
        </w:rPr>
        <w:tab/>
      </w:r>
      <w:r>
        <w:rPr/>
        <w:t>Un</w:t>
      </w:r>
      <w:r>
        <w:rPr>
          <w:spacing w:val="-5"/>
        </w:rPr>
        <w:t> </w:t>
      </w:r>
      <w:r>
        <w:rPr/>
        <w:t>Etat</w:t>
      </w:r>
      <w:r>
        <w:rPr>
          <w:spacing w:val="-3"/>
        </w:rPr>
        <w:t> </w:t>
      </w:r>
      <w:r>
        <w:rPr/>
        <w:t>faible</w:t>
      </w:r>
      <w:r>
        <w:rPr>
          <w:spacing w:val="-5"/>
        </w:rPr>
        <w:t> </w:t>
      </w:r>
      <w:r>
        <w:rPr/>
        <w:t>avec</w:t>
      </w:r>
      <w:r>
        <w:rPr>
          <w:spacing w:val="-3"/>
        </w:rPr>
        <w:t> </w:t>
      </w:r>
      <w:r>
        <w:rPr/>
        <w:t>un</w:t>
      </w:r>
      <w:r>
        <w:rPr>
          <w:spacing w:val="-2"/>
        </w:rPr>
        <w:t> </w:t>
      </w:r>
      <w:r>
        <w:rPr/>
        <w:t>système</w:t>
      </w:r>
      <w:r>
        <w:rPr>
          <w:spacing w:val="-2"/>
        </w:rPr>
        <w:t> </w:t>
      </w:r>
      <w:r>
        <w:rPr/>
        <w:t>de</w:t>
      </w:r>
      <w:r>
        <w:rPr>
          <w:spacing w:val="-3"/>
        </w:rPr>
        <w:t> </w:t>
      </w:r>
      <w:r>
        <w:rPr/>
        <w:t>planification</w:t>
      </w:r>
      <w:r>
        <w:rPr>
          <w:spacing w:val="-4"/>
        </w:rPr>
        <w:t> </w:t>
      </w:r>
      <w:r>
        <w:rPr/>
        <w:t>du</w:t>
      </w:r>
      <w:r>
        <w:rPr>
          <w:spacing w:val="-3"/>
        </w:rPr>
        <w:t> </w:t>
      </w:r>
      <w:r>
        <w:rPr/>
        <w:t>développement</w:t>
      </w:r>
      <w:r>
        <w:rPr>
          <w:spacing w:val="-3"/>
        </w:rPr>
        <w:t> </w:t>
      </w:r>
      <w:r>
        <w:rPr>
          <w:spacing w:val="-2"/>
        </w:rPr>
        <w:t>incohérent</w:t>
      </w:r>
    </w:p>
    <w:p>
      <w:pPr>
        <w:pStyle w:val="ListParagraph"/>
        <w:numPr>
          <w:ilvl w:val="1"/>
          <w:numId w:val="1"/>
        </w:numPr>
        <w:tabs>
          <w:tab w:pos="1493" w:val="left" w:leader="none"/>
          <w:tab w:pos="1837" w:val="left" w:leader="none"/>
        </w:tabs>
        <w:spacing w:line="240" w:lineRule="auto" w:before="68" w:after="0"/>
        <w:ind w:left="1493" w:right="1130" w:hanging="360"/>
        <w:jc w:val="both"/>
        <w:rPr>
          <w:sz w:val="24"/>
        </w:rPr>
      </w:pPr>
      <w:r>
        <w:rPr>
          <w:sz w:val="24"/>
        </w:rPr>
        <w:t>L’Etat</w:t>
      </w:r>
      <w:r>
        <w:rPr>
          <w:spacing w:val="40"/>
          <w:sz w:val="24"/>
        </w:rPr>
        <w:t> </w:t>
      </w:r>
      <w:r>
        <w:rPr>
          <w:sz w:val="24"/>
        </w:rPr>
        <w:t>était</w:t>
      </w:r>
      <w:r>
        <w:rPr>
          <w:spacing w:val="40"/>
          <w:sz w:val="24"/>
        </w:rPr>
        <w:t> </w:t>
      </w:r>
      <w:r>
        <w:rPr>
          <w:sz w:val="24"/>
        </w:rPr>
        <w:t>devenu</w:t>
      </w:r>
      <w:r>
        <w:rPr>
          <w:spacing w:val="40"/>
          <w:sz w:val="24"/>
        </w:rPr>
        <w:t> </w:t>
      </w:r>
      <w:r>
        <w:rPr>
          <w:sz w:val="24"/>
        </w:rPr>
        <w:t>fragile</w:t>
      </w:r>
      <w:r>
        <w:rPr>
          <w:spacing w:val="40"/>
          <w:sz w:val="24"/>
        </w:rPr>
        <w:t> </w:t>
      </w:r>
      <w:r>
        <w:rPr>
          <w:sz w:val="24"/>
        </w:rPr>
        <w:t>avec</w:t>
      </w:r>
      <w:r>
        <w:rPr>
          <w:spacing w:val="40"/>
          <w:sz w:val="24"/>
        </w:rPr>
        <w:t> </w:t>
      </w:r>
      <w:r>
        <w:rPr>
          <w:sz w:val="24"/>
        </w:rPr>
        <w:t>une</w:t>
      </w:r>
      <w:r>
        <w:rPr>
          <w:spacing w:val="40"/>
          <w:sz w:val="24"/>
        </w:rPr>
        <w:t> </w:t>
      </w:r>
      <w:r>
        <w:rPr>
          <w:sz w:val="24"/>
        </w:rPr>
        <w:t>faible</w:t>
      </w:r>
      <w:r>
        <w:rPr>
          <w:spacing w:val="40"/>
          <w:sz w:val="24"/>
        </w:rPr>
        <w:t> </w:t>
      </w:r>
      <w:r>
        <w:rPr>
          <w:sz w:val="24"/>
        </w:rPr>
        <w:t>capacité</w:t>
      </w:r>
      <w:r>
        <w:rPr>
          <w:spacing w:val="40"/>
          <w:sz w:val="24"/>
        </w:rPr>
        <w:t> </w:t>
      </w:r>
      <w:r>
        <w:rPr>
          <w:sz w:val="24"/>
        </w:rPr>
        <w:t>à</w:t>
      </w:r>
      <w:r>
        <w:rPr>
          <w:spacing w:val="40"/>
          <w:sz w:val="24"/>
        </w:rPr>
        <w:t> </w:t>
      </w:r>
      <w:r>
        <w:rPr>
          <w:sz w:val="24"/>
        </w:rPr>
        <w:t>assurer</w:t>
      </w:r>
      <w:r>
        <w:rPr>
          <w:spacing w:val="40"/>
          <w:sz w:val="24"/>
        </w:rPr>
        <w:t> </w:t>
      </w:r>
      <w:r>
        <w:rPr>
          <w:sz w:val="24"/>
        </w:rPr>
        <w:t>les</w:t>
      </w:r>
      <w:r>
        <w:rPr>
          <w:spacing w:val="40"/>
          <w:sz w:val="24"/>
        </w:rPr>
        <w:t> </w:t>
      </w:r>
      <w:r>
        <w:rPr>
          <w:sz w:val="24"/>
        </w:rPr>
        <w:t>fonctions</w:t>
      </w:r>
      <w:r>
        <w:rPr>
          <w:spacing w:val="40"/>
          <w:sz w:val="24"/>
        </w:rPr>
        <w:t> </w:t>
      </w:r>
      <w:r>
        <w:rPr>
          <w:sz w:val="24"/>
        </w:rPr>
        <w:t>essentielles</w:t>
      </w:r>
      <w:r>
        <w:rPr>
          <w:spacing w:val="40"/>
          <w:sz w:val="24"/>
        </w:rPr>
        <w:t> </w:t>
      </w:r>
      <w:r>
        <w:rPr>
          <w:sz w:val="24"/>
        </w:rPr>
        <w:t>qui consistent à gouverner</w:t>
      </w:r>
      <w:r>
        <w:rPr>
          <w:spacing w:val="-1"/>
          <w:sz w:val="24"/>
        </w:rPr>
        <w:t> </w:t>
      </w:r>
      <w:r>
        <w:rPr>
          <w:sz w:val="24"/>
        </w:rPr>
        <w:t>une</w:t>
      </w:r>
      <w:r>
        <w:rPr>
          <w:spacing w:val="-1"/>
          <w:sz w:val="24"/>
        </w:rPr>
        <w:t> </w:t>
      </w:r>
      <w:r>
        <w:rPr>
          <w:sz w:val="24"/>
        </w:rPr>
        <w:t>population et son territoire et surtout à concevoir les grandes orientations du développement avec un système de planification cohérent et efficace. En effet, le système de planification au Mali est confronté à d’énormes défis comme les chevauchements entre les fonctions et missions des différentes structures de planification, la faible articulation et harmonisation entre les instruments de planification, et la faible cohérence entre les documents de référence et les politiques sectorielles et thématiques.</w:t>
      </w:r>
    </w:p>
    <w:p>
      <w:pPr>
        <w:pStyle w:val="Heading3"/>
        <w:tabs>
          <w:tab w:pos="1841" w:val="left" w:leader="none"/>
        </w:tabs>
        <w:spacing w:before="138"/>
        <w:ind w:left="1493"/>
      </w:pPr>
      <w:r>
        <w:rPr>
          <w:rFonts w:ascii="Arial Black"/>
          <w:b w:val="0"/>
          <w:spacing w:val="-10"/>
        </w:rPr>
        <w:t>-</w:t>
      </w:r>
      <w:r>
        <w:rPr>
          <w:rFonts w:ascii="Arial Black"/>
          <w:b w:val="0"/>
        </w:rPr>
        <w:tab/>
      </w:r>
      <w:r>
        <w:rPr/>
        <w:t>Le</w:t>
      </w:r>
      <w:r>
        <w:rPr>
          <w:spacing w:val="-3"/>
        </w:rPr>
        <w:t> </w:t>
      </w:r>
      <w:r>
        <w:rPr/>
        <w:t>changement</w:t>
      </w:r>
      <w:r>
        <w:rPr>
          <w:spacing w:val="-3"/>
        </w:rPr>
        <w:t> </w:t>
      </w:r>
      <w:r>
        <w:rPr/>
        <w:t>de</w:t>
      </w:r>
      <w:r>
        <w:rPr>
          <w:spacing w:val="-3"/>
        </w:rPr>
        <w:t> </w:t>
      </w:r>
      <w:r>
        <w:rPr/>
        <w:t>leadership</w:t>
      </w:r>
      <w:r>
        <w:rPr>
          <w:spacing w:val="-2"/>
        </w:rPr>
        <w:t> politique</w:t>
      </w:r>
    </w:p>
    <w:p>
      <w:pPr>
        <w:pStyle w:val="ListParagraph"/>
        <w:numPr>
          <w:ilvl w:val="1"/>
          <w:numId w:val="1"/>
        </w:numPr>
        <w:tabs>
          <w:tab w:pos="1491" w:val="left" w:leader="none"/>
          <w:tab w:pos="1837" w:val="left" w:leader="none"/>
        </w:tabs>
        <w:spacing w:line="240" w:lineRule="auto" w:before="114" w:after="0"/>
        <w:ind w:left="1491" w:right="1128" w:hanging="358"/>
        <w:jc w:val="both"/>
        <w:rPr>
          <w:sz w:val="24"/>
        </w:rPr>
      </w:pPr>
      <w:r>
        <w:rPr>
          <w:sz w:val="24"/>
        </w:rPr>
        <w:t>Le risque d’une instabilité ou d’un changement de cap dans la gouvernance politico-économique serait de nature à remettre en cause la continuité des acquis en termes de rupture entamée dans la gouvernance par le gouvernement de Transition. Il pourrait constituer un point critique pour le processus de développement et de l’opérationnalisation de la Vision.</w:t>
      </w:r>
    </w:p>
    <w:p>
      <w:pPr>
        <w:pStyle w:val="Heading3"/>
        <w:tabs>
          <w:tab w:pos="1841" w:val="left" w:leader="none"/>
        </w:tabs>
        <w:spacing w:before="81"/>
        <w:ind w:left="1493"/>
      </w:pPr>
      <w:r>
        <w:rPr>
          <w:rFonts w:ascii="Arial Black" w:hAnsi="Arial Black"/>
          <w:b w:val="0"/>
          <w:spacing w:val="-10"/>
        </w:rPr>
        <w:t>-</w:t>
      </w:r>
      <w:r>
        <w:rPr>
          <w:rFonts w:ascii="Arial Black" w:hAnsi="Arial Black"/>
          <w:b w:val="0"/>
        </w:rPr>
        <w:tab/>
      </w:r>
      <w:r>
        <w:rPr/>
        <w:t>La</w:t>
      </w:r>
      <w:r>
        <w:rPr>
          <w:spacing w:val="-3"/>
        </w:rPr>
        <w:t> </w:t>
      </w:r>
      <w:r>
        <w:rPr/>
        <w:t>problématique</w:t>
      </w:r>
      <w:r>
        <w:rPr>
          <w:spacing w:val="-4"/>
        </w:rPr>
        <w:t> </w:t>
      </w:r>
      <w:r>
        <w:rPr/>
        <w:t>de</w:t>
      </w:r>
      <w:r>
        <w:rPr>
          <w:spacing w:val="-3"/>
        </w:rPr>
        <w:t> </w:t>
      </w:r>
      <w:r>
        <w:rPr/>
        <w:t>la</w:t>
      </w:r>
      <w:r>
        <w:rPr>
          <w:spacing w:val="-2"/>
        </w:rPr>
        <w:t> monnaie</w:t>
      </w:r>
    </w:p>
    <w:p>
      <w:pPr>
        <w:pStyle w:val="ListParagraph"/>
        <w:numPr>
          <w:ilvl w:val="1"/>
          <w:numId w:val="1"/>
        </w:numPr>
        <w:tabs>
          <w:tab w:pos="1493" w:val="left" w:leader="none"/>
          <w:tab w:pos="1837" w:val="left" w:leader="none"/>
        </w:tabs>
        <w:spacing w:line="240" w:lineRule="auto" w:before="113" w:after="0"/>
        <w:ind w:left="1493" w:right="1134" w:hanging="360"/>
        <w:jc w:val="both"/>
        <w:rPr>
          <w:sz w:val="24"/>
        </w:rPr>
      </w:pPr>
      <w:r>
        <w:rPr>
          <w:sz w:val="24"/>
        </w:rPr>
        <w:t>La problématique monétaire et les nouveaux enjeux d’intégration régionale posent avec acuité</w:t>
      </w:r>
      <w:r>
        <w:rPr>
          <w:spacing w:val="40"/>
          <w:sz w:val="24"/>
        </w:rPr>
        <w:t> </w:t>
      </w:r>
      <w:r>
        <w:rPr>
          <w:sz w:val="24"/>
        </w:rPr>
        <w:t>l’avenir</w:t>
      </w:r>
      <w:r>
        <w:rPr>
          <w:spacing w:val="38"/>
          <w:sz w:val="24"/>
        </w:rPr>
        <w:t> </w:t>
      </w:r>
      <w:r>
        <w:rPr>
          <w:sz w:val="24"/>
        </w:rPr>
        <w:t>du</w:t>
      </w:r>
      <w:r>
        <w:rPr>
          <w:spacing w:val="39"/>
          <w:sz w:val="24"/>
        </w:rPr>
        <w:t> </w:t>
      </w:r>
      <w:r>
        <w:rPr>
          <w:sz w:val="24"/>
        </w:rPr>
        <w:t>FCFA.</w:t>
      </w:r>
      <w:r>
        <w:rPr>
          <w:spacing w:val="38"/>
          <w:sz w:val="24"/>
        </w:rPr>
        <w:t> </w:t>
      </w:r>
      <w:r>
        <w:rPr>
          <w:sz w:val="24"/>
        </w:rPr>
        <w:t>La</w:t>
      </w:r>
      <w:r>
        <w:rPr>
          <w:spacing w:val="39"/>
          <w:sz w:val="24"/>
        </w:rPr>
        <w:t> </w:t>
      </w:r>
      <w:r>
        <w:rPr>
          <w:sz w:val="24"/>
        </w:rPr>
        <w:t>monnaie</w:t>
      </w:r>
      <w:r>
        <w:rPr>
          <w:spacing w:val="38"/>
          <w:sz w:val="24"/>
        </w:rPr>
        <w:t> </w:t>
      </w:r>
      <w:r>
        <w:rPr>
          <w:sz w:val="24"/>
        </w:rPr>
        <w:t>commune</w:t>
      </w:r>
      <w:r>
        <w:rPr>
          <w:spacing w:val="40"/>
          <w:sz w:val="24"/>
        </w:rPr>
        <w:t> </w:t>
      </w:r>
      <w:r>
        <w:rPr>
          <w:sz w:val="24"/>
        </w:rPr>
        <w:t>de</w:t>
      </w:r>
      <w:r>
        <w:rPr>
          <w:spacing w:val="39"/>
          <w:sz w:val="24"/>
        </w:rPr>
        <w:t> </w:t>
      </w:r>
      <w:r>
        <w:rPr>
          <w:sz w:val="24"/>
        </w:rPr>
        <w:t>FCFA</w:t>
      </w:r>
      <w:r>
        <w:rPr>
          <w:spacing w:val="38"/>
          <w:sz w:val="24"/>
        </w:rPr>
        <w:t> </w:t>
      </w:r>
      <w:r>
        <w:rPr>
          <w:sz w:val="24"/>
        </w:rPr>
        <w:t>ne</w:t>
      </w:r>
      <w:r>
        <w:rPr>
          <w:spacing w:val="39"/>
          <w:sz w:val="24"/>
        </w:rPr>
        <w:t> </w:t>
      </w:r>
      <w:r>
        <w:rPr>
          <w:sz w:val="24"/>
        </w:rPr>
        <w:t>semble</w:t>
      </w:r>
      <w:r>
        <w:rPr>
          <w:spacing w:val="37"/>
          <w:sz w:val="24"/>
        </w:rPr>
        <w:t> </w:t>
      </w:r>
      <w:r>
        <w:rPr>
          <w:sz w:val="24"/>
        </w:rPr>
        <w:t>pas</w:t>
      </w:r>
      <w:r>
        <w:rPr>
          <w:spacing w:val="36"/>
          <w:sz w:val="24"/>
        </w:rPr>
        <w:t> </w:t>
      </w:r>
      <w:r>
        <w:rPr>
          <w:sz w:val="24"/>
        </w:rPr>
        <w:t>avoir</w:t>
      </w:r>
      <w:r>
        <w:rPr>
          <w:spacing w:val="38"/>
          <w:sz w:val="24"/>
        </w:rPr>
        <w:t> </w:t>
      </w:r>
      <w:r>
        <w:rPr>
          <w:sz w:val="24"/>
        </w:rPr>
        <w:t>induit</w:t>
      </w:r>
      <w:r>
        <w:rPr>
          <w:spacing w:val="36"/>
          <w:sz w:val="24"/>
        </w:rPr>
        <w:t> </w:t>
      </w:r>
      <w:r>
        <w:rPr>
          <w:sz w:val="24"/>
        </w:rPr>
        <w:t>au</w:t>
      </w:r>
      <w:r>
        <w:rPr>
          <w:spacing w:val="39"/>
          <w:sz w:val="24"/>
        </w:rPr>
        <w:t> </w:t>
      </w:r>
      <w:r>
        <w:rPr>
          <w:sz w:val="24"/>
        </w:rPr>
        <w:t>Mali</w:t>
      </w:r>
      <w:r>
        <w:rPr>
          <w:spacing w:val="38"/>
          <w:sz w:val="24"/>
        </w:rPr>
        <w:t> </w:t>
      </w:r>
      <w:r>
        <w:rPr>
          <w:sz w:val="24"/>
        </w:rPr>
        <w:t>une</w:t>
      </w:r>
      <w:r>
        <w:rPr>
          <w:spacing w:val="39"/>
          <w:sz w:val="24"/>
        </w:rPr>
        <w:t> </w:t>
      </w:r>
      <w:r>
        <w:rPr>
          <w:sz w:val="24"/>
        </w:rPr>
        <w:t>plus</w:t>
      </w:r>
    </w:p>
    <w:p>
      <w:pPr>
        <w:pStyle w:val="ListParagraph"/>
        <w:spacing w:after="0" w:line="240" w:lineRule="auto"/>
        <w:jc w:val="both"/>
        <w:rPr>
          <w:sz w:val="24"/>
        </w:rPr>
        <w:sectPr>
          <w:pgSz w:w="11910" w:h="16840"/>
          <w:pgMar w:header="0" w:footer="680" w:top="1320" w:bottom="960" w:left="283" w:right="141"/>
        </w:sectPr>
      </w:pPr>
    </w:p>
    <w:p>
      <w:pPr>
        <w:pStyle w:val="BodyText"/>
        <w:spacing w:before="78"/>
        <w:ind w:right="1139" w:firstLine="0"/>
      </w:pPr>
      <w:r>
        <w:rPr/>
        <w:t>grande intégration quand on sait que ses exportations vers les autres Etats de la CEDEAO représentent à peine 8% du volume total, contre 48% pour toute l'Afrique et 52% pour le reste du </w:t>
      </w:r>
      <w:r>
        <w:rPr>
          <w:spacing w:val="-2"/>
        </w:rPr>
        <w:t>monde.</w:t>
      </w:r>
    </w:p>
    <w:p>
      <w:pPr>
        <w:pStyle w:val="ListParagraph"/>
        <w:numPr>
          <w:ilvl w:val="1"/>
          <w:numId w:val="1"/>
        </w:numPr>
        <w:tabs>
          <w:tab w:pos="1491" w:val="left" w:leader="none"/>
          <w:tab w:pos="1837" w:val="left" w:leader="none"/>
        </w:tabs>
        <w:spacing w:line="240" w:lineRule="auto" w:before="185" w:after="0"/>
        <w:ind w:left="1491" w:right="1138" w:hanging="358"/>
        <w:jc w:val="both"/>
        <w:rPr>
          <w:sz w:val="24"/>
        </w:rPr>
      </w:pPr>
      <w:r>
        <w:rPr>
          <w:sz w:val="24"/>
        </w:rPr>
        <w:t>L’analyse de</w:t>
      </w:r>
      <w:r>
        <w:rPr>
          <w:spacing w:val="40"/>
          <w:sz w:val="24"/>
        </w:rPr>
        <w:t> </w:t>
      </w:r>
      <w:r>
        <w:rPr>
          <w:sz w:val="24"/>
        </w:rPr>
        <w:t>la</w:t>
      </w:r>
      <w:r>
        <w:rPr>
          <w:spacing w:val="40"/>
          <w:sz w:val="24"/>
        </w:rPr>
        <w:t> </w:t>
      </w:r>
      <w:r>
        <w:rPr>
          <w:sz w:val="24"/>
        </w:rPr>
        <w:t>problématique</w:t>
      </w:r>
      <w:r>
        <w:rPr>
          <w:spacing w:val="40"/>
          <w:sz w:val="24"/>
        </w:rPr>
        <w:t> </w:t>
      </w:r>
      <w:r>
        <w:rPr>
          <w:sz w:val="24"/>
        </w:rPr>
        <w:t>monétaire</w:t>
      </w:r>
      <w:r>
        <w:rPr>
          <w:spacing w:val="40"/>
          <w:sz w:val="24"/>
        </w:rPr>
        <w:t> </w:t>
      </w:r>
      <w:r>
        <w:rPr>
          <w:sz w:val="24"/>
        </w:rPr>
        <w:t>doit</w:t>
      </w:r>
      <w:r>
        <w:rPr>
          <w:spacing w:val="40"/>
          <w:sz w:val="24"/>
        </w:rPr>
        <w:t> </w:t>
      </w:r>
      <w:r>
        <w:rPr>
          <w:sz w:val="24"/>
        </w:rPr>
        <w:t>également</w:t>
      </w:r>
      <w:r>
        <w:rPr>
          <w:spacing w:val="40"/>
          <w:sz w:val="24"/>
        </w:rPr>
        <w:t> </w:t>
      </w:r>
      <w:r>
        <w:rPr>
          <w:sz w:val="24"/>
        </w:rPr>
        <w:t>prendre</w:t>
      </w:r>
      <w:r>
        <w:rPr>
          <w:spacing w:val="40"/>
          <w:sz w:val="24"/>
        </w:rPr>
        <w:t> </w:t>
      </w:r>
      <w:r>
        <w:rPr>
          <w:sz w:val="24"/>
        </w:rPr>
        <w:t>en</w:t>
      </w:r>
      <w:r>
        <w:rPr>
          <w:spacing w:val="40"/>
          <w:sz w:val="24"/>
        </w:rPr>
        <w:t> </w:t>
      </w:r>
      <w:r>
        <w:rPr>
          <w:sz w:val="24"/>
        </w:rPr>
        <w:t>compte</w:t>
      </w:r>
      <w:r>
        <w:rPr>
          <w:spacing w:val="40"/>
          <w:sz w:val="24"/>
        </w:rPr>
        <w:t> </w:t>
      </w:r>
      <w:r>
        <w:rPr>
          <w:sz w:val="24"/>
        </w:rPr>
        <w:t>les évolutions</w:t>
      </w:r>
      <w:r>
        <w:rPr>
          <w:spacing w:val="40"/>
          <w:sz w:val="24"/>
        </w:rPr>
        <w:t> </w:t>
      </w:r>
      <w:r>
        <w:rPr>
          <w:sz w:val="24"/>
        </w:rPr>
        <w:t>en termes de création de l’Alliance des Etats du Sahel (AES) et les perspectives de changement du système monétaire international avec la fin progressive de l’hégémonie du dollar (et de l’euro) avec notamment les perspectives d’une nouvelle monnaie de réserve des BRICS alignée sur leurs</w:t>
      </w:r>
      <w:r>
        <w:rPr>
          <w:spacing w:val="80"/>
          <w:sz w:val="24"/>
        </w:rPr>
        <w:t> </w:t>
      </w:r>
      <w:r>
        <w:rPr>
          <w:spacing w:val="-2"/>
          <w:sz w:val="24"/>
        </w:rPr>
        <w:t>devises.</w:t>
      </w:r>
    </w:p>
    <w:p>
      <w:pPr>
        <w:pStyle w:val="Heading3"/>
        <w:tabs>
          <w:tab w:pos="1841" w:val="left" w:leader="none"/>
        </w:tabs>
        <w:spacing w:before="79"/>
        <w:ind w:left="1493"/>
      </w:pPr>
      <w:r>
        <w:rPr>
          <w:rFonts w:ascii="Arial Black"/>
          <w:b w:val="0"/>
          <w:spacing w:val="-10"/>
        </w:rPr>
        <w:t>-</w:t>
      </w:r>
      <w:r>
        <w:rPr>
          <w:rFonts w:ascii="Arial Black"/>
          <w:b w:val="0"/>
        </w:rPr>
        <w:tab/>
      </w:r>
      <w:r>
        <w:rPr/>
        <w:t>Les</w:t>
      </w:r>
      <w:r>
        <w:rPr>
          <w:spacing w:val="-6"/>
        </w:rPr>
        <w:t> </w:t>
      </w:r>
      <w:r>
        <w:rPr/>
        <w:t>changements</w:t>
      </w:r>
      <w:r>
        <w:rPr>
          <w:spacing w:val="-5"/>
        </w:rPr>
        <w:t> </w:t>
      </w:r>
      <w:r>
        <w:rPr/>
        <w:t>climatiques</w:t>
      </w:r>
      <w:r>
        <w:rPr>
          <w:spacing w:val="-3"/>
        </w:rPr>
        <w:t> </w:t>
      </w:r>
      <w:r>
        <w:rPr/>
        <w:t>et</w:t>
      </w:r>
      <w:r>
        <w:rPr>
          <w:spacing w:val="-4"/>
        </w:rPr>
        <w:t> </w:t>
      </w:r>
      <w:r>
        <w:rPr/>
        <w:t>autres</w:t>
      </w:r>
      <w:r>
        <w:rPr>
          <w:spacing w:val="-3"/>
        </w:rPr>
        <w:t> </w:t>
      </w:r>
      <w:r>
        <w:rPr/>
        <w:t>menaces</w:t>
      </w:r>
      <w:r>
        <w:rPr>
          <w:spacing w:val="-5"/>
        </w:rPr>
        <w:t> </w:t>
      </w:r>
      <w:r>
        <w:rPr>
          <w:spacing w:val="-2"/>
        </w:rPr>
        <w:t>environnementales</w:t>
      </w:r>
    </w:p>
    <w:p>
      <w:pPr>
        <w:pStyle w:val="ListParagraph"/>
        <w:numPr>
          <w:ilvl w:val="1"/>
          <w:numId w:val="1"/>
        </w:numPr>
        <w:tabs>
          <w:tab w:pos="1493" w:val="left" w:leader="none"/>
          <w:tab w:pos="1837" w:val="left" w:leader="none"/>
        </w:tabs>
        <w:spacing w:line="240" w:lineRule="auto" w:before="68" w:after="0"/>
        <w:ind w:left="1493" w:right="1136" w:hanging="360"/>
        <w:jc w:val="both"/>
        <w:rPr>
          <w:sz w:val="24"/>
        </w:rPr>
      </w:pPr>
      <w:r>
        <w:rPr>
          <w:sz w:val="24"/>
        </w:rPr>
        <w:t>Les différentes études réalisées sur les changements climatiques au Mali montrent que les</w:t>
      </w:r>
      <w:r>
        <w:rPr>
          <w:spacing w:val="80"/>
          <w:sz w:val="24"/>
        </w:rPr>
        <w:t> </w:t>
      </w:r>
      <w:r>
        <w:rPr>
          <w:sz w:val="24"/>
        </w:rPr>
        <w:t>principaux défis climatiques auxquels le pays est exposé sont entre autres : les sécheresses, les inondations, les vents forts, l’avancée du désert, les fortes variations de température et les pollutions atmosphériques. Aussi, le régime pluviométrique au Mali est très affecté par la variabilité et les changements climatiques avec une diminution de la pluviosité couplée à une forte variabilité inter annuelle et intra-saisonnière des précipitations.</w:t>
      </w:r>
    </w:p>
    <w:p>
      <w:pPr>
        <w:pStyle w:val="ListParagraph"/>
        <w:numPr>
          <w:ilvl w:val="1"/>
          <w:numId w:val="1"/>
        </w:numPr>
        <w:tabs>
          <w:tab w:pos="1491" w:val="left" w:leader="none"/>
          <w:tab w:pos="1837" w:val="left" w:leader="none"/>
        </w:tabs>
        <w:spacing w:line="240" w:lineRule="auto" w:before="184" w:after="0"/>
        <w:ind w:left="1491" w:right="1134" w:hanging="358"/>
        <w:jc w:val="both"/>
        <w:rPr>
          <w:sz w:val="24"/>
        </w:rPr>
      </w:pPr>
      <w:r>
        <w:rPr>
          <w:sz w:val="24"/>
        </w:rPr>
        <w:t>La majorité des activités socio-économiques est d’ores et déjà entachée des impacts observés</w:t>
      </w:r>
      <w:r>
        <w:rPr>
          <w:spacing w:val="-4"/>
          <w:sz w:val="24"/>
        </w:rPr>
        <w:t> </w:t>
      </w:r>
      <w:r>
        <w:rPr>
          <w:sz w:val="24"/>
        </w:rPr>
        <w:t>des changements climatiques. Il est à prévoir que ces impacts soient exacerbés dans le futur et constitueront ainsi</w:t>
      </w:r>
      <w:r>
        <w:rPr>
          <w:spacing w:val="-1"/>
          <w:sz w:val="24"/>
        </w:rPr>
        <w:t> </w:t>
      </w:r>
      <w:r>
        <w:rPr>
          <w:sz w:val="24"/>
        </w:rPr>
        <w:t>des facteurs limitatifs pour le développement des régions cibles</w:t>
      </w:r>
      <w:r>
        <w:rPr>
          <w:spacing w:val="-1"/>
          <w:sz w:val="24"/>
        </w:rPr>
        <w:t> </w:t>
      </w:r>
      <w:r>
        <w:rPr>
          <w:sz w:val="24"/>
        </w:rPr>
        <w:t>très sensibles aux variations de la pluviosité, où la plupart des ménages tirent 70 % de leurs revenus des secteurs de l’agriculture, de l’élevage, de la pêche et des forêts. Ils sont par conséquent les plus vulnérables aux effets des changements climatiques.</w:t>
      </w:r>
    </w:p>
    <w:p>
      <w:pPr>
        <w:pStyle w:val="Heading3"/>
        <w:tabs>
          <w:tab w:pos="1841" w:val="left" w:leader="none"/>
        </w:tabs>
        <w:spacing w:before="80"/>
        <w:ind w:left="1493"/>
      </w:pPr>
      <w:r>
        <w:rPr>
          <w:rFonts w:ascii="Arial Black"/>
          <w:b w:val="0"/>
          <w:spacing w:val="-10"/>
        </w:rPr>
        <w:t>-</w:t>
      </w:r>
      <w:r>
        <w:rPr>
          <w:rFonts w:ascii="Arial Black"/>
          <w:b w:val="0"/>
        </w:rPr>
        <w:tab/>
      </w:r>
      <w:r>
        <w:rPr/>
        <w:t>Faible</w:t>
      </w:r>
      <w:r>
        <w:rPr>
          <w:spacing w:val="-5"/>
        </w:rPr>
        <w:t> </w:t>
      </w:r>
      <w:r>
        <w:rPr/>
        <w:t>mobilisation</w:t>
      </w:r>
      <w:r>
        <w:rPr>
          <w:spacing w:val="-2"/>
        </w:rPr>
        <w:t> </w:t>
      </w:r>
      <w:r>
        <w:rPr/>
        <w:t>de</w:t>
      </w:r>
      <w:r>
        <w:rPr>
          <w:spacing w:val="-2"/>
        </w:rPr>
        <w:t> ressources</w:t>
      </w:r>
    </w:p>
    <w:p>
      <w:pPr>
        <w:pStyle w:val="ListParagraph"/>
        <w:numPr>
          <w:ilvl w:val="1"/>
          <w:numId w:val="1"/>
        </w:numPr>
        <w:tabs>
          <w:tab w:pos="1493" w:val="left" w:leader="none"/>
          <w:tab w:pos="1837" w:val="left" w:leader="none"/>
        </w:tabs>
        <w:spacing w:line="240" w:lineRule="auto" w:before="68" w:after="0"/>
        <w:ind w:left="1493" w:right="1130" w:hanging="360"/>
        <w:jc w:val="both"/>
        <w:rPr>
          <w:sz w:val="24"/>
        </w:rPr>
      </w:pPr>
      <w:r>
        <w:rPr>
          <w:sz w:val="24"/>
        </w:rPr>
        <w:t>La mobilisation d’importantes ressources financières constitue un défi énorme pour notre pays au regard des besoins de financements immenses que nécessitera la mise en œuvre de la SNEDD à travers les projets structurants y afférents. A cet effet, une faible mobilisation des ressources intérieures, une faible contribution du Secteur Privé, notamment dans les projets de type PPP, et la faible absorption des ressources extérieures pourraient entraver la mise en œuvre de la stratégie.</w:t>
      </w:r>
    </w:p>
    <w:p>
      <w:pPr>
        <w:pStyle w:val="ListParagraph"/>
        <w:numPr>
          <w:ilvl w:val="1"/>
          <w:numId w:val="1"/>
        </w:numPr>
        <w:tabs>
          <w:tab w:pos="1493" w:val="left" w:leader="none"/>
          <w:tab w:pos="1837" w:val="left" w:leader="none"/>
        </w:tabs>
        <w:spacing w:line="240" w:lineRule="auto" w:before="185" w:after="0"/>
        <w:ind w:left="1493" w:right="1127" w:hanging="360"/>
        <w:jc w:val="both"/>
        <w:rPr>
          <w:sz w:val="24"/>
        </w:rPr>
      </w:pPr>
      <w:r>
        <w:rPr>
          <w:sz w:val="24"/>
        </w:rPr>
        <w:t>Pour</w:t>
      </w:r>
      <w:r>
        <w:rPr>
          <w:spacing w:val="40"/>
          <w:sz w:val="24"/>
        </w:rPr>
        <w:t> </w:t>
      </w:r>
      <w:r>
        <w:rPr>
          <w:sz w:val="24"/>
        </w:rPr>
        <w:t>atténuer</w:t>
      </w:r>
      <w:r>
        <w:rPr>
          <w:spacing w:val="40"/>
          <w:sz w:val="24"/>
        </w:rPr>
        <w:t> </w:t>
      </w:r>
      <w:r>
        <w:rPr>
          <w:sz w:val="24"/>
        </w:rPr>
        <w:t>ce</w:t>
      </w:r>
      <w:r>
        <w:rPr>
          <w:spacing w:val="40"/>
          <w:sz w:val="24"/>
        </w:rPr>
        <w:t> </w:t>
      </w:r>
      <w:r>
        <w:rPr>
          <w:sz w:val="24"/>
        </w:rPr>
        <w:t>risque,</w:t>
      </w:r>
      <w:r>
        <w:rPr>
          <w:spacing w:val="40"/>
          <w:sz w:val="24"/>
        </w:rPr>
        <w:t> </w:t>
      </w:r>
      <w:r>
        <w:rPr>
          <w:sz w:val="24"/>
        </w:rPr>
        <w:t>il</w:t>
      </w:r>
      <w:r>
        <w:rPr>
          <w:spacing w:val="40"/>
          <w:sz w:val="24"/>
        </w:rPr>
        <w:t> </w:t>
      </w:r>
      <w:r>
        <w:rPr>
          <w:sz w:val="24"/>
        </w:rPr>
        <w:t>est</w:t>
      </w:r>
      <w:r>
        <w:rPr>
          <w:spacing w:val="40"/>
          <w:sz w:val="24"/>
        </w:rPr>
        <w:t> </w:t>
      </w:r>
      <w:r>
        <w:rPr>
          <w:sz w:val="24"/>
        </w:rPr>
        <w:t>nécessaire</w:t>
      </w:r>
      <w:r>
        <w:rPr>
          <w:spacing w:val="40"/>
          <w:sz w:val="24"/>
        </w:rPr>
        <w:t> </w:t>
      </w:r>
      <w:r>
        <w:rPr>
          <w:sz w:val="24"/>
        </w:rPr>
        <w:t>de</w:t>
      </w:r>
      <w:r>
        <w:rPr>
          <w:spacing w:val="40"/>
          <w:sz w:val="24"/>
        </w:rPr>
        <w:t> </w:t>
      </w:r>
      <w:r>
        <w:rPr>
          <w:sz w:val="24"/>
        </w:rPr>
        <w:t>mettre</w:t>
      </w:r>
      <w:r>
        <w:rPr>
          <w:spacing w:val="40"/>
          <w:sz w:val="24"/>
        </w:rPr>
        <w:t> </w:t>
      </w:r>
      <w:r>
        <w:rPr>
          <w:sz w:val="24"/>
        </w:rPr>
        <w:t>en</w:t>
      </w:r>
      <w:r>
        <w:rPr>
          <w:spacing w:val="40"/>
          <w:sz w:val="24"/>
        </w:rPr>
        <w:t> </w:t>
      </w:r>
      <w:r>
        <w:rPr>
          <w:sz w:val="24"/>
        </w:rPr>
        <w:t>place</w:t>
      </w:r>
      <w:r>
        <w:rPr>
          <w:spacing w:val="40"/>
          <w:sz w:val="24"/>
        </w:rPr>
        <w:t> </w:t>
      </w:r>
      <w:r>
        <w:rPr>
          <w:sz w:val="24"/>
        </w:rPr>
        <w:t>une</w:t>
      </w:r>
      <w:r>
        <w:rPr>
          <w:spacing w:val="40"/>
          <w:sz w:val="24"/>
        </w:rPr>
        <w:t> </w:t>
      </w:r>
      <w:r>
        <w:rPr>
          <w:sz w:val="24"/>
        </w:rPr>
        <w:t>stratégie</w:t>
      </w:r>
      <w:r>
        <w:rPr>
          <w:spacing w:val="40"/>
          <w:sz w:val="24"/>
        </w:rPr>
        <w:t> </w:t>
      </w:r>
      <w:r>
        <w:rPr>
          <w:sz w:val="24"/>
        </w:rPr>
        <w:t>efficace</w:t>
      </w:r>
      <w:r>
        <w:rPr>
          <w:spacing w:val="40"/>
          <w:sz w:val="24"/>
        </w:rPr>
        <w:t> </w:t>
      </w:r>
      <w:r>
        <w:rPr>
          <w:sz w:val="24"/>
        </w:rPr>
        <w:t>de financement axée sur</w:t>
      </w:r>
      <w:r>
        <w:rPr>
          <w:spacing w:val="40"/>
          <w:sz w:val="24"/>
        </w:rPr>
        <w:t> </w:t>
      </w:r>
      <w:r>
        <w:rPr>
          <w:sz w:val="24"/>
        </w:rPr>
        <w:t>le renforcement de la mobilisation des ressources internes ; la création des conditions d’un meilleur accès des entreprises au financement bancaire ; la mise en place de systèmes de financements longs des investissements : (création de fonds d’investissement, de Banques</w:t>
      </w:r>
      <w:r>
        <w:rPr>
          <w:spacing w:val="-3"/>
          <w:sz w:val="24"/>
        </w:rPr>
        <w:t> </w:t>
      </w:r>
      <w:r>
        <w:rPr>
          <w:sz w:val="24"/>
        </w:rPr>
        <w:t>d’Affaires,</w:t>
      </w:r>
      <w:r>
        <w:rPr>
          <w:spacing w:val="-3"/>
          <w:sz w:val="24"/>
        </w:rPr>
        <w:t> </w:t>
      </w:r>
      <w:r>
        <w:rPr>
          <w:sz w:val="24"/>
        </w:rPr>
        <w:t>de marché</w:t>
      </w:r>
      <w:r>
        <w:rPr>
          <w:spacing w:val="-3"/>
          <w:sz w:val="24"/>
        </w:rPr>
        <w:t> </w:t>
      </w:r>
      <w:r>
        <w:rPr>
          <w:sz w:val="24"/>
        </w:rPr>
        <w:t>boursier,</w:t>
      </w:r>
      <w:r>
        <w:rPr>
          <w:spacing w:val="-1"/>
          <w:sz w:val="24"/>
        </w:rPr>
        <w:t> </w:t>
      </w:r>
      <w:r>
        <w:rPr>
          <w:sz w:val="24"/>
        </w:rPr>
        <w:t>etc.) ;</w:t>
      </w:r>
      <w:r>
        <w:rPr>
          <w:spacing w:val="-3"/>
          <w:sz w:val="24"/>
        </w:rPr>
        <w:t> </w:t>
      </w:r>
      <w:r>
        <w:rPr>
          <w:sz w:val="24"/>
        </w:rPr>
        <w:t>la</w:t>
      </w:r>
      <w:r>
        <w:rPr>
          <w:spacing w:val="-3"/>
          <w:sz w:val="24"/>
        </w:rPr>
        <w:t> </w:t>
      </w:r>
      <w:r>
        <w:rPr>
          <w:sz w:val="24"/>
        </w:rPr>
        <w:t>diversification</w:t>
      </w:r>
      <w:r>
        <w:rPr>
          <w:spacing w:val="-2"/>
          <w:sz w:val="24"/>
        </w:rPr>
        <w:t> </w:t>
      </w:r>
      <w:r>
        <w:rPr>
          <w:sz w:val="24"/>
        </w:rPr>
        <w:t>des</w:t>
      </w:r>
      <w:r>
        <w:rPr>
          <w:spacing w:val="-3"/>
          <w:sz w:val="24"/>
        </w:rPr>
        <w:t> </w:t>
      </w:r>
      <w:r>
        <w:rPr>
          <w:sz w:val="24"/>
        </w:rPr>
        <w:t>sources</w:t>
      </w:r>
      <w:r>
        <w:rPr>
          <w:spacing w:val="-3"/>
          <w:sz w:val="24"/>
        </w:rPr>
        <w:t> </w:t>
      </w:r>
      <w:r>
        <w:rPr>
          <w:sz w:val="24"/>
        </w:rPr>
        <w:t>de</w:t>
      </w:r>
      <w:r>
        <w:rPr>
          <w:spacing w:val="-2"/>
          <w:sz w:val="24"/>
        </w:rPr>
        <w:t> </w:t>
      </w:r>
      <w:r>
        <w:rPr>
          <w:sz w:val="24"/>
        </w:rPr>
        <w:t>financement (IDE,</w:t>
      </w:r>
      <w:r>
        <w:rPr>
          <w:spacing w:val="-3"/>
          <w:sz w:val="24"/>
        </w:rPr>
        <w:t> </w:t>
      </w:r>
      <w:r>
        <w:rPr>
          <w:sz w:val="24"/>
        </w:rPr>
        <w:t>les PPP, les transferts des migrants, l’actionnariat populaire, finance climatique ; finance islamique) ; l’exploitation</w:t>
      </w:r>
      <w:r>
        <w:rPr>
          <w:spacing w:val="-3"/>
          <w:sz w:val="24"/>
        </w:rPr>
        <w:t> </w:t>
      </w:r>
      <w:r>
        <w:rPr>
          <w:sz w:val="24"/>
        </w:rPr>
        <w:t>des</w:t>
      </w:r>
      <w:r>
        <w:rPr>
          <w:spacing w:val="-5"/>
          <w:sz w:val="24"/>
        </w:rPr>
        <w:t> </w:t>
      </w:r>
      <w:r>
        <w:rPr>
          <w:sz w:val="24"/>
        </w:rPr>
        <w:t>nouvelles</w:t>
      </w:r>
      <w:r>
        <w:rPr>
          <w:spacing w:val="-5"/>
          <w:sz w:val="24"/>
        </w:rPr>
        <w:t> </w:t>
      </w:r>
      <w:r>
        <w:rPr>
          <w:sz w:val="24"/>
        </w:rPr>
        <w:t>sources</w:t>
      </w:r>
      <w:r>
        <w:rPr>
          <w:spacing w:val="-3"/>
          <w:sz w:val="24"/>
        </w:rPr>
        <w:t> </w:t>
      </w:r>
      <w:r>
        <w:rPr>
          <w:sz w:val="24"/>
        </w:rPr>
        <w:t>extérieures</w:t>
      </w:r>
      <w:r>
        <w:rPr>
          <w:spacing w:val="-5"/>
          <w:sz w:val="24"/>
        </w:rPr>
        <w:t> </w:t>
      </w:r>
      <w:r>
        <w:rPr>
          <w:sz w:val="24"/>
        </w:rPr>
        <w:t>de</w:t>
      </w:r>
      <w:r>
        <w:rPr>
          <w:spacing w:val="-3"/>
          <w:sz w:val="24"/>
        </w:rPr>
        <w:t> </w:t>
      </w:r>
      <w:r>
        <w:rPr>
          <w:sz w:val="24"/>
        </w:rPr>
        <w:t>financement</w:t>
      </w:r>
      <w:r>
        <w:rPr>
          <w:spacing w:val="-5"/>
          <w:sz w:val="24"/>
        </w:rPr>
        <w:t> </w:t>
      </w:r>
      <w:r>
        <w:rPr>
          <w:sz w:val="24"/>
        </w:rPr>
        <w:t>notamment</w:t>
      </w:r>
      <w:r>
        <w:rPr>
          <w:spacing w:val="-3"/>
          <w:sz w:val="24"/>
        </w:rPr>
        <w:t> </w:t>
      </w:r>
      <w:r>
        <w:rPr>
          <w:sz w:val="24"/>
        </w:rPr>
        <w:t>la</w:t>
      </w:r>
      <w:r>
        <w:rPr>
          <w:spacing w:val="-3"/>
          <w:sz w:val="24"/>
        </w:rPr>
        <w:t> </w:t>
      </w:r>
      <w:r>
        <w:rPr>
          <w:sz w:val="24"/>
        </w:rPr>
        <w:t>NBD</w:t>
      </w:r>
      <w:r>
        <w:rPr>
          <w:spacing w:val="-3"/>
          <w:sz w:val="24"/>
        </w:rPr>
        <w:t> </w:t>
      </w:r>
      <w:r>
        <w:rPr>
          <w:sz w:val="24"/>
        </w:rPr>
        <w:t>(Nouvelle Banque de Développement des BRICS) ; et la mise en œuvre d’une stratégie d’endettement efficace.</w:t>
      </w:r>
    </w:p>
    <w:p>
      <w:pPr>
        <w:pStyle w:val="ListParagraph"/>
        <w:numPr>
          <w:ilvl w:val="1"/>
          <w:numId w:val="1"/>
        </w:numPr>
        <w:tabs>
          <w:tab w:pos="1493" w:val="left" w:leader="none"/>
          <w:tab w:pos="1837" w:val="left" w:leader="none"/>
        </w:tabs>
        <w:spacing w:line="240" w:lineRule="auto" w:before="183" w:after="0"/>
        <w:ind w:left="1493" w:right="1140" w:hanging="360"/>
        <w:jc w:val="both"/>
        <w:rPr>
          <w:sz w:val="24"/>
        </w:rPr>
      </w:pPr>
      <w:r>
        <w:rPr>
          <w:sz w:val="24"/>
        </w:rPr>
        <w:t>Toutefois,</w:t>
      </w:r>
      <w:r>
        <w:rPr>
          <w:spacing w:val="40"/>
          <w:sz w:val="24"/>
        </w:rPr>
        <w:t> </w:t>
      </w:r>
      <w:r>
        <w:rPr>
          <w:sz w:val="24"/>
        </w:rPr>
        <w:t>la</w:t>
      </w:r>
      <w:r>
        <w:rPr>
          <w:spacing w:val="40"/>
          <w:sz w:val="24"/>
        </w:rPr>
        <w:t> </w:t>
      </w:r>
      <w:r>
        <w:rPr>
          <w:sz w:val="24"/>
        </w:rPr>
        <w:t>mobilisation</w:t>
      </w:r>
      <w:r>
        <w:rPr>
          <w:spacing w:val="40"/>
          <w:sz w:val="24"/>
        </w:rPr>
        <w:t> </w:t>
      </w:r>
      <w:r>
        <w:rPr>
          <w:sz w:val="24"/>
        </w:rPr>
        <w:t>de</w:t>
      </w:r>
      <w:r>
        <w:rPr>
          <w:spacing w:val="40"/>
          <w:sz w:val="24"/>
        </w:rPr>
        <w:t> </w:t>
      </w:r>
      <w:r>
        <w:rPr>
          <w:sz w:val="24"/>
        </w:rPr>
        <w:t>ces</w:t>
      </w:r>
      <w:r>
        <w:rPr>
          <w:spacing w:val="40"/>
          <w:sz w:val="24"/>
        </w:rPr>
        <w:t> </w:t>
      </w:r>
      <w:r>
        <w:rPr>
          <w:sz w:val="24"/>
        </w:rPr>
        <w:t>ressources</w:t>
      </w:r>
      <w:r>
        <w:rPr>
          <w:spacing w:val="40"/>
          <w:sz w:val="24"/>
        </w:rPr>
        <w:t> </w:t>
      </w:r>
      <w:r>
        <w:rPr>
          <w:sz w:val="24"/>
        </w:rPr>
        <w:t>doit</w:t>
      </w:r>
      <w:r>
        <w:rPr>
          <w:spacing w:val="40"/>
          <w:sz w:val="24"/>
        </w:rPr>
        <w:t> </w:t>
      </w:r>
      <w:r>
        <w:rPr>
          <w:sz w:val="24"/>
        </w:rPr>
        <w:t>être</w:t>
      </w:r>
      <w:r>
        <w:rPr>
          <w:spacing w:val="40"/>
          <w:sz w:val="24"/>
        </w:rPr>
        <w:t> </w:t>
      </w:r>
      <w:r>
        <w:rPr>
          <w:sz w:val="24"/>
        </w:rPr>
        <w:t>accompagnée</w:t>
      </w:r>
      <w:r>
        <w:rPr>
          <w:spacing w:val="40"/>
          <w:sz w:val="24"/>
        </w:rPr>
        <w:t> </w:t>
      </w:r>
      <w:r>
        <w:rPr>
          <w:sz w:val="24"/>
        </w:rPr>
        <w:t>d’une</w:t>
      </w:r>
      <w:r>
        <w:rPr>
          <w:spacing w:val="40"/>
          <w:sz w:val="24"/>
        </w:rPr>
        <w:t> </w:t>
      </w:r>
      <w:r>
        <w:rPr>
          <w:sz w:val="24"/>
        </w:rPr>
        <w:t>bonne</w:t>
      </w:r>
      <w:r>
        <w:rPr>
          <w:spacing w:val="40"/>
          <w:sz w:val="24"/>
        </w:rPr>
        <w:t> </w:t>
      </w:r>
      <w:r>
        <w:rPr>
          <w:sz w:val="24"/>
        </w:rPr>
        <w:t>gouvernance dans la gestion des finances publiques à travers une allocation optimale des ressources et une maîtrise des engagements et des dépenses permettant de garantir que les ressources soient</w:t>
      </w:r>
      <w:r>
        <w:rPr>
          <w:spacing w:val="40"/>
          <w:sz w:val="24"/>
        </w:rPr>
        <w:t> </w:t>
      </w:r>
      <w:r>
        <w:rPr>
          <w:sz w:val="24"/>
        </w:rPr>
        <w:t>utilisées de manière efficace et efficiente.</w:t>
      </w:r>
    </w:p>
    <w:p>
      <w:pPr>
        <w:pStyle w:val="Heading3"/>
        <w:numPr>
          <w:ilvl w:val="2"/>
          <w:numId w:val="10"/>
        </w:numPr>
        <w:tabs>
          <w:tab w:pos="1735" w:val="left" w:leader="none"/>
        </w:tabs>
        <w:spacing w:line="240" w:lineRule="auto" w:before="185" w:after="0"/>
        <w:ind w:left="1735" w:right="0" w:hanging="602"/>
        <w:jc w:val="left"/>
        <w:rPr>
          <w:color w:val="2E5395"/>
        </w:rPr>
      </w:pPr>
      <w:bookmarkStart w:name="_bookmark33" w:id="34"/>
      <w:bookmarkEnd w:id="34"/>
      <w:r>
        <w:rPr>
          <w:b w:val="0"/>
        </w:rPr>
      </w:r>
      <w:r>
        <w:rPr>
          <w:color w:val="2E5395"/>
        </w:rPr>
        <w:t>Au</w:t>
      </w:r>
      <w:r>
        <w:rPr>
          <w:color w:val="2E5395"/>
          <w:spacing w:val="-2"/>
        </w:rPr>
        <w:t> </w:t>
      </w:r>
      <w:r>
        <w:rPr>
          <w:color w:val="2E5395"/>
        </w:rPr>
        <w:t>niveau</w:t>
      </w:r>
      <w:r>
        <w:rPr>
          <w:color w:val="2E5395"/>
          <w:spacing w:val="-4"/>
        </w:rPr>
        <w:t> </w:t>
      </w:r>
      <w:r>
        <w:rPr>
          <w:color w:val="2E5395"/>
          <w:spacing w:val="-2"/>
        </w:rPr>
        <w:t>international</w:t>
      </w:r>
    </w:p>
    <w:p>
      <w:pPr>
        <w:pStyle w:val="ListParagraph"/>
        <w:numPr>
          <w:ilvl w:val="1"/>
          <w:numId w:val="1"/>
        </w:numPr>
        <w:tabs>
          <w:tab w:pos="1493" w:val="left" w:leader="none"/>
          <w:tab w:pos="1837" w:val="left" w:leader="none"/>
        </w:tabs>
        <w:spacing w:line="240" w:lineRule="auto" w:before="183" w:after="0"/>
        <w:ind w:left="1493" w:right="1129" w:hanging="360"/>
        <w:jc w:val="both"/>
        <w:rPr>
          <w:sz w:val="24"/>
        </w:rPr>
      </w:pPr>
      <w:r>
        <w:rPr>
          <w:sz w:val="24"/>
        </w:rPr>
        <w:t>Le Mali se trouve dans un environnement mondial multipolaire et incertain modifiant les rapports de forces et les équilibres géostratégiques et marqué par l’avènement d’économies émergentes, la guerre économique, la dérégulation climatique et l’éclosion de nouvelles pandémies.</w:t>
      </w:r>
    </w:p>
    <w:p>
      <w:pPr>
        <w:pStyle w:val="ListParagraph"/>
        <w:spacing w:after="0" w:line="240" w:lineRule="auto"/>
        <w:jc w:val="both"/>
        <w:rPr>
          <w:sz w:val="24"/>
        </w:rPr>
        <w:sectPr>
          <w:pgSz w:w="11910" w:h="16840"/>
          <w:pgMar w:header="0" w:footer="680" w:top="1320" w:bottom="960" w:left="283" w:right="141"/>
        </w:sectPr>
      </w:pPr>
    </w:p>
    <w:p>
      <w:pPr>
        <w:pStyle w:val="ListParagraph"/>
        <w:numPr>
          <w:ilvl w:val="1"/>
          <w:numId w:val="1"/>
        </w:numPr>
        <w:tabs>
          <w:tab w:pos="1493" w:val="left" w:leader="none"/>
          <w:tab w:pos="1837" w:val="left" w:leader="none"/>
        </w:tabs>
        <w:spacing w:line="240" w:lineRule="auto" w:before="78" w:after="0"/>
        <w:ind w:left="1493" w:right="1128" w:hanging="360"/>
        <w:jc w:val="both"/>
        <w:rPr>
          <w:sz w:val="24"/>
        </w:rPr>
      </w:pPr>
      <w:r>
        <w:rPr>
          <w:sz w:val="24"/>
        </w:rPr>
        <w:t>Aussi, les chocs externes notamment, les conséquences de la crise ukrainienne, la fluctuation</w:t>
      </w:r>
      <w:r>
        <w:rPr>
          <w:spacing w:val="-3"/>
          <w:sz w:val="24"/>
        </w:rPr>
        <w:t> </w:t>
      </w:r>
      <w:r>
        <w:rPr>
          <w:sz w:val="24"/>
        </w:rPr>
        <w:t>des cours</w:t>
      </w:r>
      <w:r>
        <w:rPr>
          <w:spacing w:val="40"/>
          <w:sz w:val="24"/>
        </w:rPr>
        <w:t> </w:t>
      </w:r>
      <w:r>
        <w:rPr>
          <w:sz w:val="24"/>
        </w:rPr>
        <w:t>des</w:t>
      </w:r>
      <w:r>
        <w:rPr>
          <w:spacing w:val="40"/>
          <w:sz w:val="24"/>
        </w:rPr>
        <w:t> </w:t>
      </w:r>
      <w:r>
        <w:rPr>
          <w:sz w:val="24"/>
        </w:rPr>
        <w:t>matières</w:t>
      </w:r>
      <w:r>
        <w:rPr>
          <w:spacing w:val="40"/>
          <w:sz w:val="24"/>
        </w:rPr>
        <w:t> </w:t>
      </w:r>
      <w:r>
        <w:rPr>
          <w:sz w:val="24"/>
        </w:rPr>
        <w:t>premières</w:t>
      </w:r>
      <w:r>
        <w:rPr>
          <w:spacing w:val="40"/>
          <w:sz w:val="24"/>
        </w:rPr>
        <w:t> </w:t>
      </w:r>
      <w:r>
        <w:rPr>
          <w:sz w:val="24"/>
        </w:rPr>
        <w:t>sur</w:t>
      </w:r>
      <w:r>
        <w:rPr>
          <w:spacing w:val="40"/>
          <w:sz w:val="24"/>
        </w:rPr>
        <w:t> </w:t>
      </w:r>
      <w:r>
        <w:rPr>
          <w:sz w:val="24"/>
        </w:rPr>
        <w:t>le</w:t>
      </w:r>
      <w:r>
        <w:rPr>
          <w:spacing w:val="40"/>
          <w:sz w:val="24"/>
        </w:rPr>
        <w:t> </w:t>
      </w:r>
      <w:r>
        <w:rPr>
          <w:sz w:val="24"/>
        </w:rPr>
        <w:t>marché</w:t>
      </w:r>
      <w:r>
        <w:rPr>
          <w:spacing w:val="40"/>
          <w:sz w:val="24"/>
        </w:rPr>
        <w:t> </w:t>
      </w:r>
      <w:r>
        <w:rPr>
          <w:sz w:val="24"/>
        </w:rPr>
        <w:t>international</w:t>
      </w:r>
      <w:r>
        <w:rPr>
          <w:spacing w:val="40"/>
          <w:sz w:val="24"/>
        </w:rPr>
        <w:t> </w:t>
      </w:r>
      <w:r>
        <w:rPr>
          <w:sz w:val="24"/>
        </w:rPr>
        <w:t>constituent</w:t>
      </w:r>
      <w:r>
        <w:rPr>
          <w:spacing w:val="40"/>
          <w:sz w:val="24"/>
        </w:rPr>
        <w:t> </w:t>
      </w:r>
      <w:r>
        <w:rPr>
          <w:sz w:val="24"/>
        </w:rPr>
        <w:t>des</w:t>
      </w:r>
      <w:r>
        <w:rPr>
          <w:spacing w:val="40"/>
          <w:sz w:val="24"/>
        </w:rPr>
        <w:t> </w:t>
      </w:r>
      <w:r>
        <w:rPr>
          <w:sz w:val="24"/>
        </w:rPr>
        <w:t>risques</w:t>
      </w:r>
      <w:r>
        <w:rPr>
          <w:spacing w:val="40"/>
          <w:sz w:val="24"/>
        </w:rPr>
        <w:t> </w:t>
      </w:r>
      <w:r>
        <w:rPr>
          <w:sz w:val="24"/>
        </w:rPr>
        <w:t>majeurs.</w:t>
      </w:r>
      <w:r>
        <w:rPr>
          <w:spacing w:val="40"/>
          <w:sz w:val="24"/>
        </w:rPr>
        <w:t> </w:t>
      </w:r>
      <w:r>
        <w:rPr>
          <w:sz w:val="24"/>
        </w:rPr>
        <w:t>En effet, une baisse des cours des principaux produits d’exportation du Mali (or, coton, etc.) pourrait affecter les recettes</w:t>
      </w:r>
      <w:r>
        <w:rPr>
          <w:spacing w:val="-2"/>
          <w:sz w:val="24"/>
        </w:rPr>
        <w:t> </w:t>
      </w:r>
      <w:r>
        <w:rPr>
          <w:sz w:val="24"/>
        </w:rPr>
        <w:t>budgétaires mais aussi les</w:t>
      </w:r>
      <w:r>
        <w:rPr>
          <w:spacing w:val="-1"/>
          <w:sz w:val="24"/>
        </w:rPr>
        <w:t> </w:t>
      </w:r>
      <w:r>
        <w:rPr>
          <w:sz w:val="24"/>
        </w:rPr>
        <w:t>revenus des cotonculteurs et</w:t>
      </w:r>
      <w:r>
        <w:rPr>
          <w:spacing w:val="-1"/>
          <w:sz w:val="24"/>
        </w:rPr>
        <w:t> </w:t>
      </w:r>
      <w:r>
        <w:rPr>
          <w:sz w:val="24"/>
        </w:rPr>
        <w:t>des</w:t>
      </w:r>
      <w:r>
        <w:rPr>
          <w:spacing w:val="-2"/>
          <w:sz w:val="24"/>
        </w:rPr>
        <w:t> </w:t>
      </w:r>
      <w:r>
        <w:rPr>
          <w:sz w:val="24"/>
        </w:rPr>
        <w:t>autres</w:t>
      </w:r>
      <w:r>
        <w:rPr>
          <w:spacing w:val="-2"/>
          <w:sz w:val="24"/>
        </w:rPr>
        <w:t> </w:t>
      </w:r>
      <w:r>
        <w:rPr>
          <w:sz w:val="24"/>
        </w:rPr>
        <w:t>acteurs de la filière. De même, une hausse du cours du pétrole notamment dans un contexte où le cours du dollar est relativement élevé affecterait non seulement le coût de l’énergie mais accroitrait les sorties de devises et pourrait entrainer</w:t>
      </w:r>
      <w:r>
        <w:rPr>
          <w:spacing w:val="-3"/>
          <w:sz w:val="24"/>
        </w:rPr>
        <w:t> </w:t>
      </w:r>
      <w:r>
        <w:rPr>
          <w:sz w:val="24"/>
        </w:rPr>
        <w:t>une</w:t>
      </w:r>
      <w:r>
        <w:rPr>
          <w:spacing w:val="-2"/>
          <w:sz w:val="24"/>
        </w:rPr>
        <w:t> </w:t>
      </w:r>
      <w:r>
        <w:rPr>
          <w:sz w:val="24"/>
        </w:rPr>
        <w:t>flambée des</w:t>
      </w:r>
      <w:r>
        <w:rPr>
          <w:spacing w:val="-2"/>
          <w:sz w:val="24"/>
        </w:rPr>
        <w:t> </w:t>
      </w:r>
      <w:r>
        <w:rPr>
          <w:sz w:val="24"/>
        </w:rPr>
        <w:t>prix qui impacterait</w:t>
      </w:r>
      <w:r>
        <w:rPr>
          <w:spacing w:val="-2"/>
          <w:sz w:val="24"/>
        </w:rPr>
        <w:t> </w:t>
      </w:r>
      <w:r>
        <w:rPr>
          <w:sz w:val="24"/>
        </w:rPr>
        <w:t>négativement sur</w:t>
      </w:r>
      <w:r>
        <w:rPr>
          <w:spacing w:val="-1"/>
          <w:sz w:val="24"/>
        </w:rPr>
        <w:t> </w:t>
      </w:r>
      <w:r>
        <w:rPr>
          <w:sz w:val="24"/>
        </w:rPr>
        <w:t>le pouvoir</w:t>
      </w:r>
      <w:r>
        <w:rPr>
          <w:spacing w:val="-1"/>
          <w:sz w:val="24"/>
        </w:rPr>
        <w:t> </w:t>
      </w:r>
      <w:r>
        <w:rPr>
          <w:sz w:val="24"/>
        </w:rPr>
        <w:t>d’achat des populations.</w:t>
      </w:r>
    </w:p>
    <w:p>
      <w:pPr>
        <w:pStyle w:val="Heading1"/>
        <w:numPr>
          <w:ilvl w:val="0"/>
          <w:numId w:val="6"/>
        </w:numPr>
        <w:tabs>
          <w:tab w:pos="1478" w:val="left" w:leader="none"/>
        </w:tabs>
        <w:spacing w:line="240" w:lineRule="auto" w:before="275" w:after="0"/>
        <w:ind w:left="1478" w:right="0" w:hanging="345"/>
        <w:jc w:val="left"/>
      </w:pPr>
      <w:bookmarkStart w:name="_bookmark34" w:id="35"/>
      <w:bookmarkEnd w:id="35"/>
      <w:r>
        <w:rPr>
          <w:b w:val="0"/>
        </w:rPr>
      </w:r>
      <w:r>
        <w:rPr/>
        <w:t>LES</w:t>
      </w:r>
      <w:r>
        <w:rPr>
          <w:spacing w:val="-10"/>
        </w:rPr>
        <w:t> </w:t>
      </w:r>
      <w:r>
        <w:rPr/>
        <w:t>PROJETS</w:t>
      </w:r>
      <w:r>
        <w:rPr>
          <w:spacing w:val="-8"/>
        </w:rPr>
        <w:t> </w:t>
      </w:r>
      <w:r>
        <w:rPr/>
        <w:t>STRUCTURANTS,</w:t>
      </w:r>
      <w:r>
        <w:rPr>
          <w:spacing w:val="-7"/>
        </w:rPr>
        <w:t> </w:t>
      </w:r>
      <w:r>
        <w:rPr/>
        <w:t>FEDERATEURS</w:t>
      </w:r>
      <w:r>
        <w:rPr>
          <w:spacing w:val="-4"/>
        </w:rPr>
        <w:t> </w:t>
      </w:r>
      <w:r>
        <w:rPr/>
        <w:t>ET</w:t>
      </w:r>
      <w:r>
        <w:rPr>
          <w:spacing w:val="-2"/>
        </w:rPr>
        <w:t> INTEGRATEURS</w:t>
      </w:r>
    </w:p>
    <w:p>
      <w:pPr>
        <w:pStyle w:val="ListParagraph"/>
        <w:numPr>
          <w:ilvl w:val="1"/>
          <w:numId w:val="1"/>
        </w:numPr>
        <w:tabs>
          <w:tab w:pos="1493" w:val="left" w:leader="none"/>
          <w:tab w:pos="1837" w:val="left" w:leader="none"/>
        </w:tabs>
        <w:spacing w:line="240" w:lineRule="auto" w:before="184" w:after="0"/>
        <w:ind w:left="1493" w:right="1129" w:hanging="360"/>
        <w:jc w:val="both"/>
        <w:rPr>
          <w:sz w:val="24"/>
        </w:rPr>
      </w:pPr>
      <w:r>
        <w:rPr>
          <w:sz w:val="24"/>
        </w:rPr>
        <w:t>Pour</w:t>
      </w:r>
      <w:r>
        <w:rPr>
          <w:spacing w:val="13"/>
          <w:sz w:val="24"/>
        </w:rPr>
        <w:t> </w:t>
      </w:r>
      <w:r>
        <w:rPr>
          <w:sz w:val="24"/>
        </w:rPr>
        <w:t>la</w:t>
      </w:r>
      <w:r>
        <w:rPr>
          <w:spacing w:val="14"/>
          <w:sz w:val="24"/>
        </w:rPr>
        <w:t> </w:t>
      </w:r>
      <w:r>
        <w:rPr>
          <w:sz w:val="24"/>
        </w:rPr>
        <w:t>mise</w:t>
      </w:r>
      <w:r>
        <w:rPr>
          <w:spacing w:val="14"/>
          <w:sz w:val="24"/>
        </w:rPr>
        <w:t> </w:t>
      </w:r>
      <w:r>
        <w:rPr>
          <w:sz w:val="24"/>
        </w:rPr>
        <w:t>en</w:t>
      </w:r>
      <w:r>
        <w:rPr>
          <w:spacing w:val="14"/>
          <w:sz w:val="24"/>
        </w:rPr>
        <w:t> </w:t>
      </w:r>
      <w:r>
        <w:rPr>
          <w:sz w:val="24"/>
        </w:rPr>
        <w:t>œuvre</w:t>
      </w:r>
      <w:r>
        <w:rPr>
          <w:spacing w:val="14"/>
          <w:sz w:val="24"/>
        </w:rPr>
        <w:t> </w:t>
      </w:r>
      <w:r>
        <w:rPr>
          <w:sz w:val="24"/>
        </w:rPr>
        <w:t>de</w:t>
      </w:r>
      <w:r>
        <w:rPr>
          <w:spacing w:val="14"/>
          <w:sz w:val="24"/>
        </w:rPr>
        <w:t> </w:t>
      </w:r>
      <w:r>
        <w:rPr>
          <w:sz w:val="24"/>
        </w:rPr>
        <w:t>la</w:t>
      </w:r>
      <w:r>
        <w:rPr>
          <w:spacing w:val="14"/>
          <w:sz w:val="24"/>
        </w:rPr>
        <w:t> </w:t>
      </w:r>
      <w:r>
        <w:rPr>
          <w:sz w:val="24"/>
        </w:rPr>
        <w:t>Vision</w:t>
      </w:r>
      <w:r>
        <w:rPr>
          <w:spacing w:val="14"/>
          <w:sz w:val="24"/>
        </w:rPr>
        <w:t> </w:t>
      </w:r>
      <w:r>
        <w:rPr>
          <w:sz w:val="24"/>
        </w:rPr>
        <w:t>Mali</w:t>
      </w:r>
      <w:r>
        <w:rPr>
          <w:spacing w:val="18"/>
          <w:sz w:val="24"/>
        </w:rPr>
        <w:t> </w:t>
      </w:r>
      <w:r>
        <w:rPr>
          <w:sz w:val="24"/>
        </w:rPr>
        <w:t>Kura</w:t>
      </w:r>
      <w:r>
        <w:rPr>
          <w:spacing w:val="15"/>
          <w:sz w:val="24"/>
        </w:rPr>
        <w:t> </w:t>
      </w:r>
      <w:r>
        <w:rPr>
          <w:rFonts w:ascii="Arial" w:hAnsi="Arial"/>
          <w:sz w:val="24"/>
        </w:rPr>
        <w:t>ɲɛ</w:t>
      </w:r>
      <w:r>
        <w:rPr>
          <w:sz w:val="24"/>
        </w:rPr>
        <w:t>taasira</w:t>
      </w:r>
      <w:r>
        <w:rPr>
          <w:spacing w:val="14"/>
          <w:sz w:val="24"/>
        </w:rPr>
        <w:t> </w:t>
      </w:r>
      <w:r>
        <w:rPr>
          <w:sz w:val="24"/>
        </w:rPr>
        <w:t>ka</w:t>
      </w:r>
      <w:r>
        <w:rPr>
          <w:spacing w:val="14"/>
          <w:sz w:val="24"/>
        </w:rPr>
        <w:t> </w:t>
      </w:r>
      <w:r>
        <w:rPr>
          <w:sz w:val="24"/>
        </w:rPr>
        <w:t>b</w:t>
      </w:r>
      <w:r>
        <w:rPr>
          <w:rFonts w:ascii="Arial" w:hAnsi="Arial"/>
          <w:sz w:val="24"/>
        </w:rPr>
        <w:t>ɛ</w:t>
      </w:r>
      <w:r>
        <w:rPr>
          <w:sz w:val="24"/>
        </w:rPr>
        <w:t>n</w:t>
      </w:r>
      <w:r>
        <w:rPr>
          <w:spacing w:val="14"/>
          <w:sz w:val="24"/>
        </w:rPr>
        <w:t> </w:t>
      </w:r>
      <w:r>
        <w:rPr>
          <w:sz w:val="24"/>
        </w:rPr>
        <w:t>san</w:t>
      </w:r>
      <w:r>
        <w:rPr>
          <w:spacing w:val="14"/>
          <w:sz w:val="24"/>
        </w:rPr>
        <w:t> </w:t>
      </w:r>
      <w:r>
        <w:rPr>
          <w:sz w:val="24"/>
        </w:rPr>
        <w:t>2063</w:t>
      </w:r>
      <w:r>
        <w:rPr>
          <w:spacing w:val="14"/>
          <w:sz w:val="24"/>
        </w:rPr>
        <w:t> </w:t>
      </w:r>
      <w:r>
        <w:rPr>
          <w:sz w:val="24"/>
        </w:rPr>
        <w:t>ma,</w:t>
      </w:r>
      <w:r>
        <w:rPr>
          <w:spacing w:val="14"/>
          <w:sz w:val="24"/>
        </w:rPr>
        <w:t> </w:t>
      </w:r>
      <w:r>
        <w:rPr>
          <w:sz w:val="24"/>
        </w:rPr>
        <w:t>le Gouvernement de la République du Mali ambitionne d’initier des Projets structurants d’envergure devant soutenir les différentes stratégies nationales de développement du Mali à l’horizon 2063</w:t>
      </w:r>
      <w:r>
        <w:rPr>
          <w:color w:val="FF0000"/>
          <w:sz w:val="24"/>
        </w:rPr>
        <w:t>.</w:t>
      </w:r>
    </w:p>
    <w:p>
      <w:pPr>
        <w:pStyle w:val="ListParagraph"/>
        <w:numPr>
          <w:ilvl w:val="1"/>
          <w:numId w:val="1"/>
        </w:numPr>
        <w:tabs>
          <w:tab w:pos="1493" w:val="left" w:leader="none"/>
          <w:tab w:pos="1837" w:val="left" w:leader="none"/>
        </w:tabs>
        <w:spacing w:line="240" w:lineRule="auto" w:before="184" w:after="0"/>
        <w:ind w:left="1493" w:right="1128" w:hanging="360"/>
        <w:jc w:val="both"/>
        <w:rPr>
          <w:sz w:val="24"/>
        </w:rPr>
      </w:pPr>
      <w:r>
        <w:rPr>
          <w:sz w:val="24"/>
        </w:rPr>
        <w:t>Pour</w:t>
      </w:r>
      <w:r>
        <w:rPr>
          <w:spacing w:val="40"/>
          <w:sz w:val="24"/>
        </w:rPr>
        <w:t> </w:t>
      </w:r>
      <w:r>
        <w:rPr>
          <w:sz w:val="24"/>
        </w:rPr>
        <w:t>faire</w:t>
      </w:r>
      <w:r>
        <w:rPr>
          <w:spacing w:val="40"/>
          <w:sz w:val="24"/>
        </w:rPr>
        <w:t> </w:t>
      </w:r>
      <w:r>
        <w:rPr>
          <w:sz w:val="24"/>
        </w:rPr>
        <w:t>des</w:t>
      </w:r>
      <w:r>
        <w:rPr>
          <w:spacing w:val="40"/>
          <w:sz w:val="24"/>
        </w:rPr>
        <w:t> </w:t>
      </w:r>
      <w:r>
        <w:rPr>
          <w:sz w:val="24"/>
        </w:rPr>
        <w:t>projets</w:t>
      </w:r>
      <w:r>
        <w:rPr>
          <w:spacing w:val="40"/>
          <w:sz w:val="24"/>
        </w:rPr>
        <w:t> </w:t>
      </w:r>
      <w:r>
        <w:rPr>
          <w:sz w:val="24"/>
        </w:rPr>
        <w:t>structurants</w:t>
      </w:r>
      <w:r>
        <w:rPr>
          <w:spacing w:val="40"/>
          <w:sz w:val="24"/>
        </w:rPr>
        <w:t> </w:t>
      </w:r>
      <w:r>
        <w:rPr>
          <w:sz w:val="24"/>
        </w:rPr>
        <w:t>un</w:t>
      </w:r>
      <w:r>
        <w:rPr>
          <w:spacing w:val="40"/>
          <w:sz w:val="24"/>
        </w:rPr>
        <w:t> </w:t>
      </w:r>
      <w:r>
        <w:rPr>
          <w:sz w:val="24"/>
        </w:rPr>
        <w:t>levier</w:t>
      </w:r>
      <w:r>
        <w:rPr>
          <w:spacing w:val="40"/>
          <w:sz w:val="24"/>
        </w:rPr>
        <w:t> </w:t>
      </w:r>
      <w:r>
        <w:rPr>
          <w:sz w:val="24"/>
        </w:rPr>
        <w:t>de</w:t>
      </w:r>
      <w:r>
        <w:rPr>
          <w:spacing w:val="40"/>
          <w:sz w:val="24"/>
        </w:rPr>
        <w:t> </w:t>
      </w:r>
      <w:r>
        <w:rPr>
          <w:sz w:val="24"/>
        </w:rPr>
        <w:t>réalisation</w:t>
      </w:r>
      <w:r>
        <w:rPr>
          <w:spacing w:val="40"/>
          <w:sz w:val="24"/>
        </w:rPr>
        <w:t> </w:t>
      </w:r>
      <w:r>
        <w:rPr>
          <w:sz w:val="24"/>
        </w:rPr>
        <w:t>de</w:t>
      </w:r>
      <w:r>
        <w:rPr>
          <w:spacing w:val="40"/>
          <w:sz w:val="24"/>
        </w:rPr>
        <w:t> </w:t>
      </w:r>
      <w:r>
        <w:rPr>
          <w:sz w:val="24"/>
        </w:rPr>
        <w:t>la</w:t>
      </w:r>
      <w:r>
        <w:rPr>
          <w:spacing w:val="40"/>
          <w:sz w:val="24"/>
        </w:rPr>
        <w:t> </w:t>
      </w:r>
      <w:r>
        <w:rPr>
          <w:sz w:val="24"/>
        </w:rPr>
        <w:t>Vision,</w:t>
      </w:r>
      <w:r>
        <w:rPr>
          <w:spacing w:val="40"/>
          <w:sz w:val="24"/>
        </w:rPr>
        <w:t> </w:t>
      </w:r>
      <w:r>
        <w:rPr>
          <w:sz w:val="24"/>
        </w:rPr>
        <w:t>il</w:t>
      </w:r>
      <w:r>
        <w:rPr>
          <w:spacing w:val="40"/>
          <w:sz w:val="24"/>
        </w:rPr>
        <w:t> </w:t>
      </w:r>
      <w:r>
        <w:rPr>
          <w:sz w:val="24"/>
        </w:rPr>
        <w:t>a</w:t>
      </w:r>
      <w:r>
        <w:rPr>
          <w:spacing w:val="40"/>
          <w:sz w:val="24"/>
        </w:rPr>
        <w:t> </w:t>
      </w:r>
      <w:r>
        <w:rPr>
          <w:sz w:val="24"/>
        </w:rPr>
        <w:t>été</w:t>
      </w:r>
      <w:r>
        <w:rPr>
          <w:spacing w:val="40"/>
          <w:sz w:val="24"/>
        </w:rPr>
        <w:t> </w:t>
      </w:r>
      <w:r>
        <w:rPr>
          <w:sz w:val="24"/>
        </w:rPr>
        <w:t>nécessaire</w:t>
      </w:r>
      <w:r>
        <w:rPr>
          <w:spacing w:val="40"/>
          <w:sz w:val="24"/>
        </w:rPr>
        <w:t> </w:t>
      </w:r>
      <w:r>
        <w:rPr>
          <w:sz w:val="24"/>
        </w:rPr>
        <w:t>de susciter la réflexion prospective autour desdits projets, afin d’opérer une rupture méthodologique</w:t>
      </w:r>
      <w:r>
        <w:rPr>
          <w:spacing w:val="40"/>
          <w:sz w:val="24"/>
        </w:rPr>
        <w:t> </w:t>
      </w:r>
      <w:r>
        <w:rPr>
          <w:sz w:val="24"/>
        </w:rPr>
        <w:t>dans</w:t>
      </w:r>
      <w:r>
        <w:rPr>
          <w:spacing w:val="-3"/>
          <w:sz w:val="24"/>
        </w:rPr>
        <w:t> </w:t>
      </w:r>
      <w:r>
        <w:rPr>
          <w:sz w:val="24"/>
        </w:rPr>
        <w:t>la</w:t>
      </w:r>
      <w:r>
        <w:rPr>
          <w:spacing w:val="-2"/>
          <w:sz w:val="24"/>
        </w:rPr>
        <w:t> </w:t>
      </w:r>
      <w:r>
        <w:rPr>
          <w:sz w:val="24"/>
        </w:rPr>
        <w:t>logique</w:t>
      </w:r>
      <w:r>
        <w:rPr>
          <w:spacing w:val="-2"/>
          <w:sz w:val="24"/>
        </w:rPr>
        <w:t> </w:t>
      </w:r>
      <w:r>
        <w:rPr>
          <w:sz w:val="24"/>
        </w:rPr>
        <w:t>sectorielle</w:t>
      </w:r>
      <w:r>
        <w:rPr>
          <w:spacing w:val="-2"/>
          <w:sz w:val="24"/>
        </w:rPr>
        <w:t> </w:t>
      </w:r>
      <w:r>
        <w:rPr>
          <w:sz w:val="24"/>
        </w:rPr>
        <w:t>toujours</w:t>
      </w:r>
      <w:r>
        <w:rPr>
          <w:spacing w:val="-3"/>
          <w:sz w:val="24"/>
        </w:rPr>
        <w:t> </w:t>
      </w:r>
      <w:r>
        <w:rPr>
          <w:sz w:val="24"/>
        </w:rPr>
        <w:t>entretenue</w:t>
      </w:r>
      <w:r>
        <w:rPr>
          <w:spacing w:val="-2"/>
          <w:sz w:val="24"/>
        </w:rPr>
        <w:t> </w:t>
      </w:r>
      <w:r>
        <w:rPr>
          <w:sz w:val="24"/>
        </w:rPr>
        <w:t>et leur</w:t>
      </w:r>
      <w:r>
        <w:rPr>
          <w:spacing w:val="-2"/>
          <w:sz w:val="24"/>
        </w:rPr>
        <w:t> </w:t>
      </w:r>
      <w:r>
        <w:rPr>
          <w:sz w:val="24"/>
        </w:rPr>
        <w:t>donner</w:t>
      </w:r>
      <w:r>
        <w:rPr>
          <w:spacing w:val="-2"/>
          <w:sz w:val="24"/>
        </w:rPr>
        <w:t> </w:t>
      </w:r>
      <w:r>
        <w:rPr>
          <w:sz w:val="24"/>
        </w:rPr>
        <w:t>un</w:t>
      </w:r>
      <w:r>
        <w:rPr>
          <w:spacing w:val="-2"/>
          <w:sz w:val="24"/>
        </w:rPr>
        <w:t> </w:t>
      </w:r>
      <w:r>
        <w:rPr>
          <w:sz w:val="24"/>
        </w:rPr>
        <w:t>contenu</w:t>
      </w:r>
      <w:r>
        <w:rPr>
          <w:spacing w:val="-2"/>
          <w:sz w:val="24"/>
        </w:rPr>
        <w:t> </w:t>
      </w:r>
      <w:r>
        <w:rPr>
          <w:sz w:val="24"/>
        </w:rPr>
        <w:t>nouveau</w:t>
      </w:r>
      <w:r>
        <w:rPr>
          <w:spacing w:val="-4"/>
          <w:sz w:val="24"/>
        </w:rPr>
        <w:t> </w:t>
      </w:r>
      <w:r>
        <w:rPr>
          <w:sz w:val="24"/>
        </w:rPr>
        <w:t>en</w:t>
      </w:r>
      <w:r>
        <w:rPr>
          <w:spacing w:val="-2"/>
          <w:sz w:val="24"/>
        </w:rPr>
        <w:t> </w:t>
      </w:r>
      <w:r>
        <w:rPr>
          <w:sz w:val="24"/>
        </w:rPr>
        <w:t>cohérence</w:t>
      </w:r>
      <w:r>
        <w:rPr>
          <w:spacing w:val="-2"/>
          <w:sz w:val="24"/>
        </w:rPr>
        <w:t> </w:t>
      </w:r>
      <w:r>
        <w:rPr>
          <w:sz w:val="24"/>
        </w:rPr>
        <w:t>avec la vision à bâtir. Ainsi, un changement de paradigme s’est imposé en privilégiant une approche de développement</w:t>
      </w:r>
      <w:r>
        <w:rPr>
          <w:spacing w:val="20"/>
          <w:sz w:val="24"/>
        </w:rPr>
        <w:t> </w:t>
      </w:r>
      <w:r>
        <w:rPr>
          <w:sz w:val="24"/>
        </w:rPr>
        <w:t>globale</w:t>
      </w:r>
      <w:r>
        <w:rPr>
          <w:spacing w:val="20"/>
          <w:sz w:val="24"/>
        </w:rPr>
        <w:t> </w:t>
      </w:r>
      <w:r>
        <w:rPr>
          <w:sz w:val="24"/>
        </w:rPr>
        <w:t>et</w:t>
      </w:r>
      <w:r>
        <w:rPr>
          <w:spacing w:val="20"/>
          <w:sz w:val="24"/>
        </w:rPr>
        <w:t> </w:t>
      </w:r>
      <w:r>
        <w:rPr>
          <w:sz w:val="24"/>
        </w:rPr>
        <w:t>intégrée</w:t>
      </w:r>
      <w:r>
        <w:rPr>
          <w:spacing w:val="20"/>
          <w:sz w:val="24"/>
        </w:rPr>
        <w:t> </w:t>
      </w:r>
      <w:r>
        <w:rPr>
          <w:sz w:val="24"/>
        </w:rPr>
        <w:t>face</w:t>
      </w:r>
      <w:r>
        <w:rPr>
          <w:spacing w:val="20"/>
          <w:sz w:val="24"/>
        </w:rPr>
        <w:t> </w:t>
      </w:r>
      <w:r>
        <w:rPr>
          <w:sz w:val="24"/>
        </w:rPr>
        <w:t>aux</w:t>
      </w:r>
      <w:r>
        <w:rPr>
          <w:spacing w:val="22"/>
          <w:sz w:val="24"/>
        </w:rPr>
        <w:t> </w:t>
      </w:r>
      <w:r>
        <w:rPr>
          <w:sz w:val="24"/>
        </w:rPr>
        <w:t>visions</w:t>
      </w:r>
      <w:r>
        <w:rPr>
          <w:spacing w:val="22"/>
          <w:sz w:val="24"/>
        </w:rPr>
        <w:t> </w:t>
      </w:r>
      <w:r>
        <w:rPr>
          <w:sz w:val="24"/>
        </w:rPr>
        <w:t>sectorielles</w:t>
      </w:r>
      <w:r>
        <w:rPr>
          <w:spacing w:val="19"/>
          <w:sz w:val="24"/>
        </w:rPr>
        <w:t> </w:t>
      </w:r>
      <w:r>
        <w:rPr>
          <w:sz w:val="24"/>
        </w:rPr>
        <w:t>basées</w:t>
      </w:r>
      <w:r>
        <w:rPr>
          <w:spacing w:val="22"/>
          <w:sz w:val="24"/>
        </w:rPr>
        <w:t> </w:t>
      </w:r>
      <w:r>
        <w:rPr>
          <w:sz w:val="24"/>
        </w:rPr>
        <w:t>sur</w:t>
      </w:r>
      <w:r>
        <w:rPr>
          <w:spacing w:val="19"/>
          <w:sz w:val="24"/>
        </w:rPr>
        <w:t> </w:t>
      </w:r>
      <w:r>
        <w:rPr>
          <w:sz w:val="24"/>
        </w:rPr>
        <w:t>des</w:t>
      </w:r>
      <w:r>
        <w:rPr>
          <w:spacing w:val="19"/>
          <w:sz w:val="24"/>
        </w:rPr>
        <w:t> </w:t>
      </w:r>
      <w:r>
        <w:rPr>
          <w:sz w:val="24"/>
        </w:rPr>
        <w:t>projets</w:t>
      </w:r>
      <w:r>
        <w:rPr>
          <w:spacing w:val="22"/>
          <w:sz w:val="24"/>
        </w:rPr>
        <w:t> </w:t>
      </w:r>
      <w:r>
        <w:rPr>
          <w:sz w:val="24"/>
        </w:rPr>
        <w:t>individuels. Il s’est agi de fixer le cap de grands objectifs à atteindre par domaine de développement en cohérence avec la Vision et de les matérialiser par des grands programmes ou projets structurants.</w:t>
      </w:r>
    </w:p>
    <w:p>
      <w:pPr>
        <w:pStyle w:val="ListParagraph"/>
        <w:numPr>
          <w:ilvl w:val="1"/>
          <w:numId w:val="1"/>
        </w:numPr>
        <w:tabs>
          <w:tab w:pos="1493" w:val="left" w:leader="none"/>
          <w:tab w:pos="1837" w:val="left" w:leader="none"/>
        </w:tabs>
        <w:spacing w:line="240" w:lineRule="auto" w:before="185" w:after="0"/>
        <w:ind w:left="1493" w:right="1127" w:hanging="360"/>
        <w:jc w:val="both"/>
        <w:rPr>
          <w:sz w:val="24"/>
        </w:rPr>
      </w:pPr>
      <w:r>
        <w:rPr>
          <w:sz w:val="24"/>
        </w:rPr>
        <w:t>Les travaux de réflexion et de conception, sous les orientations personnelles du Ministre de l’Economie et des Finances, ont abouti à l’identification et à la consolidation de onze (11) Projets structurants, intégrateurs et fédérateurs pour la mise en œuvre de la Vision Mali 2063 et de la</w:t>
      </w:r>
      <w:r>
        <w:rPr>
          <w:spacing w:val="40"/>
          <w:sz w:val="24"/>
        </w:rPr>
        <w:t> </w:t>
      </w:r>
      <w:r>
        <w:rPr>
          <w:sz w:val="24"/>
        </w:rPr>
        <w:t>SNEDD 2024-2033.</w:t>
      </w:r>
    </w:p>
    <w:p>
      <w:pPr>
        <w:pStyle w:val="Heading3"/>
        <w:numPr>
          <w:ilvl w:val="0"/>
          <w:numId w:val="11"/>
        </w:numPr>
        <w:tabs>
          <w:tab w:pos="1775" w:val="left" w:leader="none"/>
        </w:tabs>
        <w:spacing w:line="240" w:lineRule="auto" w:before="185" w:after="0"/>
        <w:ind w:left="1775" w:right="0" w:hanging="359"/>
        <w:jc w:val="left"/>
      </w:pPr>
      <w:r>
        <w:rPr/>
        <w:t>Projet</w:t>
      </w:r>
      <w:r>
        <w:rPr>
          <w:spacing w:val="-2"/>
        </w:rPr>
        <w:t> </w:t>
      </w:r>
      <w:r>
        <w:rPr/>
        <w:t>N°1 :</w:t>
      </w:r>
      <w:r>
        <w:rPr>
          <w:spacing w:val="-4"/>
        </w:rPr>
        <w:t> </w:t>
      </w:r>
      <w:r>
        <w:rPr/>
        <w:t>«</w:t>
      </w:r>
      <w:r>
        <w:rPr>
          <w:spacing w:val="-1"/>
        </w:rPr>
        <w:t> </w:t>
      </w:r>
      <w:r>
        <w:rPr/>
        <w:t>FARAFINNA</w:t>
      </w:r>
      <w:r>
        <w:rPr>
          <w:spacing w:val="-1"/>
        </w:rPr>
        <w:t> </w:t>
      </w:r>
      <w:r>
        <w:rPr/>
        <w:t>JIGIN</w:t>
      </w:r>
      <w:r>
        <w:rPr>
          <w:rFonts w:ascii="Arial" w:hAnsi="Arial"/>
        </w:rPr>
        <w:t>Ɛ</w:t>
      </w:r>
      <w:r>
        <w:rPr>
          <w:rFonts w:ascii="Arial" w:hAnsi="Arial"/>
          <w:spacing w:val="-3"/>
        </w:rPr>
        <w:t> </w:t>
      </w:r>
      <w:r>
        <w:rPr/>
        <w:t>»</w:t>
      </w:r>
      <w:r>
        <w:rPr>
          <w:spacing w:val="-1"/>
        </w:rPr>
        <w:t> </w:t>
      </w:r>
      <w:r>
        <w:rPr/>
        <w:t>:</w:t>
      </w:r>
      <w:r>
        <w:rPr>
          <w:spacing w:val="-1"/>
        </w:rPr>
        <w:t> </w:t>
      </w:r>
      <w:r>
        <w:rPr/>
        <w:t>Nourrir</w:t>
      </w:r>
      <w:r>
        <w:rPr>
          <w:spacing w:val="-3"/>
        </w:rPr>
        <w:t> </w:t>
      </w:r>
      <w:r>
        <w:rPr/>
        <w:t>le</w:t>
      </w:r>
      <w:r>
        <w:rPr>
          <w:spacing w:val="-1"/>
        </w:rPr>
        <w:t> </w:t>
      </w:r>
      <w:r>
        <w:rPr/>
        <w:t>Mali</w:t>
      </w:r>
      <w:r>
        <w:rPr>
          <w:spacing w:val="-3"/>
        </w:rPr>
        <w:t> </w:t>
      </w:r>
      <w:r>
        <w:rPr/>
        <w:t>et</w:t>
      </w:r>
      <w:r>
        <w:rPr>
          <w:spacing w:val="-1"/>
        </w:rPr>
        <w:t> </w:t>
      </w:r>
      <w:r>
        <w:rPr/>
        <w:t>la</w:t>
      </w:r>
      <w:r>
        <w:rPr>
          <w:spacing w:val="-1"/>
        </w:rPr>
        <w:t> </w:t>
      </w:r>
      <w:r>
        <w:rPr/>
        <w:t>Sous-</w:t>
      </w:r>
      <w:r>
        <w:rPr>
          <w:spacing w:val="-2"/>
        </w:rPr>
        <w:t>Région.</w:t>
      </w:r>
    </w:p>
    <w:p>
      <w:pPr>
        <w:pStyle w:val="ListParagraph"/>
        <w:numPr>
          <w:ilvl w:val="1"/>
          <w:numId w:val="1"/>
        </w:numPr>
        <w:tabs>
          <w:tab w:pos="1493" w:val="left" w:leader="none"/>
          <w:tab w:pos="1837" w:val="left" w:leader="none"/>
        </w:tabs>
        <w:spacing w:line="240" w:lineRule="auto" w:before="137" w:after="0"/>
        <w:ind w:left="1493" w:right="1129" w:hanging="360"/>
        <w:jc w:val="both"/>
        <w:rPr>
          <w:sz w:val="24"/>
        </w:rPr>
      </w:pPr>
      <w:r>
        <w:rPr>
          <w:sz w:val="24"/>
        </w:rPr>
        <w:t>Il</w:t>
      </w:r>
      <w:r>
        <w:rPr>
          <w:spacing w:val="40"/>
          <w:sz w:val="24"/>
        </w:rPr>
        <w:t> </w:t>
      </w:r>
      <w:r>
        <w:rPr>
          <w:sz w:val="24"/>
        </w:rPr>
        <w:t>ambitionne</w:t>
      </w:r>
      <w:r>
        <w:rPr>
          <w:spacing w:val="40"/>
          <w:sz w:val="24"/>
        </w:rPr>
        <w:t> </w:t>
      </w:r>
      <w:r>
        <w:rPr>
          <w:sz w:val="24"/>
        </w:rPr>
        <w:t>de :</w:t>
      </w:r>
      <w:r>
        <w:rPr>
          <w:spacing w:val="40"/>
          <w:sz w:val="24"/>
        </w:rPr>
        <w:t> </w:t>
      </w:r>
      <w:r>
        <w:rPr>
          <w:sz w:val="24"/>
        </w:rPr>
        <w:t>(i)</w:t>
      </w:r>
      <w:r>
        <w:rPr>
          <w:spacing w:val="40"/>
          <w:sz w:val="24"/>
        </w:rPr>
        <w:t> </w:t>
      </w:r>
      <w:r>
        <w:rPr>
          <w:sz w:val="24"/>
        </w:rPr>
        <w:t>promouvoir</w:t>
      </w:r>
      <w:r>
        <w:rPr>
          <w:spacing w:val="40"/>
          <w:sz w:val="24"/>
        </w:rPr>
        <w:t> </w:t>
      </w:r>
      <w:r>
        <w:rPr>
          <w:sz w:val="24"/>
        </w:rPr>
        <w:t>les</w:t>
      </w:r>
      <w:r>
        <w:rPr>
          <w:spacing w:val="40"/>
          <w:sz w:val="24"/>
        </w:rPr>
        <w:t> </w:t>
      </w:r>
      <w:r>
        <w:rPr>
          <w:sz w:val="24"/>
        </w:rPr>
        <w:t>chaines</w:t>
      </w:r>
      <w:r>
        <w:rPr>
          <w:spacing w:val="40"/>
          <w:sz w:val="24"/>
        </w:rPr>
        <w:t> </w:t>
      </w:r>
      <w:r>
        <w:rPr>
          <w:sz w:val="24"/>
        </w:rPr>
        <w:t>de</w:t>
      </w:r>
      <w:r>
        <w:rPr>
          <w:spacing w:val="40"/>
          <w:sz w:val="24"/>
        </w:rPr>
        <w:t> </w:t>
      </w:r>
      <w:r>
        <w:rPr>
          <w:sz w:val="24"/>
        </w:rPr>
        <w:t>valeurs</w:t>
      </w:r>
      <w:r>
        <w:rPr>
          <w:spacing w:val="40"/>
          <w:sz w:val="24"/>
        </w:rPr>
        <w:t> </w:t>
      </w:r>
      <w:r>
        <w:rPr>
          <w:sz w:val="24"/>
        </w:rPr>
        <w:t>agricoles</w:t>
      </w:r>
      <w:r>
        <w:rPr>
          <w:spacing w:val="40"/>
          <w:sz w:val="24"/>
        </w:rPr>
        <w:t> </w:t>
      </w:r>
      <w:r>
        <w:rPr>
          <w:sz w:val="24"/>
        </w:rPr>
        <w:t>à</w:t>
      </w:r>
      <w:r>
        <w:rPr>
          <w:spacing w:val="40"/>
          <w:sz w:val="24"/>
        </w:rPr>
        <w:t> </w:t>
      </w:r>
      <w:r>
        <w:rPr>
          <w:sz w:val="24"/>
        </w:rPr>
        <w:t>travers</w:t>
      </w:r>
      <w:r>
        <w:rPr>
          <w:spacing w:val="40"/>
          <w:sz w:val="24"/>
        </w:rPr>
        <w:t> </w:t>
      </w:r>
      <w:r>
        <w:rPr>
          <w:sz w:val="24"/>
        </w:rPr>
        <w:t>la</w:t>
      </w:r>
      <w:r>
        <w:rPr>
          <w:spacing w:val="40"/>
          <w:sz w:val="24"/>
        </w:rPr>
        <w:t> </w:t>
      </w:r>
      <w:r>
        <w:rPr>
          <w:sz w:val="24"/>
        </w:rPr>
        <w:t>création</w:t>
      </w:r>
      <w:r>
        <w:rPr>
          <w:spacing w:val="40"/>
          <w:sz w:val="24"/>
        </w:rPr>
        <w:t> </w:t>
      </w:r>
      <w:r>
        <w:rPr>
          <w:sz w:val="24"/>
        </w:rPr>
        <w:t>des agropoles bâtis autour des filières porteuses prioritaires des zones ; (ii) assurer la souveraineté alimentaire du Mali et (iii) faire du Mali un exportateur net de produits agricoles à la fin de la première décennie de mise en œuvre de la Vision Mali 2063.</w:t>
      </w:r>
    </w:p>
    <w:p>
      <w:pPr>
        <w:pStyle w:val="ListParagraph"/>
        <w:numPr>
          <w:ilvl w:val="1"/>
          <w:numId w:val="1"/>
        </w:numPr>
        <w:tabs>
          <w:tab w:pos="1493" w:val="left" w:leader="none"/>
          <w:tab w:pos="1837" w:val="left" w:leader="none"/>
        </w:tabs>
        <w:spacing w:line="240" w:lineRule="auto" w:before="137" w:after="0"/>
        <w:ind w:left="1493" w:right="1128" w:hanging="360"/>
        <w:jc w:val="both"/>
        <w:rPr>
          <w:sz w:val="24"/>
        </w:rPr>
      </w:pPr>
      <w:r>
        <w:rPr>
          <w:sz w:val="24"/>
        </w:rPr>
        <w:t>Pour atteindre cet objectif, 12 agropoles seront mis en place, bâtis autour des filières porteuses prioritaires des zones. Il s’agit de : (i) Agropole Kayes – Sud</w:t>
      </w:r>
      <w:r>
        <w:rPr>
          <w:spacing w:val="-1"/>
          <w:sz w:val="24"/>
        </w:rPr>
        <w:t> </w:t>
      </w:r>
      <w:r>
        <w:rPr>
          <w:sz w:val="24"/>
        </w:rPr>
        <w:t>; (ii) Agropole Kayes – Occidental</w:t>
      </w:r>
      <w:r>
        <w:rPr>
          <w:spacing w:val="-2"/>
          <w:sz w:val="24"/>
        </w:rPr>
        <w:t> </w:t>
      </w:r>
      <w:r>
        <w:rPr>
          <w:sz w:val="24"/>
        </w:rPr>
        <w:t>; (iii) Agropole Koulikoro</w:t>
      </w:r>
      <w:r>
        <w:rPr>
          <w:spacing w:val="40"/>
          <w:sz w:val="24"/>
        </w:rPr>
        <w:t> </w:t>
      </w:r>
      <w:r>
        <w:rPr>
          <w:sz w:val="24"/>
        </w:rPr>
        <w:t>– Péri-urbain Bamako ; (iv) Agropole Mali</w:t>
      </w:r>
      <w:r>
        <w:rPr>
          <w:spacing w:val="40"/>
          <w:sz w:val="24"/>
        </w:rPr>
        <w:t> </w:t>
      </w:r>
      <w:r>
        <w:rPr>
          <w:sz w:val="24"/>
        </w:rPr>
        <w:t>–</w:t>
      </w:r>
      <w:r>
        <w:rPr>
          <w:spacing w:val="40"/>
          <w:sz w:val="24"/>
        </w:rPr>
        <w:t> </w:t>
      </w:r>
      <w:r>
        <w:rPr>
          <w:sz w:val="24"/>
        </w:rPr>
        <w:t>Sud ; (v) Agropole Bassin de Sélingué ; (vi) Agropole Zone Office du Niger / Office Riz Ségou ; (vii) Agropole Moyen Bani ; (viii) Agropole Delta Intérieur du Niger ; (ix) Agropole Plateau – Seno</w:t>
      </w:r>
      <w:r>
        <w:rPr>
          <w:spacing w:val="-1"/>
          <w:sz w:val="24"/>
        </w:rPr>
        <w:t> </w:t>
      </w:r>
      <w:r>
        <w:rPr>
          <w:sz w:val="24"/>
        </w:rPr>
        <w:t>; (x) Agropole Zone Lacustre ; (xi) Agropole Boucle du Niger et (xii) Agropole Tilemsi, Adrar des Ifoghas.</w:t>
      </w:r>
    </w:p>
    <w:p>
      <w:pPr>
        <w:pStyle w:val="ListParagraph"/>
        <w:numPr>
          <w:ilvl w:val="1"/>
          <w:numId w:val="1"/>
        </w:numPr>
        <w:tabs>
          <w:tab w:pos="1493" w:val="left" w:leader="none"/>
          <w:tab w:pos="1837" w:val="left" w:leader="none"/>
        </w:tabs>
        <w:spacing w:line="240" w:lineRule="auto" w:before="184" w:after="0"/>
        <w:ind w:left="1493" w:right="1127" w:hanging="360"/>
        <w:jc w:val="both"/>
        <w:rPr>
          <w:sz w:val="24"/>
        </w:rPr>
      </w:pPr>
      <w:r>
        <w:rPr>
          <w:sz w:val="24"/>
        </w:rPr>
        <w:t>Ce</w:t>
      </w:r>
      <w:r>
        <w:rPr>
          <w:spacing w:val="40"/>
          <w:sz w:val="24"/>
        </w:rPr>
        <w:t> </w:t>
      </w:r>
      <w:r>
        <w:rPr>
          <w:sz w:val="24"/>
        </w:rPr>
        <w:t>Projet</w:t>
      </w:r>
      <w:r>
        <w:rPr>
          <w:spacing w:val="40"/>
          <w:sz w:val="24"/>
        </w:rPr>
        <w:t> </w:t>
      </w:r>
      <w:r>
        <w:rPr>
          <w:sz w:val="24"/>
        </w:rPr>
        <w:t>permettra</w:t>
      </w:r>
      <w:r>
        <w:rPr>
          <w:spacing w:val="40"/>
          <w:sz w:val="24"/>
        </w:rPr>
        <w:t> </w:t>
      </w:r>
      <w:r>
        <w:rPr>
          <w:sz w:val="24"/>
        </w:rPr>
        <w:t>la</w:t>
      </w:r>
      <w:r>
        <w:rPr>
          <w:spacing w:val="40"/>
          <w:sz w:val="24"/>
        </w:rPr>
        <w:t> </w:t>
      </w:r>
      <w:r>
        <w:rPr>
          <w:sz w:val="24"/>
        </w:rPr>
        <w:t>réalisation</w:t>
      </w:r>
      <w:r>
        <w:rPr>
          <w:spacing w:val="40"/>
          <w:sz w:val="24"/>
        </w:rPr>
        <w:t> </w:t>
      </w:r>
      <w:r>
        <w:rPr>
          <w:sz w:val="24"/>
        </w:rPr>
        <w:t>d’importants</w:t>
      </w:r>
      <w:r>
        <w:rPr>
          <w:spacing w:val="40"/>
          <w:sz w:val="24"/>
        </w:rPr>
        <w:t> </w:t>
      </w:r>
      <w:r>
        <w:rPr>
          <w:sz w:val="24"/>
        </w:rPr>
        <w:t>aménagements</w:t>
      </w:r>
      <w:r>
        <w:rPr>
          <w:spacing w:val="40"/>
          <w:sz w:val="24"/>
        </w:rPr>
        <w:t> </w:t>
      </w:r>
      <w:r>
        <w:rPr>
          <w:sz w:val="24"/>
        </w:rPr>
        <w:t>et</w:t>
      </w:r>
      <w:r>
        <w:rPr>
          <w:spacing w:val="40"/>
          <w:sz w:val="24"/>
        </w:rPr>
        <w:t> </w:t>
      </w:r>
      <w:r>
        <w:rPr>
          <w:sz w:val="24"/>
        </w:rPr>
        <w:t>la</w:t>
      </w:r>
      <w:r>
        <w:rPr>
          <w:spacing w:val="40"/>
          <w:sz w:val="24"/>
        </w:rPr>
        <w:t> </w:t>
      </w:r>
      <w:r>
        <w:rPr>
          <w:sz w:val="24"/>
        </w:rPr>
        <w:t>mécanisation</w:t>
      </w:r>
      <w:r>
        <w:rPr>
          <w:spacing w:val="40"/>
          <w:sz w:val="24"/>
        </w:rPr>
        <w:t> </w:t>
      </w:r>
      <w:r>
        <w:rPr>
          <w:sz w:val="24"/>
        </w:rPr>
        <w:t>dans</w:t>
      </w:r>
      <w:r>
        <w:rPr>
          <w:spacing w:val="40"/>
          <w:sz w:val="24"/>
        </w:rPr>
        <w:t> </w:t>
      </w:r>
      <w:r>
        <w:rPr>
          <w:sz w:val="24"/>
        </w:rPr>
        <w:t>les différents Agropoles dont entre autres, (i) l'aménagement hydroagricole de 200 000 ha à l'Office du Niger</w:t>
      </w:r>
      <w:r>
        <w:rPr>
          <w:spacing w:val="-2"/>
          <w:sz w:val="24"/>
        </w:rPr>
        <w:t> </w:t>
      </w:r>
      <w:r>
        <w:rPr>
          <w:sz w:val="24"/>
        </w:rPr>
        <w:t>; (ii) la mécanisation et l’équipements Agricoles et (iii) la Promotion des fermes animales et l'élevage</w:t>
      </w:r>
      <w:r>
        <w:rPr>
          <w:spacing w:val="40"/>
          <w:sz w:val="24"/>
        </w:rPr>
        <w:t> </w:t>
      </w:r>
      <w:r>
        <w:rPr>
          <w:sz w:val="24"/>
        </w:rPr>
        <w:t>intensif.</w:t>
      </w:r>
      <w:r>
        <w:rPr>
          <w:spacing w:val="40"/>
          <w:sz w:val="24"/>
        </w:rPr>
        <w:t> </w:t>
      </w:r>
      <w:r>
        <w:rPr>
          <w:sz w:val="24"/>
        </w:rPr>
        <w:t>Sa</w:t>
      </w:r>
      <w:r>
        <w:rPr>
          <w:spacing w:val="40"/>
          <w:sz w:val="24"/>
        </w:rPr>
        <w:t> </w:t>
      </w:r>
      <w:r>
        <w:rPr>
          <w:sz w:val="24"/>
        </w:rPr>
        <w:t>mise</w:t>
      </w:r>
      <w:r>
        <w:rPr>
          <w:spacing w:val="40"/>
          <w:sz w:val="24"/>
        </w:rPr>
        <w:t> </w:t>
      </w:r>
      <w:r>
        <w:rPr>
          <w:sz w:val="24"/>
        </w:rPr>
        <w:t>en</w:t>
      </w:r>
      <w:r>
        <w:rPr>
          <w:spacing w:val="40"/>
          <w:sz w:val="24"/>
        </w:rPr>
        <w:t> </w:t>
      </w:r>
      <w:r>
        <w:rPr>
          <w:sz w:val="24"/>
        </w:rPr>
        <w:t>œuvre nécessitera un investissement massif</w:t>
      </w:r>
      <w:r>
        <w:rPr>
          <w:spacing w:val="40"/>
          <w:sz w:val="24"/>
        </w:rPr>
        <w:t> </w:t>
      </w:r>
      <w:r>
        <w:rPr>
          <w:sz w:val="24"/>
        </w:rPr>
        <w:t>qui boostera</w:t>
      </w:r>
      <w:r>
        <w:rPr>
          <w:spacing w:val="40"/>
          <w:sz w:val="24"/>
        </w:rPr>
        <w:t> </w:t>
      </w:r>
      <w:r>
        <w:rPr>
          <w:sz w:val="24"/>
        </w:rPr>
        <w:t>la production</w:t>
      </w:r>
      <w:r>
        <w:rPr>
          <w:spacing w:val="-3"/>
          <w:sz w:val="24"/>
        </w:rPr>
        <w:t> </w:t>
      </w:r>
      <w:r>
        <w:rPr>
          <w:sz w:val="24"/>
        </w:rPr>
        <w:t>et la productivité Agricole. Ainsi, le nombre d’hectares aménagés et équipés et le nombre d’exploitations équipées (motorisées) passeront respectivement de 531 000 et 69 118 en 2022 à 1 111 000 et 501587 en 2063. Ceci aura un impact important sur la production. En effet, le volume de production</w:t>
      </w:r>
      <w:r>
        <w:rPr>
          <w:spacing w:val="34"/>
          <w:sz w:val="24"/>
        </w:rPr>
        <w:t> </w:t>
      </w:r>
      <w:r>
        <w:rPr>
          <w:sz w:val="24"/>
        </w:rPr>
        <w:t>céréalière</w:t>
      </w:r>
      <w:r>
        <w:rPr>
          <w:spacing w:val="34"/>
          <w:sz w:val="24"/>
        </w:rPr>
        <w:t> </w:t>
      </w:r>
      <w:r>
        <w:rPr>
          <w:sz w:val="24"/>
        </w:rPr>
        <w:t>atteindra</w:t>
      </w:r>
      <w:r>
        <w:rPr>
          <w:spacing w:val="33"/>
          <w:sz w:val="24"/>
        </w:rPr>
        <w:t> </w:t>
      </w:r>
      <w:r>
        <w:rPr>
          <w:sz w:val="24"/>
        </w:rPr>
        <w:t>53</w:t>
      </w:r>
      <w:r>
        <w:rPr>
          <w:spacing w:val="34"/>
          <w:sz w:val="24"/>
        </w:rPr>
        <w:t> </w:t>
      </w:r>
      <w:r>
        <w:rPr>
          <w:sz w:val="24"/>
        </w:rPr>
        <w:t>365</w:t>
      </w:r>
      <w:r>
        <w:rPr>
          <w:spacing w:val="31"/>
          <w:sz w:val="24"/>
        </w:rPr>
        <w:t> </w:t>
      </w:r>
      <w:r>
        <w:rPr>
          <w:sz w:val="24"/>
        </w:rPr>
        <w:t>740</w:t>
      </w:r>
      <w:r>
        <w:rPr>
          <w:spacing w:val="32"/>
          <w:sz w:val="24"/>
        </w:rPr>
        <w:t> </w:t>
      </w:r>
      <w:r>
        <w:rPr>
          <w:sz w:val="24"/>
        </w:rPr>
        <w:t>tonnes</w:t>
      </w:r>
      <w:r>
        <w:rPr>
          <w:spacing w:val="31"/>
          <w:sz w:val="24"/>
        </w:rPr>
        <w:t> </w:t>
      </w:r>
      <w:r>
        <w:rPr>
          <w:sz w:val="24"/>
        </w:rPr>
        <w:t>en</w:t>
      </w:r>
      <w:r>
        <w:rPr>
          <w:spacing w:val="32"/>
          <w:sz w:val="24"/>
        </w:rPr>
        <w:t> </w:t>
      </w:r>
      <w:r>
        <w:rPr>
          <w:sz w:val="24"/>
        </w:rPr>
        <w:t>2063</w:t>
      </w:r>
      <w:r>
        <w:rPr>
          <w:spacing w:val="39"/>
          <w:sz w:val="24"/>
        </w:rPr>
        <w:t> </w:t>
      </w:r>
      <w:r>
        <w:rPr>
          <w:sz w:val="24"/>
        </w:rPr>
        <w:t>contre</w:t>
      </w:r>
      <w:r>
        <w:rPr>
          <w:spacing w:val="32"/>
          <w:sz w:val="24"/>
        </w:rPr>
        <w:t> </w:t>
      </w:r>
      <w:r>
        <w:rPr>
          <w:sz w:val="24"/>
        </w:rPr>
        <w:t>10</w:t>
      </w:r>
      <w:r>
        <w:rPr>
          <w:spacing w:val="31"/>
          <w:sz w:val="24"/>
        </w:rPr>
        <w:t> </w:t>
      </w:r>
      <w:r>
        <w:rPr>
          <w:sz w:val="24"/>
        </w:rPr>
        <w:t>288</w:t>
      </w:r>
      <w:r>
        <w:rPr>
          <w:spacing w:val="34"/>
          <w:sz w:val="24"/>
        </w:rPr>
        <w:t> </w:t>
      </w:r>
      <w:r>
        <w:rPr>
          <w:sz w:val="24"/>
        </w:rPr>
        <w:t>842</w:t>
      </w:r>
      <w:r>
        <w:rPr>
          <w:spacing w:val="31"/>
          <w:sz w:val="24"/>
        </w:rPr>
        <w:t> </w:t>
      </w:r>
      <w:r>
        <w:rPr>
          <w:sz w:val="24"/>
        </w:rPr>
        <w:t>tonnes.</w:t>
      </w:r>
      <w:r>
        <w:rPr>
          <w:spacing w:val="37"/>
          <w:sz w:val="24"/>
        </w:rPr>
        <w:t> </w:t>
      </w:r>
      <w:r>
        <w:rPr>
          <w:sz w:val="24"/>
        </w:rPr>
        <w:t>Quant</w:t>
      </w:r>
      <w:r>
        <w:rPr>
          <w:spacing w:val="33"/>
          <w:sz w:val="24"/>
        </w:rPr>
        <w:t> </w:t>
      </w:r>
      <w:r>
        <w:rPr>
          <w:sz w:val="24"/>
        </w:rPr>
        <w:t>au</w:t>
      </w:r>
    </w:p>
    <w:p>
      <w:pPr>
        <w:pStyle w:val="BodyText"/>
        <w:spacing w:before="0"/>
        <w:ind w:firstLine="0"/>
      </w:pPr>
      <w:r>
        <w:rPr/>
        <w:t>coton,</w:t>
      </w:r>
      <w:r>
        <w:rPr>
          <w:spacing w:val="-4"/>
        </w:rPr>
        <w:t> </w:t>
      </w:r>
      <w:r>
        <w:rPr/>
        <w:t>sa</w:t>
      </w:r>
      <w:r>
        <w:rPr>
          <w:spacing w:val="-4"/>
        </w:rPr>
        <w:t> </w:t>
      </w:r>
      <w:r>
        <w:rPr/>
        <w:t>production</w:t>
      </w:r>
      <w:r>
        <w:rPr>
          <w:spacing w:val="-3"/>
        </w:rPr>
        <w:t> </w:t>
      </w:r>
      <w:r>
        <w:rPr/>
        <w:t>passera</w:t>
      </w:r>
      <w:r>
        <w:rPr>
          <w:spacing w:val="-2"/>
        </w:rPr>
        <w:t> </w:t>
      </w:r>
      <w:r>
        <w:rPr/>
        <w:t>de</w:t>
      </w:r>
      <w:r>
        <w:rPr>
          <w:spacing w:val="-3"/>
        </w:rPr>
        <w:t> </w:t>
      </w:r>
      <w:r>
        <w:rPr/>
        <w:t>690</w:t>
      </w:r>
      <w:r>
        <w:rPr>
          <w:spacing w:val="-2"/>
        </w:rPr>
        <w:t> </w:t>
      </w:r>
      <w:r>
        <w:rPr/>
        <w:t>000</w:t>
      </w:r>
      <w:r>
        <w:rPr>
          <w:spacing w:val="-1"/>
        </w:rPr>
        <w:t> </w:t>
      </w:r>
      <w:r>
        <w:rPr/>
        <w:t>tonnes</w:t>
      </w:r>
      <w:r>
        <w:rPr>
          <w:spacing w:val="-4"/>
        </w:rPr>
        <w:t> </w:t>
      </w:r>
      <w:r>
        <w:rPr/>
        <w:t>en</w:t>
      </w:r>
      <w:r>
        <w:rPr>
          <w:spacing w:val="-3"/>
        </w:rPr>
        <w:t> </w:t>
      </w:r>
      <w:r>
        <w:rPr/>
        <w:t>2022</w:t>
      </w:r>
      <w:r>
        <w:rPr>
          <w:spacing w:val="-2"/>
        </w:rPr>
        <w:t> </w:t>
      </w:r>
      <w:r>
        <w:rPr/>
        <w:t>à</w:t>
      </w:r>
      <w:r>
        <w:rPr>
          <w:spacing w:val="-2"/>
        </w:rPr>
        <w:t> </w:t>
      </w:r>
      <w:r>
        <w:rPr/>
        <w:t>2</w:t>
      </w:r>
      <w:r>
        <w:rPr>
          <w:spacing w:val="-2"/>
        </w:rPr>
        <w:t> </w:t>
      </w:r>
      <w:r>
        <w:rPr/>
        <w:t>000</w:t>
      </w:r>
      <w:r>
        <w:rPr>
          <w:spacing w:val="-3"/>
        </w:rPr>
        <w:t> </w:t>
      </w:r>
      <w:r>
        <w:rPr/>
        <w:t>000</w:t>
      </w:r>
      <w:r>
        <w:rPr>
          <w:spacing w:val="-4"/>
        </w:rPr>
        <w:t> </w:t>
      </w:r>
      <w:r>
        <w:rPr/>
        <w:t>de</w:t>
      </w:r>
      <w:r>
        <w:rPr>
          <w:spacing w:val="-3"/>
        </w:rPr>
        <w:t> </w:t>
      </w:r>
      <w:r>
        <w:rPr/>
        <w:t>tonnes</w:t>
      </w:r>
      <w:r>
        <w:rPr>
          <w:spacing w:val="-4"/>
        </w:rPr>
        <w:t> </w:t>
      </w:r>
      <w:r>
        <w:rPr/>
        <w:t>en</w:t>
      </w:r>
      <w:r>
        <w:rPr>
          <w:spacing w:val="-3"/>
        </w:rPr>
        <w:t> </w:t>
      </w:r>
      <w:r>
        <w:rPr>
          <w:spacing w:val="-2"/>
        </w:rPr>
        <w:t>2063.</w:t>
      </w:r>
    </w:p>
    <w:p>
      <w:pPr>
        <w:pStyle w:val="BodyText"/>
        <w:spacing w:after="0"/>
        <w:sectPr>
          <w:pgSz w:w="11910" w:h="16840"/>
          <w:pgMar w:header="0" w:footer="680" w:top="1320" w:bottom="960" w:left="283" w:right="141"/>
        </w:sectPr>
      </w:pPr>
    </w:p>
    <w:p>
      <w:pPr>
        <w:pStyle w:val="Heading3"/>
        <w:numPr>
          <w:ilvl w:val="0"/>
          <w:numId w:val="12"/>
        </w:numPr>
        <w:tabs>
          <w:tab w:pos="1775" w:val="left" w:leader="none"/>
        </w:tabs>
        <w:spacing w:line="240" w:lineRule="auto" w:before="78" w:after="0"/>
        <w:ind w:left="1775" w:right="0" w:hanging="359"/>
        <w:jc w:val="both"/>
      </w:pPr>
      <w:r>
        <w:rPr/>
        <w:t>Projet</w:t>
      </w:r>
      <w:r>
        <w:rPr>
          <w:spacing w:val="-1"/>
        </w:rPr>
        <w:t> </w:t>
      </w:r>
      <w:r>
        <w:rPr/>
        <w:t>N°</w:t>
      </w:r>
      <w:r>
        <w:rPr>
          <w:spacing w:val="-2"/>
        </w:rPr>
        <w:t> </w:t>
      </w:r>
      <w:r>
        <w:rPr/>
        <w:t>2</w:t>
      </w:r>
      <w:r>
        <w:rPr>
          <w:spacing w:val="-1"/>
        </w:rPr>
        <w:t> </w:t>
      </w:r>
      <w:r>
        <w:rPr/>
        <w:t>:</w:t>
      </w:r>
      <w:r>
        <w:rPr>
          <w:spacing w:val="-3"/>
        </w:rPr>
        <w:t> </w:t>
      </w:r>
      <w:r>
        <w:rPr/>
        <w:t>YEELEN KURA</w:t>
      </w:r>
      <w:r>
        <w:rPr>
          <w:spacing w:val="-2"/>
        </w:rPr>
        <w:t> </w:t>
      </w:r>
      <w:r>
        <w:rPr/>
        <w:t>:</w:t>
      </w:r>
      <w:r>
        <w:rPr>
          <w:spacing w:val="-1"/>
        </w:rPr>
        <w:t> </w:t>
      </w:r>
      <w:r>
        <w:rPr/>
        <w:t>Eclairer</w:t>
      </w:r>
      <w:r>
        <w:rPr>
          <w:spacing w:val="-1"/>
        </w:rPr>
        <w:t> </w:t>
      </w:r>
      <w:r>
        <w:rPr/>
        <w:t>le</w:t>
      </w:r>
      <w:r>
        <w:rPr>
          <w:spacing w:val="-1"/>
        </w:rPr>
        <w:t> </w:t>
      </w:r>
      <w:r>
        <w:rPr>
          <w:spacing w:val="-4"/>
        </w:rPr>
        <w:t>Mali</w:t>
      </w:r>
    </w:p>
    <w:p>
      <w:pPr>
        <w:pStyle w:val="ListParagraph"/>
        <w:numPr>
          <w:ilvl w:val="1"/>
          <w:numId w:val="1"/>
        </w:numPr>
        <w:tabs>
          <w:tab w:pos="1493" w:val="left" w:leader="none"/>
          <w:tab w:pos="1837" w:val="left" w:leader="none"/>
        </w:tabs>
        <w:spacing w:line="240" w:lineRule="auto" w:before="71" w:after="0"/>
        <w:ind w:left="1493" w:right="1129" w:hanging="360"/>
        <w:jc w:val="both"/>
        <w:rPr>
          <w:sz w:val="24"/>
        </w:rPr>
      </w:pPr>
      <w:r>
        <w:rPr>
          <w:sz w:val="24"/>
        </w:rPr>
        <w:t>Le</w:t>
      </w:r>
      <w:r>
        <w:rPr>
          <w:spacing w:val="40"/>
          <w:sz w:val="24"/>
        </w:rPr>
        <w:t> </w:t>
      </w:r>
      <w:r>
        <w:rPr>
          <w:sz w:val="24"/>
        </w:rPr>
        <w:t>projet</w:t>
      </w:r>
      <w:r>
        <w:rPr>
          <w:spacing w:val="40"/>
          <w:sz w:val="24"/>
        </w:rPr>
        <w:t> </w:t>
      </w:r>
      <w:r>
        <w:rPr>
          <w:sz w:val="24"/>
        </w:rPr>
        <w:t>« YEELEN</w:t>
      </w:r>
      <w:r>
        <w:rPr>
          <w:spacing w:val="40"/>
          <w:sz w:val="24"/>
        </w:rPr>
        <w:t> </w:t>
      </w:r>
      <w:r>
        <w:rPr>
          <w:sz w:val="24"/>
        </w:rPr>
        <w:t>KURA »</w:t>
      </w:r>
      <w:r>
        <w:rPr>
          <w:spacing w:val="40"/>
          <w:sz w:val="24"/>
        </w:rPr>
        <w:t> </w:t>
      </w:r>
      <w:r>
        <w:rPr>
          <w:sz w:val="24"/>
        </w:rPr>
        <w:t>:</w:t>
      </w:r>
      <w:r>
        <w:rPr>
          <w:spacing w:val="40"/>
          <w:sz w:val="24"/>
        </w:rPr>
        <w:t> </w:t>
      </w:r>
      <w:r>
        <w:rPr>
          <w:sz w:val="24"/>
        </w:rPr>
        <w:t>Eclairer</w:t>
      </w:r>
      <w:r>
        <w:rPr>
          <w:spacing w:val="40"/>
          <w:sz w:val="24"/>
        </w:rPr>
        <w:t> </w:t>
      </w:r>
      <w:r>
        <w:rPr>
          <w:sz w:val="24"/>
        </w:rPr>
        <w:t>le</w:t>
      </w:r>
      <w:r>
        <w:rPr>
          <w:spacing w:val="40"/>
          <w:sz w:val="24"/>
        </w:rPr>
        <w:t> </w:t>
      </w:r>
      <w:r>
        <w:rPr>
          <w:sz w:val="24"/>
        </w:rPr>
        <w:t>Mali</w:t>
      </w:r>
      <w:r>
        <w:rPr>
          <w:spacing w:val="40"/>
          <w:sz w:val="24"/>
        </w:rPr>
        <w:t> </w:t>
      </w:r>
      <w:r>
        <w:rPr>
          <w:sz w:val="24"/>
        </w:rPr>
        <w:t>vise</w:t>
      </w:r>
      <w:r>
        <w:rPr>
          <w:spacing w:val="40"/>
          <w:sz w:val="24"/>
        </w:rPr>
        <w:t> </w:t>
      </w:r>
      <w:r>
        <w:rPr>
          <w:sz w:val="24"/>
        </w:rPr>
        <w:t>à</w:t>
      </w:r>
      <w:r>
        <w:rPr>
          <w:spacing w:val="40"/>
          <w:sz w:val="24"/>
        </w:rPr>
        <w:t> </w:t>
      </w:r>
      <w:r>
        <w:rPr>
          <w:sz w:val="24"/>
        </w:rPr>
        <w:t>mettre</w:t>
      </w:r>
      <w:r>
        <w:rPr>
          <w:spacing w:val="40"/>
          <w:sz w:val="24"/>
        </w:rPr>
        <w:t> </w:t>
      </w:r>
      <w:r>
        <w:rPr>
          <w:sz w:val="24"/>
        </w:rPr>
        <w:t>en</w:t>
      </w:r>
      <w:r>
        <w:rPr>
          <w:spacing w:val="40"/>
          <w:sz w:val="24"/>
        </w:rPr>
        <w:t> </w:t>
      </w:r>
      <w:r>
        <w:rPr>
          <w:sz w:val="24"/>
        </w:rPr>
        <w:t>valeur</w:t>
      </w:r>
      <w:r>
        <w:rPr>
          <w:spacing w:val="40"/>
          <w:sz w:val="24"/>
        </w:rPr>
        <w:t> </w:t>
      </w:r>
      <w:r>
        <w:rPr>
          <w:sz w:val="24"/>
        </w:rPr>
        <w:t>les</w:t>
      </w:r>
      <w:r>
        <w:rPr>
          <w:spacing w:val="40"/>
          <w:sz w:val="24"/>
        </w:rPr>
        <w:t> </w:t>
      </w:r>
      <w:r>
        <w:rPr>
          <w:sz w:val="24"/>
        </w:rPr>
        <w:t>ressources énergétiques là où elles sont abondantes en vue de réaliser des économies d’échelle et de tirer profit des</w:t>
      </w:r>
      <w:r>
        <w:rPr>
          <w:spacing w:val="-3"/>
          <w:sz w:val="24"/>
        </w:rPr>
        <w:t> </w:t>
      </w:r>
      <w:r>
        <w:rPr>
          <w:sz w:val="24"/>
        </w:rPr>
        <w:t>avantages</w:t>
      </w:r>
      <w:r>
        <w:rPr>
          <w:spacing w:val="-3"/>
          <w:sz w:val="24"/>
        </w:rPr>
        <w:t> </w:t>
      </w:r>
      <w:r>
        <w:rPr>
          <w:sz w:val="24"/>
        </w:rPr>
        <w:t>comparatifs</w:t>
      </w:r>
      <w:r>
        <w:rPr>
          <w:spacing w:val="-4"/>
          <w:sz w:val="24"/>
        </w:rPr>
        <w:t> </w:t>
      </w:r>
      <w:r>
        <w:rPr>
          <w:sz w:val="24"/>
        </w:rPr>
        <w:t>des</w:t>
      </w:r>
      <w:r>
        <w:rPr>
          <w:spacing w:val="-3"/>
          <w:sz w:val="24"/>
        </w:rPr>
        <w:t> </w:t>
      </w:r>
      <w:r>
        <w:rPr>
          <w:sz w:val="24"/>
        </w:rPr>
        <w:t>différentes</w:t>
      </w:r>
      <w:r>
        <w:rPr>
          <w:spacing w:val="-3"/>
          <w:sz w:val="24"/>
        </w:rPr>
        <w:t> </w:t>
      </w:r>
      <w:r>
        <w:rPr>
          <w:sz w:val="24"/>
        </w:rPr>
        <w:t>sources</w:t>
      </w:r>
      <w:r>
        <w:rPr>
          <w:spacing w:val="-2"/>
          <w:sz w:val="24"/>
        </w:rPr>
        <w:t> </w:t>
      </w:r>
      <w:r>
        <w:rPr>
          <w:sz w:val="24"/>
        </w:rPr>
        <w:t>de</w:t>
      </w:r>
      <w:r>
        <w:rPr>
          <w:spacing w:val="-4"/>
          <w:sz w:val="24"/>
        </w:rPr>
        <w:t> </w:t>
      </w:r>
      <w:r>
        <w:rPr>
          <w:sz w:val="24"/>
        </w:rPr>
        <w:t>production.</w:t>
      </w:r>
      <w:r>
        <w:rPr>
          <w:spacing w:val="-2"/>
          <w:sz w:val="24"/>
        </w:rPr>
        <w:t> </w:t>
      </w:r>
      <w:r>
        <w:rPr>
          <w:sz w:val="24"/>
        </w:rPr>
        <w:t>De</w:t>
      </w:r>
      <w:r>
        <w:rPr>
          <w:spacing w:val="-4"/>
          <w:sz w:val="24"/>
        </w:rPr>
        <w:t> </w:t>
      </w:r>
      <w:r>
        <w:rPr>
          <w:sz w:val="24"/>
        </w:rPr>
        <w:t>manière</w:t>
      </w:r>
      <w:r>
        <w:rPr>
          <w:spacing w:val="-2"/>
          <w:sz w:val="24"/>
        </w:rPr>
        <w:t> </w:t>
      </w:r>
      <w:r>
        <w:rPr>
          <w:sz w:val="24"/>
        </w:rPr>
        <w:t>spécifique,</w:t>
      </w:r>
      <w:r>
        <w:rPr>
          <w:spacing w:val="-2"/>
          <w:sz w:val="24"/>
        </w:rPr>
        <w:t> </w:t>
      </w:r>
      <w:r>
        <w:rPr>
          <w:sz w:val="24"/>
        </w:rPr>
        <w:t>il</w:t>
      </w:r>
      <w:r>
        <w:rPr>
          <w:spacing w:val="-3"/>
          <w:sz w:val="24"/>
        </w:rPr>
        <w:t> </w:t>
      </w:r>
      <w:r>
        <w:rPr>
          <w:sz w:val="24"/>
        </w:rPr>
        <w:t>s’agit</w:t>
      </w:r>
      <w:r>
        <w:rPr>
          <w:spacing w:val="-4"/>
          <w:sz w:val="24"/>
        </w:rPr>
        <w:t> </w:t>
      </w:r>
      <w:r>
        <w:rPr>
          <w:sz w:val="24"/>
        </w:rPr>
        <w:t>de :</w:t>
      </w:r>
    </w:p>
    <w:p>
      <w:pPr>
        <w:pStyle w:val="BodyText"/>
        <w:spacing w:before="0"/>
        <w:ind w:right="1135" w:firstLine="0"/>
      </w:pPr>
      <w:r>
        <w:rPr/>
        <w:t>(i) renforcer les cadres institutionnel et réglementaire du secteur de l’électricité pour le</w:t>
      </w:r>
      <w:r>
        <w:rPr>
          <w:spacing w:val="40"/>
        </w:rPr>
        <w:t> </w:t>
      </w:r>
      <w:r>
        <w:rPr/>
        <w:t>développement des pôles énergétiques ; (ii) valoriser le potentiel des ressources énergétiques compétitives pour la production d’électricité propre ; (iii) renforcer et développer les infrastructures de transport et de stockage pour accélérer et généraliser la densification du réseau interconnecté national et (iv) renforcer et développer la production d’électricité en qualité et quantité suffisante et à moindre coût pour l’ensemble des acteurs économiques et des ménages.</w:t>
      </w:r>
    </w:p>
    <w:p>
      <w:pPr>
        <w:pStyle w:val="ListParagraph"/>
        <w:numPr>
          <w:ilvl w:val="1"/>
          <w:numId w:val="1"/>
        </w:numPr>
        <w:tabs>
          <w:tab w:pos="1493" w:val="left" w:leader="none"/>
          <w:tab w:pos="1837" w:val="left" w:leader="none"/>
        </w:tabs>
        <w:spacing w:line="259" w:lineRule="auto" w:before="183" w:after="0"/>
        <w:ind w:left="1493" w:right="1134" w:hanging="360"/>
        <w:jc w:val="both"/>
        <w:rPr>
          <w:sz w:val="24"/>
        </w:rPr>
      </w:pPr>
      <w:r>
        <w:rPr>
          <w:sz w:val="24"/>
        </w:rPr>
        <w:t>Les autorités du pays ont un objectif ambitieux, mais réaliste de 60 % d’EnR (hors moyenne et</w:t>
      </w:r>
      <w:r>
        <w:rPr>
          <w:spacing w:val="40"/>
          <w:sz w:val="24"/>
        </w:rPr>
        <w:t> </w:t>
      </w:r>
      <w:r>
        <w:rPr>
          <w:sz w:val="24"/>
        </w:rPr>
        <w:t>grande hydroélectricité) dans le mix énergétique d’ici 2040. Pour réaliser cet objectif, la Politique Energétique Nationale s’oriente vers la valorisation des potentialités nationales en termes de ressources d’énergie (solaire, biomasse, éolien, petite hydroélectricité). Pour rappel, la capacité installée (toutes source d’énergie) est estimée à 985 MW dont 587 MW sont disponibles au vu de l’état des installations. En tenant compte des ambitions de développement, la demande pourrait atteindre 4 386,7 MW en 2040.</w:t>
      </w:r>
    </w:p>
    <w:p>
      <w:pPr>
        <w:pStyle w:val="ListParagraph"/>
        <w:numPr>
          <w:ilvl w:val="1"/>
          <w:numId w:val="1"/>
        </w:numPr>
        <w:tabs>
          <w:tab w:pos="1493" w:val="left" w:leader="none"/>
          <w:tab w:pos="1837" w:val="left" w:leader="none"/>
        </w:tabs>
        <w:spacing w:line="240" w:lineRule="auto" w:before="157" w:after="0"/>
        <w:ind w:left="1493" w:right="1129" w:hanging="360"/>
        <w:jc w:val="both"/>
        <w:rPr>
          <w:sz w:val="24"/>
        </w:rPr>
      </w:pPr>
      <w:r>
        <w:rPr>
          <w:sz w:val="24"/>
        </w:rPr>
        <w:t>La mise en œuvre du projet « YEELEN KURA » : Eclairer le Mali</w:t>
      </w:r>
      <w:r>
        <w:rPr>
          <w:spacing w:val="40"/>
          <w:sz w:val="24"/>
        </w:rPr>
        <w:t> </w:t>
      </w:r>
      <w:r>
        <w:rPr>
          <w:sz w:val="24"/>
        </w:rPr>
        <w:t>permettra de tirer profit des énormes potentialités et mettre le pays sur la voie de l’industrialisation. Il sera ainsi procédé à la construction des centrales hydroélectriques et solaires à travers le pays, au développement des infrastructures de stockage et de sécurisation énergétique, des lignes de transport et la déserte des zones de production et de consommation. Le taux d’accès à l’électricité atteindra 100% en 2063 contre 55,8% en 2023, de même, avec les investissements dans les énergies renouvelables, le taux de pénétration des énergies renouvelables dans le mix énergétique connaitra une augmentation exponentielle en s’établissant à 70% en 2063 contre 11,3% en 2023.</w:t>
      </w:r>
    </w:p>
    <w:p>
      <w:pPr>
        <w:pStyle w:val="BodyText"/>
        <w:spacing w:before="184"/>
        <w:ind w:left="0" w:firstLine="0"/>
        <w:jc w:val="left"/>
      </w:pPr>
    </w:p>
    <w:p>
      <w:pPr>
        <w:pStyle w:val="Heading3"/>
        <w:numPr>
          <w:ilvl w:val="0"/>
          <w:numId w:val="13"/>
        </w:numPr>
        <w:tabs>
          <w:tab w:pos="1775" w:val="left" w:leader="none"/>
        </w:tabs>
        <w:spacing w:line="240" w:lineRule="auto" w:before="0" w:after="0"/>
        <w:ind w:left="1775" w:right="0" w:hanging="359"/>
        <w:jc w:val="both"/>
      </w:pPr>
      <w:r>
        <w:rPr/>
        <w:t>Projet</w:t>
      </w:r>
      <w:r>
        <w:rPr>
          <w:spacing w:val="-2"/>
        </w:rPr>
        <w:t> </w:t>
      </w:r>
      <w:r>
        <w:rPr/>
        <w:t>N°3</w:t>
      </w:r>
      <w:r>
        <w:rPr>
          <w:spacing w:val="-1"/>
        </w:rPr>
        <w:t> </w:t>
      </w:r>
      <w:r>
        <w:rPr/>
        <w:t>:</w:t>
      </w:r>
      <w:r>
        <w:rPr>
          <w:spacing w:val="-2"/>
        </w:rPr>
        <w:t> </w:t>
      </w:r>
      <w:r>
        <w:rPr/>
        <w:t>Industrialiser</w:t>
      </w:r>
      <w:r>
        <w:rPr>
          <w:spacing w:val="-4"/>
        </w:rPr>
        <w:t> </w:t>
      </w:r>
      <w:r>
        <w:rPr/>
        <w:t>le </w:t>
      </w:r>
      <w:r>
        <w:rPr>
          <w:spacing w:val="-4"/>
        </w:rPr>
        <w:t>Mali</w:t>
      </w:r>
    </w:p>
    <w:p>
      <w:pPr>
        <w:pStyle w:val="ListParagraph"/>
        <w:numPr>
          <w:ilvl w:val="1"/>
          <w:numId w:val="1"/>
        </w:numPr>
        <w:tabs>
          <w:tab w:pos="1493" w:val="left" w:leader="none"/>
          <w:tab w:pos="1837" w:val="left" w:leader="none"/>
        </w:tabs>
        <w:spacing w:line="240" w:lineRule="auto" w:before="140" w:after="0"/>
        <w:ind w:left="1493" w:right="1139" w:hanging="360"/>
        <w:jc w:val="both"/>
        <w:rPr>
          <w:sz w:val="24"/>
        </w:rPr>
      </w:pPr>
      <w:r>
        <w:rPr>
          <w:sz w:val="24"/>
        </w:rPr>
        <w:t>Le projet « Industrialiser le Mali » vise une stratégie d’industrialisation du pays basée sur une approche filières. Dans ce cadre, le Gouvernement privilégiera la réalisation de zones industrielles et de zones franches pour</w:t>
      </w:r>
      <w:r>
        <w:rPr>
          <w:spacing w:val="-2"/>
          <w:sz w:val="24"/>
        </w:rPr>
        <w:t> </w:t>
      </w:r>
      <w:r>
        <w:rPr>
          <w:sz w:val="24"/>
        </w:rPr>
        <w:t>favoriser la création de nouvelles unités</w:t>
      </w:r>
      <w:r>
        <w:rPr>
          <w:spacing w:val="-1"/>
          <w:sz w:val="24"/>
        </w:rPr>
        <w:t> </w:t>
      </w:r>
      <w:r>
        <w:rPr>
          <w:sz w:val="24"/>
        </w:rPr>
        <w:t>industrielles</w:t>
      </w:r>
      <w:r>
        <w:rPr>
          <w:spacing w:val="-1"/>
          <w:sz w:val="24"/>
        </w:rPr>
        <w:t> </w:t>
      </w:r>
      <w:r>
        <w:rPr>
          <w:sz w:val="24"/>
        </w:rPr>
        <w:t>dans</w:t>
      </w:r>
      <w:r>
        <w:rPr>
          <w:spacing w:val="-3"/>
          <w:sz w:val="24"/>
        </w:rPr>
        <w:t> </w:t>
      </w:r>
      <w:r>
        <w:rPr>
          <w:sz w:val="24"/>
        </w:rPr>
        <w:t>les filières les plus porteuses à l’effet de créer et de développer des pôles régionaux de croissance économique et de prospérité sociale. L’implantation des nouveaux projets d’investissement se fera au niveau des</w:t>
      </w:r>
      <w:r>
        <w:rPr>
          <w:spacing w:val="40"/>
          <w:sz w:val="24"/>
        </w:rPr>
        <w:t> </w:t>
      </w:r>
      <w:r>
        <w:rPr>
          <w:sz w:val="24"/>
        </w:rPr>
        <w:t>filières considérées comme hautement stratégiques.</w:t>
      </w:r>
    </w:p>
    <w:p>
      <w:pPr>
        <w:pStyle w:val="ListParagraph"/>
        <w:numPr>
          <w:ilvl w:val="1"/>
          <w:numId w:val="1"/>
        </w:numPr>
        <w:tabs>
          <w:tab w:pos="1493" w:val="left" w:leader="none"/>
          <w:tab w:pos="1837" w:val="left" w:leader="none"/>
        </w:tabs>
        <w:spacing w:line="240" w:lineRule="auto" w:before="136" w:after="0"/>
        <w:ind w:left="1493" w:right="1138" w:hanging="360"/>
        <w:jc w:val="both"/>
        <w:rPr>
          <w:sz w:val="24"/>
        </w:rPr>
      </w:pPr>
      <w:r>
        <w:rPr>
          <w:sz w:val="24"/>
        </w:rPr>
        <w:t>L’approche vise à renforcer l’articulation entre l’Agriculture et l’Industrie dans la perspective de l’implantation, dans les zones de grande production agricole, de nouvelles unités industrielles de transformation des produits primaires. Elle mettra l’accent, d’une part, sur le développement des régions et, d’autre part, sur la promotion des exportations des produits industriels.</w:t>
      </w:r>
    </w:p>
    <w:p>
      <w:pPr>
        <w:pStyle w:val="ListParagraph"/>
        <w:numPr>
          <w:ilvl w:val="1"/>
          <w:numId w:val="1"/>
        </w:numPr>
        <w:tabs>
          <w:tab w:pos="1493" w:val="left" w:leader="none"/>
          <w:tab w:pos="1837" w:val="left" w:leader="none"/>
        </w:tabs>
        <w:spacing w:line="240" w:lineRule="auto" w:before="185" w:after="0"/>
        <w:ind w:left="1493" w:right="1128" w:hanging="360"/>
        <w:jc w:val="both"/>
        <w:rPr>
          <w:sz w:val="24"/>
        </w:rPr>
      </w:pPr>
      <w:r>
        <w:rPr>
          <w:sz w:val="24"/>
        </w:rPr>
        <w:t>Il</w:t>
      </w:r>
      <w:r>
        <w:rPr>
          <w:spacing w:val="40"/>
          <w:sz w:val="24"/>
        </w:rPr>
        <w:t> </w:t>
      </w:r>
      <w:r>
        <w:rPr>
          <w:sz w:val="24"/>
        </w:rPr>
        <w:t>s’agira</w:t>
      </w:r>
      <w:r>
        <w:rPr>
          <w:spacing w:val="40"/>
          <w:sz w:val="24"/>
        </w:rPr>
        <w:t> </w:t>
      </w:r>
      <w:r>
        <w:rPr>
          <w:sz w:val="24"/>
        </w:rPr>
        <w:t>également</w:t>
      </w:r>
      <w:r>
        <w:rPr>
          <w:spacing w:val="40"/>
          <w:sz w:val="24"/>
        </w:rPr>
        <w:t> </w:t>
      </w:r>
      <w:r>
        <w:rPr>
          <w:sz w:val="24"/>
        </w:rPr>
        <w:t>d’étoffer</w:t>
      </w:r>
      <w:r>
        <w:rPr>
          <w:spacing w:val="40"/>
          <w:sz w:val="24"/>
        </w:rPr>
        <w:t> </w:t>
      </w:r>
      <w:r>
        <w:rPr>
          <w:sz w:val="24"/>
        </w:rPr>
        <w:t>le</w:t>
      </w:r>
      <w:r>
        <w:rPr>
          <w:spacing w:val="40"/>
          <w:sz w:val="24"/>
        </w:rPr>
        <w:t> </w:t>
      </w:r>
      <w:r>
        <w:rPr>
          <w:sz w:val="24"/>
        </w:rPr>
        <w:t>tissu</w:t>
      </w:r>
      <w:r>
        <w:rPr>
          <w:spacing w:val="40"/>
          <w:sz w:val="24"/>
        </w:rPr>
        <w:t> </w:t>
      </w:r>
      <w:r>
        <w:rPr>
          <w:sz w:val="24"/>
        </w:rPr>
        <w:t>industriel</w:t>
      </w:r>
      <w:r>
        <w:rPr>
          <w:spacing w:val="40"/>
          <w:sz w:val="24"/>
        </w:rPr>
        <w:t> </w:t>
      </w:r>
      <w:r>
        <w:rPr>
          <w:sz w:val="24"/>
        </w:rPr>
        <w:t>national</w:t>
      </w:r>
      <w:r>
        <w:rPr>
          <w:spacing w:val="40"/>
          <w:sz w:val="24"/>
        </w:rPr>
        <w:t> </w:t>
      </w:r>
      <w:r>
        <w:rPr>
          <w:sz w:val="24"/>
        </w:rPr>
        <w:t>dans</w:t>
      </w:r>
      <w:r>
        <w:rPr>
          <w:spacing w:val="40"/>
          <w:sz w:val="24"/>
        </w:rPr>
        <w:t> </w:t>
      </w:r>
      <w:r>
        <w:rPr>
          <w:sz w:val="24"/>
        </w:rPr>
        <w:t>tous</w:t>
      </w:r>
      <w:r>
        <w:rPr>
          <w:spacing w:val="40"/>
          <w:sz w:val="24"/>
        </w:rPr>
        <w:t> </w:t>
      </w:r>
      <w:r>
        <w:rPr>
          <w:sz w:val="24"/>
        </w:rPr>
        <w:t>les</w:t>
      </w:r>
      <w:r>
        <w:rPr>
          <w:spacing w:val="40"/>
          <w:sz w:val="24"/>
        </w:rPr>
        <w:t> </w:t>
      </w:r>
      <w:r>
        <w:rPr>
          <w:sz w:val="24"/>
        </w:rPr>
        <w:t>domaines</w:t>
      </w:r>
      <w:r>
        <w:rPr>
          <w:spacing w:val="40"/>
          <w:sz w:val="24"/>
        </w:rPr>
        <w:t> </w:t>
      </w:r>
      <w:r>
        <w:rPr>
          <w:sz w:val="24"/>
        </w:rPr>
        <w:t>où</w:t>
      </w:r>
      <w:r>
        <w:rPr>
          <w:spacing w:val="40"/>
          <w:sz w:val="24"/>
        </w:rPr>
        <w:t> </w:t>
      </w:r>
      <w:r>
        <w:rPr>
          <w:sz w:val="24"/>
        </w:rPr>
        <w:t>les potentialités existent notamment dans le domaine de l’agro-industrie avec la construction, entre autres, d'usines de transformation de la Pomme de terre, de transformation du blé, de filature à Bamako, Sikasso et à Koutiala. Il sera aussi procédé à la construction d’usines sidérurgiques et d’industries de médicaments. La Part du secteur Manufacturier dans le PIB sera multipliée par près de quatre (04), atteignant 26,44% en 2063 contre 6,44% en 2022.</w:t>
      </w:r>
    </w:p>
    <w:p>
      <w:pPr>
        <w:pStyle w:val="ListParagraph"/>
        <w:spacing w:after="0" w:line="240" w:lineRule="auto"/>
        <w:jc w:val="both"/>
        <w:rPr>
          <w:sz w:val="24"/>
        </w:rPr>
        <w:sectPr>
          <w:pgSz w:w="11910" w:h="16840"/>
          <w:pgMar w:header="0" w:footer="680" w:top="1320" w:bottom="960" w:left="283" w:right="141"/>
        </w:sectPr>
      </w:pPr>
    </w:p>
    <w:p>
      <w:pPr>
        <w:pStyle w:val="Heading3"/>
        <w:numPr>
          <w:ilvl w:val="0"/>
          <w:numId w:val="14"/>
        </w:numPr>
        <w:tabs>
          <w:tab w:pos="1775" w:val="left" w:leader="none"/>
        </w:tabs>
        <w:spacing w:line="240" w:lineRule="auto" w:before="78" w:after="0"/>
        <w:ind w:left="1775" w:right="0" w:hanging="359"/>
        <w:jc w:val="both"/>
      </w:pPr>
      <w:r>
        <w:rPr/>
        <w:t>Projet</w:t>
      </w:r>
      <w:r>
        <w:rPr>
          <w:spacing w:val="-4"/>
        </w:rPr>
        <w:t> </w:t>
      </w:r>
      <w:r>
        <w:rPr/>
        <w:t>N°4</w:t>
      </w:r>
      <w:r>
        <w:rPr>
          <w:spacing w:val="-1"/>
        </w:rPr>
        <w:t> </w:t>
      </w:r>
      <w:r>
        <w:rPr/>
        <w:t>:</w:t>
      </w:r>
      <w:r>
        <w:rPr>
          <w:spacing w:val="-3"/>
        </w:rPr>
        <w:t> </w:t>
      </w:r>
      <w:r>
        <w:rPr/>
        <w:t>Kanku</w:t>
      </w:r>
      <w:r>
        <w:rPr>
          <w:spacing w:val="-2"/>
        </w:rPr>
        <w:t> </w:t>
      </w:r>
      <w:r>
        <w:rPr/>
        <w:t>Musa</w:t>
      </w:r>
      <w:r>
        <w:rPr>
          <w:spacing w:val="-3"/>
        </w:rPr>
        <w:t> </w:t>
      </w:r>
      <w:r>
        <w:rPr/>
        <w:t>Seginna :</w:t>
      </w:r>
      <w:r>
        <w:rPr>
          <w:spacing w:val="-2"/>
        </w:rPr>
        <w:t> </w:t>
      </w:r>
      <w:r>
        <w:rPr/>
        <w:t>Le</w:t>
      </w:r>
      <w:r>
        <w:rPr>
          <w:spacing w:val="-4"/>
        </w:rPr>
        <w:t> </w:t>
      </w:r>
      <w:r>
        <w:rPr/>
        <w:t>Retour</w:t>
      </w:r>
      <w:r>
        <w:rPr>
          <w:spacing w:val="-2"/>
        </w:rPr>
        <w:t> </w:t>
      </w:r>
      <w:r>
        <w:rPr/>
        <w:t>de</w:t>
      </w:r>
      <w:r>
        <w:rPr>
          <w:spacing w:val="-2"/>
        </w:rPr>
        <w:t> </w:t>
      </w:r>
      <w:r>
        <w:rPr/>
        <w:t>l’Age</w:t>
      </w:r>
      <w:r>
        <w:rPr>
          <w:spacing w:val="-2"/>
        </w:rPr>
        <w:t> </w:t>
      </w:r>
      <w:r>
        <w:rPr/>
        <w:t>d’or</w:t>
      </w:r>
      <w:r>
        <w:rPr>
          <w:spacing w:val="-2"/>
        </w:rPr>
        <w:t> </w:t>
      </w:r>
      <w:r>
        <w:rPr/>
        <w:t>de</w:t>
      </w:r>
      <w:r>
        <w:rPr>
          <w:spacing w:val="-2"/>
        </w:rPr>
        <w:t> </w:t>
      </w:r>
      <w:r>
        <w:rPr/>
        <w:t>Kankou</w:t>
      </w:r>
      <w:r>
        <w:rPr>
          <w:spacing w:val="-1"/>
        </w:rPr>
        <w:t> </w:t>
      </w:r>
      <w:r>
        <w:rPr>
          <w:spacing w:val="-2"/>
        </w:rPr>
        <w:t>Moussa</w:t>
      </w:r>
    </w:p>
    <w:p>
      <w:pPr>
        <w:pStyle w:val="ListParagraph"/>
        <w:numPr>
          <w:ilvl w:val="1"/>
          <w:numId w:val="1"/>
        </w:numPr>
        <w:tabs>
          <w:tab w:pos="1493" w:val="left" w:leader="none"/>
          <w:tab w:pos="1837" w:val="left" w:leader="none"/>
        </w:tabs>
        <w:spacing w:line="240" w:lineRule="auto" w:before="138" w:after="0"/>
        <w:ind w:left="1493" w:right="1133" w:hanging="360"/>
        <w:jc w:val="both"/>
        <w:rPr>
          <w:sz w:val="24"/>
        </w:rPr>
      </w:pPr>
      <w:r>
        <w:rPr>
          <w:sz w:val="24"/>
        </w:rPr>
        <w:t>Aujourd’hui,</w:t>
      </w:r>
      <w:r>
        <w:rPr>
          <w:spacing w:val="-3"/>
          <w:sz w:val="24"/>
        </w:rPr>
        <w:t> </w:t>
      </w:r>
      <w:r>
        <w:rPr>
          <w:sz w:val="24"/>
        </w:rPr>
        <w:t>l'objectif</w:t>
      </w:r>
      <w:r>
        <w:rPr>
          <w:spacing w:val="-5"/>
          <w:sz w:val="24"/>
        </w:rPr>
        <w:t> </w:t>
      </w:r>
      <w:r>
        <w:rPr>
          <w:sz w:val="24"/>
        </w:rPr>
        <w:t>principal</w:t>
      </w:r>
      <w:r>
        <w:rPr>
          <w:spacing w:val="-3"/>
          <w:sz w:val="24"/>
        </w:rPr>
        <w:t> </w:t>
      </w:r>
      <w:r>
        <w:rPr>
          <w:sz w:val="24"/>
        </w:rPr>
        <w:t>assigné</w:t>
      </w:r>
      <w:r>
        <w:rPr>
          <w:spacing w:val="-5"/>
          <w:sz w:val="24"/>
        </w:rPr>
        <w:t> </w:t>
      </w:r>
      <w:r>
        <w:rPr>
          <w:sz w:val="24"/>
        </w:rPr>
        <w:t>au</w:t>
      </w:r>
      <w:r>
        <w:rPr>
          <w:spacing w:val="-2"/>
          <w:sz w:val="24"/>
        </w:rPr>
        <w:t> </w:t>
      </w:r>
      <w:r>
        <w:rPr>
          <w:sz w:val="24"/>
        </w:rPr>
        <w:t>secteur</w:t>
      </w:r>
      <w:r>
        <w:rPr>
          <w:spacing w:val="-4"/>
          <w:sz w:val="24"/>
        </w:rPr>
        <w:t> </w:t>
      </w:r>
      <w:r>
        <w:rPr>
          <w:sz w:val="24"/>
        </w:rPr>
        <w:t>minier</w:t>
      </w:r>
      <w:r>
        <w:rPr>
          <w:spacing w:val="-4"/>
          <w:sz w:val="24"/>
        </w:rPr>
        <w:t> </w:t>
      </w:r>
      <w:r>
        <w:rPr>
          <w:sz w:val="24"/>
        </w:rPr>
        <w:t>est</w:t>
      </w:r>
      <w:r>
        <w:rPr>
          <w:spacing w:val="-2"/>
          <w:sz w:val="24"/>
        </w:rPr>
        <w:t> </w:t>
      </w:r>
      <w:r>
        <w:rPr>
          <w:sz w:val="24"/>
        </w:rPr>
        <w:t>l’accroissement</w:t>
      </w:r>
      <w:r>
        <w:rPr>
          <w:spacing w:val="-2"/>
          <w:sz w:val="24"/>
        </w:rPr>
        <w:t> </w:t>
      </w:r>
      <w:r>
        <w:rPr>
          <w:sz w:val="24"/>
        </w:rPr>
        <w:t>substantiel</w:t>
      </w:r>
      <w:r>
        <w:rPr>
          <w:spacing w:val="-3"/>
          <w:sz w:val="24"/>
        </w:rPr>
        <w:t> </w:t>
      </w:r>
      <w:r>
        <w:rPr>
          <w:sz w:val="24"/>
        </w:rPr>
        <w:t>de</w:t>
      </w:r>
      <w:r>
        <w:rPr>
          <w:spacing w:val="-2"/>
          <w:sz w:val="24"/>
        </w:rPr>
        <w:t> </w:t>
      </w:r>
      <w:r>
        <w:rPr>
          <w:sz w:val="24"/>
        </w:rPr>
        <w:t>la</w:t>
      </w:r>
      <w:r>
        <w:rPr>
          <w:spacing w:val="-5"/>
          <w:sz w:val="24"/>
        </w:rPr>
        <w:t> </w:t>
      </w:r>
      <w:r>
        <w:rPr>
          <w:sz w:val="24"/>
        </w:rPr>
        <w:t>part</w:t>
      </w:r>
      <w:r>
        <w:rPr>
          <w:spacing w:val="-5"/>
          <w:sz w:val="24"/>
        </w:rPr>
        <w:t> </w:t>
      </w:r>
      <w:r>
        <w:rPr>
          <w:sz w:val="24"/>
        </w:rPr>
        <w:t>des produits miniers dans le PIB en vue d’améliorer le bien-être social du peuple malien grâce à une</w:t>
      </w:r>
      <w:r>
        <w:rPr>
          <w:spacing w:val="80"/>
          <w:sz w:val="24"/>
        </w:rPr>
        <w:t> </w:t>
      </w:r>
      <w:r>
        <w:rPr>
          <w:sz w:val="24"/>
        </w:rPr>
        <w:t>juste distribution des revenus tirés du secteur et de promouvoir le développement durable pour les communautés vivant autour des mines.</w:t>
      </w:r>
    </w:p>
    <w:p>
      <w:pPr>
        <w:pStyle w:val="ListParagraph"/>
        <w:numPr>
          <w:ilvl w:val="1"/>
          <w:numId w:val="1"/>
        </w:numPr>
        <w:tabs>
          <w:tab w:pos="1493" w:val="left" w:leader="none"/>
          <w:tab w:pos="1837" w:val="left" w:leader="none"/>
        </w:tabs>
        <w:spacing w:line="240" w:lineRule="auto" w:before="139" w:after="0"/>
        <w:ind w:left="1493" w:right="1129" w:hanging="360"/>
        <w:jc w:val="both"/>
        <w:rPr>
          <w:sz w:val="24"/>
        </w:rPr>
      </w:pPr>
      <w:r>
        <w:rPr>
          <w:sz w:val="24"/>
        </w:rPr>
        <w:t>L'activité minière s'inscrit désormais dans un projet de développement durable sur le plan social, économique et environnemental pour l’ensemble du territoire malien avec un accent particulier pour les communautés et régions abritant les sites d’exploitation. Elle</w:t>
      </w:r>
      <w:r>
        <w:rPr>
          <w:spacing w:val="-2"/>
          <w:sz w:val="24"/>
        </w:rPr>
        <w:t> </w:t>
      </w:r>
      <w:r>
        <w:rPr>
          <w:sz w:val="24"/>
        </w:rPr>
        <w:t>ne sera plus considérée comme une activité à part, déconnectée du reste de l'activité économique nationale et basée sur la monoproduction de l’or, mais largement diversifiée avec l’exploitation de toutes les ressources minières potentielles.</w:t>
      </w:r>
    </w:p>
    <w:p>
      <w:pPr>
        <w:pStyle w:val="ListParagraph"/>
        <w:numPr>
          <w:ilvl w:val="1"/>
          <w:numId w:val="1"/>
        </w:numPr>
        <w:tabs>
          <w:tab w:pos="1493" w:val="left" w:leader="none"/>
          <w:tab w:pos="1893" w:val="left" w:leader="none"/>
        </w:tabs>
        <w:spacing w:line="240" w:lineRule="auto" w:before="136" w:after="0"/>
        <w:ind w:left="1493" w:right="1130" w:hanging="360"/>
        <w:jc w:val="both"/>
        <w:rPr>
          <w:sz w:val="24"/>
        </w:rPr>
      </w:pPr>
      <w:r>
        <w:rPr>
          <w:sz w:val="24"/>
        </w:rPr>
        <w:t>Ainsi,</w:t>
      </w:r>
      <w:r>
        <w:rPr>
          <w:spacing w:val="40"/>
          <w:sz w:val="24"/>
        </w:rPr>
        <w:t> </w:t>
      </w:r>
      <w:r>
        <w:rPr>
          <w:sz w:val="24"/>
        </w:rPr>
        <w:t>les</w:t>
      </w:r>
      <w:r>
        <w:rPr>
          <w:spacing w:val="40"/>
          <w:sz w:val="24"/>
        </w:rPr>
        <w:t> </w:t>
      </w:r>
      <w:r>
        <w:rPr>
          <w:sz w:val="24"/>
        </w:rPr>
        <w:t>activités</w:t>
      </w:r>
      <w:r>
        <w:rPr>
          <w:spacing w:val="40"/>
          <w:sz w:val="24"/>
        </w:rPr>
        <w:t> </w:t>
      </w:r>
      <w:r>
        <w:rPr>
          <w:sz w:val="24"/>
        </w:rPr>
        <w:t>minières</w:t>
      </w:r>
      <w:r>
        <w:rPr>
          <w:spacing w:val="40"/>
          <w:sz w:val="24"/>
        </w:rPr>
        <w:t> </w:t>
      </w:r>
      <w:r>
        <w:rPr>
          <w:sz w:val="24"/>
        </w:rPr>
        <w:t>devront</w:t>
      </w:r>
      <w:r>
        <w:rPr>
          <w:spacing w:val="40"/>
          <w:sz w:val="24"/>
        </w:rPr>
        <w:t> </w:t>
      </w:r>
      <w:r>
        <w:rPr>
          <w:sz w:val="24"/>
        </w:rPr>
        <w:t>être</w:t>
      </w:r>
      <w:r>
        <w:rPr>
          <w:spacing w:val="40"/>
          <w:sz w:val="24"/>
        </w:rPr>
        <w:t> </w:t>
      </w:r>
      <w:r>
        <w:rPr>
          <w:sz w:val="24"/>
        </w:rPr>
        <w:t>basées</w:t>
      </w:r>
      <w:r>
        <w:rPr>
          <w:spacing w:val="40"/>
          <w:sz w:val="24"/>
        </w:rPr>
        <w:t> </w:t>
      </w:r>
      <w:r>
        <w:rPr>
          <w:sz w:val="24"/>
        </w:rPr>
        <w:t>sur</w:t>
      </w:r>
      <w:r>
        <w:rPr>
          <w:spacing w:val="40"/>
          <w:sz w:val="24"/>
        </w:rPr>
        <w:t> </w:t>
      </w:r>
      <w:r>
        <w:rPr>
          <w:sz w:val="24"/>
        </w:rPr>
        <w:t>les</w:t>
      </w:r>
      <w:r>
        <w:rPr>
          <w:spacing w:val="40"/>
          <w:sz w:val="24"/>
        </w:rPr>
        <w:t> </w:t>
      </w:r>
      <w:r>
        <w:rPr>
          <w:sz w:val="24"/>
        </w:rPr>
        <w:t>ressources</w:t>
      </w:r>
      <w:r>
        <w:rPr>
          <w:spacing w:val="40"/>
          <w:sz w:val="24"/>
        </w:rPr>
        <w:t> </w:t>
      </w:r>
      <w:r>
        <w:rPr>
          <w:sz w:val="24"/>
        </w:rPr>
        <w:t>des</w:t>
      </w:r>
      <w:r>
        <w:rPr>
          <w:spacing w:val="40"/>
          <w:sz w:val="24"/>
        </w:rPr>
        <w:t> </w:t>
      </w:r>
      <w:r>
        <w:rPr>
          <w:sz w:val="24"/>
        </w:rPr>
        <w:t>districts</w:t>
      </w:r>
      <w:r>
        <w:rPr>
          <w:spacing w:val="40"/>
          <w:sz w:val="24"/>
        </w:rPr>
        <w:t> </w:t>
      </w:r>
      <w:r>
        <w:rPr>
          <w:sz w:val="24"/>
        </w:rPr>
        <w:t>miniers</w:t>
      </w:r>
      <w:r>
        <w:rPr>
          <w:spacing w:val="80"/>
          <w:sz w:val="24"/>
        </w:rPr>
        <w:t> </w:t>
      </w:r>
      <w:r>
        <w:rPr>
          <w:sz w:val="24"/>
        </w:rPr>
        <w:t>suivants</w:t>
      </w:r>
      <w:r>
        <w:rPr>
          <w:spacing w:val="-1"/>
          <w:sz w:val="24"/>
        </w:rPr>
        <w:t> </w:t>
      </w:r>
      <w:r>
        <w:rPr>
          <w:sz w:val="24"/>
        </w:rPr>
        <w:t>: (i) Le District Mali-Ouest constitué du triangle (Kayes –Kolokani - Kéniéba)</w:t>
      </w:r>
      <w:r>
        <w:rPr>
          <w:spacing w:val="-1"/>
          <w:sz w:val="24"/>
        </w:rPr>
        <w:t> </w:t>
      </w:r>
      <w:r>
        <w:rPr>
          <w:sz w:val="24"/>
        </w:rPr>
        <w:t>; (ii) le District Mali-Sud constitué de toute la bande Sud et (iii) le District Mali-Nord-Est constitué de (Tombouctou, Douentza, Ansongo, Bourem, Kidal, Tessalit, Taoudenni).</w:t>
      </w:r>
    </w:p>
    <w:p>
      <w:pPr>
        <w:pStyle w:val="BodyText"/>
        <w:spacing w:before="1"/>
        <w:ind w:left="0" w:firstLine="0"/>
        <w:jc w:val="left"/>
      </w:pPr>
    </w:p>
    <w:p>
      <w:pPr>
        <w:pStyle w:val="ListParagraph"/>
        <w:numPr>
          <w:ilvl w:val="1"/>
          <w:numId w:val="1"/>
        </w:numPr>
        <w:tabs>
          <w:tab w:pos="1493" w:val="left" w:leader="none"/>
          <w:tab w:pos="1837" w:val="left" w:leader="none"/>
        </w:tabs>
        <w:spacing w:line="240" w:lineRule="auto" w:before="0" w:after="0"/>
        <w:ind w:left="1493" w:right="1127" w:hanging="360"/>
        <w:jc w:val="both"/>
        <w:rPr>
          <w:sz w:val="24"/>
        </w:rPr>
      </w:pPr>
      <w:r>
        <w:rPr>
          <w:sz w:val="24"/>
        </w:rPr>
        <w:t>La</w:t>
      </w:r>
      <w:r>
        <w:rPr>
          <w:spacing w:val="40"/>
          <w:sz w:val="24"/>
        </w:rPr>
        <w:t> </w:t>
      </w:r>
      <w:r>
        <w:rPr>
          <w:sz w:val="24"/>
        </w:rPr>
        <w:t>mise</w:t>
      </w:r>
      <w:r>
        <w:rPr>
          <w:spacing w:val="40"/>
          <w:sz w:val="24"/>
        </w:rPr>
        <w:t> </w:t>
      </w:r>
      <w:r>
        <w:rPr>
          <w:sz w:val="24"/>
        </w:rPr>
        <w:t>en</w:t>
      </w:r>
      <w:r>
        <w:rPr>
          <w:spacing w:val="40"/>
          <w:sz w:val="24"/>
        </w:rPr>
        <w:t> </w:t>
      </w:r>
      <w:r>
        <w:rPr>
          <w:sz w:val="24"/>
        </w:rPr>
        <w:t>œuvre</w:t>
      </w:r>
      <w:r>
        <w:rPr>
          <w:spacing w:val="40"/>
          <w:sz w:val="24"/>
        </w:rPr>
        <w:t> </w:t>
      </w:r>
      <w:r>
        <w:rPr>
          <w:sz w:val="24"/>
        </w:rPr>
        <w:t>du</w:t>
      </w:r>
      <w:r>
        <w:rPr>
          <w:spacing w:val="40"/>
          <w:sz w:val="24"/>
        </w:rPr>
        <w:t> </w:t>
      </w:r>
      <w:r>
        <w:rPr>
          <w:sz w:val="24"/>
        </w:rPr>
        <w:t>Projet</w:t>
      </w:r>
      <w:r>
        <w:rPr>
          <w:spacing w:val="40"/>
          <w:sz w:val="24"/>
        </w:rPr>
        <w:t> </w:t>
      </w:r>
      <w:r>
        <w:rPr>
          <w:sz w:val="24"/>
        </w:rPr>
        <w:t>structure :</w:t>
      </w:r>
      <w:r>
        <w:rPr>
          <w:spacing w:val="40"/>
          <w:sz w:val="24"/>
        </w:rPr>
        <w:t> </w:t>
      </w:r>
      <w:r>
        <w:rPr>
          <w:sz w:val="24"/>
        </w:rPr>
        <w:t>«</w:t>
      </w:r>
      <w:r>
        <w:rPr>
          <w:spacing w:val="40"/>
          <w:sz w:val="24"/>
        </w:rPr>
        <w:t> </w:t>
      </w:r>
      <w:r>
        <w:rPr>
          <w:sz w:val="24"/>
        </w:rPr>
        <w:t>Kanku</w:t>
      </w:r>
      <w:r>
        <w:rPr>
          <w:spacing w:val="40"/>
          <w:sz w:val="24"/>
        </w:rPr>
        <w:t> </w:t>
      </w:r>
      <w:r>
        <w:rPr>
          <w:sz w:val="24"/>
        </w:rPr>
        <w:t>Musa</w:t>
      </w:r>
      <w:r>
        <w:rPr>
          <w:spacing w:val="40"/>
          <w:sz w:val="24"/>
        </w:rPr>
        <w:t> </w:t>
      </w:r>
      <w:r>
        <w:rPr>
          <w:sz w:val="24"/>
        </w:rPr>
        <w:t>Seginna</w:t>
      </w:r>
      <w:r>
        <w:rPr>
          <w:spacing w:val="40"/>
          <w:sz w:val="24"/>
        </w:rPr>
        <w:t> </w:t>
      </w:r>
      <w:r>
        <w:rPr>
          <w:sz w:val="24"/>
        </w:rPr>
        <w:t>»</w:t>
      </w:r>
      <w:r>
        <w:rPr>
          <w:spacing w:val="40"/>
          <w:sz w:val="24"/>
        </w:rPr>
        <w:t> </w:t>
      </w:r>
      <w:r>
        <w:rPr>
          <w:sz w:val="24"/>
        </w:rPr>
        <w:t>le</w:t>
      </w:r>
      <w:r>
        <w:rPr>
          <w:spacing w:val="40"/>
          <w:sz w:val="24"/>
        </w:rPr>
        <w:t> </w:t>
      </w:r>
      <w:r>
        <w:rPr>
          <w:sz w:val="24"/>
        </w:rPr>
        <w:t>Retour</w:t>
      </w:r>
      <w:r>
        <w:rPr>
          <w:spacing w:val="40"/>
          <w:sz w:val="24"/>
        </w:rPr>
        <w:t> </w:t>
      </w:r>
      <w:r>
        <w:rPr>
          <w:sz w:val="24"/>
        </w:rPr>
        <w:t>de</w:t>
      </w:r>
      <w:r>
        <w:rPr>
          <w:spacing w:val="40"/>
          <w:sz w:val="24"/>
        </w:rPr>
        <w:t> </w:t>
      </w:r>
      <w:r>
        <w:rPr>
          <w:sz w:val="24"/>
        </w:rPr>
        <w:t>l’Age</w:t>
      </w:r>
      <w:r>
        <w:rPr>
          <w:spacing w:val="40"/>
          <w:sz w:val="24"/>
        </w:rPr>
        <w:t> </w:t>
      </w:r>
      <w:r>
        <w:rPr>
          <w:sz w:val="24"/>
        </w:rPr>
        <w:t>d’Or</w:t>
      </w:r>
      <w:r>
        <w:rPr>
          <w:spacing w:val="40"/>
          <w:sz w:val="24"/>
        </w:rPr>
        <w:t> </w:t>
      </w:r>
      <w:r>
        <w:rPr>
          <w:sz w:val="24"/>
        </w:rPr>
        <w:t>de Kankou Moussa mettra l’accent sur la prospection, l’exploitation et l’industrialisation de certaines ressources minérales stratégiques telles que l’or, le lithium, l’uranium. Aussi, des unités de transformation comme la raffinerie d’or et l’industrialisation du lithium permettront de faire bénéficier substantiellement les populations maliennes des retombées de l’exploitation des ressources </w:t>
      </w:r>
      <w:r>
        <w:rPr>
          <w:spacing w:val="-2"/>
          <w:sz w:val="24"/>
        </w:rPr>
        <w:t>minérales.</w:t>
      </w:r>
    </w:p>
    <w:p>
      <w:pPr>
        <w:pStyle w:val="Heading3"/>
        <w:numPr>
          <w:ilvl w:val="0"/>
          <w:numId w:val="15"/>
        </w:numPr>
        <w:tabs>
          <w:tab w:pos="1775" w:val="left" w:leader="none"/>
        </w:tabs>
        <w:spacing w:line="240" w:lineRule="auto" w:before="138" w:after="0"/>
        <w:ind w:left="1775" w:right="0" w:hanging="359"/>
        <w:jc w:val="both"/>
      </w:pPr>
      <w:r>
        <w:rPr/>
        <w:t>Projet</w:t>
      </w:r>
      <w:r>
        <w:rPr>
          <w:spacing w:val="-2"/>
        </w:rPr>
        <w:t> </w:t>
      </w:r>
      <w:r>
        <w:rPr/>
        <w:t>N°5</w:t>
      </w:r>
      <w:r>
        <w:rPr>
          <w:spacing w:val="-1"/>
        </w:rPr>
        <w:t> </w:t>
      </w:r>
      <w:r>
        <w:rPr/>
        <w:t>:</w:t>
      </w:r>
      <w:r>
        <w:rPr>
          <w:spacing w:val="-2"/>
        </w:rPr>
        <w:t> </w:t>
      </w:r>
      <w:r>
        <w:rPr/>
        <w:t>Intégrer</w:t>
      </w:r>
      <w:r>
        <w:rPr>
          <w:spacing w:val="-1"/>
        </w:rPr>
        <w:t> </w:t>
      </w:r>
      <w:r>
        <w:rPr/>
        <w:t>le</w:t>
      </w:r>
      <w:r>
        <w:rPr>
          <w:spacing w:val="-2"/>
        </w:rPr>
        <w:t> </w:t>
      </w:r>
      <w:r>
        <w:rPr/>
        <w:t>Mali</w:t>
      </w:r>
      <w:r>
        <w:rPr>
          <w:spacing w:val="-2"/>
        </w:rPr>
        <w:t> </w:t>
      </w:r>
      <w:r>
        <w:rPr/>
        <w:t>au</w:t>
      </w:r>
      <w:r>
        <w:rPr>
          <w:spacing w:val="-1"/>
        </w:rPr>
        <w:t> </w:t>
      </w:r>
      <w:r>
        <w:rPr>
          <w:spacing w:val="-2"/>
        </w:rPr>
        <w:t>Monde</w:t>
      </w:r>
    </w:p>
    <w:p>
      <w:pPr>
        <w:pStyle w:val="ListParagraph"/>
        <w:numPr>
          <w:ilvl w:val="1"/>
          <w:numId w:val="1"/>
        </w:numPr>
        <w:tabs>
          <w:tab w:pos="1493" w:val="left" w:leader="none"/>
          <w:tab w:pos="1837" w:val="left" w:leader="none"/>
        </w:tabs>
        <w:spacing w:line="240" w:lineRule="auto" w:before="138" w:after="0"/>
        <w:ind w:left="1493" w:right="1137" w:hanging="360"/>
        <w:jc w:val="both"/>
        <w:rPr>
          <w:sz w:val="24"/>
        </w:rPr>
      </w:pPr>
      <w:r>
        <w:rPr>
          <w:sz w:val="24"/>
        </w:rPr>
        <w:t>A travers ce projet, le Mali ambitionne de faire du désenclavement intérieur et extérieur le moteur d’une croissance forte et durable, pour un développement socioéconomique et culturel du pays au bénéfice des populations.</w:t>
      </w:r>
    </w:p>
    <w:p>
      <w:pPr>
        <w:pStyle w:val="ListParagraph"/>
        <w:numPr>
          <w:ilvl w:val="1"/>
          <w:numId w:val="1"/>
        </w:numPr>
        <w:tabs>
          <w:tab w:pos="1493" w:val="left" w:leader="none"/>
          <w:tab w:pos="1893" w:val="left" w:leader="none"/>
        </w:tabs>
        <w:spacing w:line="240" w:lineRule="auto" w:before="138" w:after="0"/>
        <w:ind w:left="1493" w:right="1140" w:hanging="360"/>
        <w:jc w:val="both"/>
        <w:rPr>
          <w:sz w:val="24"/>
        </w:rPr>
      </w:pPr>
      <w:r>
        <w:rPr>
          <w:sz w:val="24"/>
        </w:rPr>
        <w:t>Pour</w:t>
      </w:r>
      <w:r>
        <w:rPr>
          <w:spacing w:val="40"/>
          <w:sz w:val="24"/>
        </w:rPr>
        <w:t> </w:t>
      </w:r>
      <w:r>
        <w:rPr>
          <w:sz w:val="24"/>
        </w:rPr>
        <w:t>ce</w:t>
      </w:r>
      <w:r>
        <w:rPr>
          <w:spacing w:val="40"/>
          <w:sz w:val="24"/>
        </w:rPr>
        <w:t> </w:t>
      </w:r>
      <w:r>
        <w:rPr>
          <w:sz w:val="24"/>
        </w:rPr>
        <w:t>faire,</w:t>
      </w:r>
      <w:r>
        <w:rPr>
          <w:spacing w:val="40"/>
          <w:sz w:val="24"/>
        </w:rPr>
        <w:t> </w:t>
      </w:r>
      <w:r>
        <w:rPr>
          <w:sz w:val="24"/>
        </w:rPr>
        <w:t>il</w:t>
      </w:r>
      <w:r>
        <w:rPr>
          <w:spacing w:val="40"/>
          <w:sz w:val="24"/>
        </w:rPr>
        <w:t> </w:t>
      </w:r>
      <w:r>
        <w:rPr>
          <w:sz w:val="24"/>
        </w:rPr>
        <w:t>s’agit</w:t>
      </w:r>
      <w:r>
        <w:rPr>
          <w:spacing w:val="40"/>
          <w:sz w:val="24"/>
        </w:rPr>
        <w:t> </w:t>
      </w:r>
      <w:r>
        <w:rPr>
          <w:sz w:val="24"/>
        </w:rPr>
        <w:t>de</w:t>
      </w:r>
      <w:r>
        <w:rPr>
          <w:spacing w:val="40"/>
          <w:sz w:val="24"/>
        </w:rPr>
        <w:t> </w:t>
      </w:r>
      <w:r>
        <w:rPr>
          <w:sz w:val="24"/>
        </w:rPr>
        <w:t>développer,</w:t>
      </w:r>
      <w:r>
        <w:rPr>
          <w:spacing w:val="40"/>
          <w:sz w:val="24"/>
        </w:rPr>
        <w:t> </w:t>
      </w:r>
      <w:r>
        <w:rPr>
          <w:sz w:val="24"/>
        </w:rPr>
        <w:t>exploiter</w:t>
      </w:r>
      <w:r>
        <w:rPr>
          <w:spacing w:val="40"/>
          <w:sz w:val="24"/>
        </w:rPr>
        <w:t> </w:t>
      </w:r>
      <w:r>
        <w:rPr>
          <w:sz w:val="24"/>
        </w:rPr>
        <w:t>et</w:t>
      </w:r>
      <w:r>
        <w:rPr>
          <w:spacing w:val="40"/>
          <w:sz w:val="24"/>
        </w:rPr>
        <w:t> </w:t>
      </w:r>
      <w:r>
        <w:rPr>
          <w:sz w:val="24"/>
        </w:rPr>
        <w:t>entretenir</w:t>
      </w:r>
      <w:r>
        <w:rPr>
          <w:spacing w:val="40"/>
          <w:sz w:val="24"/>
        </w:rPr>
        <w:t> </w:t>
      </w:r>
      <w:r>
        <w:rPr>
          <w:sz w:val="24"/>
        </w:rPr>
        <w:t>un</w:t>
      </w:r>
      <w:r>
        <w:rPr>
          <w:spacing w:val="40"/>
          <w:sz w:val="24"/>
        </w:rPr>
        <w:t> </w:t>
      </w:r>
      <w:r>
        <w:rPr>
          <w:sz w:val="24"/>
        </w:rPr>
        <w:t>réseau</w:t>
      </w:r>
      <w:r>
        <w:rPr>
          <w:spacing w:val="40"/>
          <w:sz w:val="24"/>
        </w:rPr>
        <w:t> </w:t>
      </w:r>
      <w:r>
        <w:rPr>
          <w:sz w:val="24"/>
        </w:rPr>
        <w:t>d’infrastructures</w:t>
      </w:r>
      <w:r>
        <w:rPr>
          <w:spacing w:val="40"/>
          <w:sz w:val="24"/>
        </w:rPr>
        <w:t> </w:t>
      </w:r>
      <w:r>
        <w:rPr>
          <w:sz w:val="24"/>
        </w:rPr>
        <w:t>et</w:t>
      </w:r>
      <w:r>
        <w:rPr>
          <w:spacing w:val="40"/>
          <w:sz w:val="24"/>
        </w:rPr>
        <w:t> </w:t>
      </w:r>
      <w:r>
        <w:rPr>
          <w:sz w:val="24"/>
        </w:rPr>
        <w:t>un système multimodal</w:t>
      </w:r>
      <w:r>
        <w:rPr>
          <w:spacing w:val="-4"/>
          <w:sz w:val="24"/>
        </w:rPr>
        <w:t> </w:t>
      </w:r>
      <w:r>
        <w:rPr>
          <w:sz w:val="24"/>
        </w:rPr>
        <w:t>et intégré</w:t>
      </w:r>
      <w:r>
        <w:rPr>
          <w:spacing w:val="-1"/>
          <w:sz w:val="24"/>
        </w:rPr>
        <w:t> </w:t>
      </w:r>
      <w:r>
        <w:rPr>
          <w:sz w:val="24"/>
        </w:rPr>
        <w:t>de transport</w:t>
      </w:r>
      <w:r>
        <w:rPr>
          <w:spacing w:val="-1"/>
          <w:sz w:val="24"/>
        </w:rPr>
        <w:t> </w:t>
      </w:r>
      <w:r>
        <w:rPr>
          <w:sz w:val="24"/>
        </w:rPr>
        <w:t>efficace,</w:t>
      </w:r>
      <w:r>
        <w:rPr>
          <w:spacing w:val="-3"/>
          <w:sz w:val="24"/>
        </w:rPr>
        <w:t> </w:t>
      </w:r>
      <w:r>
        <w:rPr>
          <w:sz w:val="24"/>
        </w:rPr>
        <w:t>économique, fiable et sûr,</w:t>
      </w:r>
      <w:r>
        <w:rPr>
          <w:spacing w:val="-1"/>
          <w:sz w:val="24"/>
        </w:rPr>
        <w:t> </w:t>
      </w:r>
      <w:r>
        <w:rPr>
          <w:sz w:val="24"/>
        </w:rPr>
        <w:t>qui</w:t>
      </w:r>
      <w:r>
        <w:rPr>
          <w:spacing w:val="-1"/>
          <w:sz w:val="24"/>
        </w:rPr>
        <w:t> </w:t>
      </w:r>
      <w:r>
        <w:rPr>
          <w:sz w:val="24"/>
        </w:rPr>
        <w:t>correspondent à la politique générale du Gouvernement, afin de répondre aux besoins d’aménagement du territoire de façon pérenne d’un point de vue social, économique et environnemental.</w:t>
      </w:r>
    </w:p>
    <w:p>
      <w:pPr>
        <w:pStyle w:val="ListParagraph"/>
        <w:numPr>
          <w:ilvl w:val="1"/>
          <w:numId w:val="1"/>
        </w:numPr>
        <w:tabs>
          <w:tab w:pos="1493" w:val="left" w:leader="none"/>
          <w:tab w:pos="1837" w:val="left" w:leader="none"/>
        </w:tabs>
        <w:spacing w:line="240" w:lineRule="auto" w:before="183" w:after="0"/>
        <w:ind w:left="1493" w:right="1126" w:hanging="360"/>
        <w:jc w:val="both"/>
        <w:rPr>
          <w:sz w:val="24"/>
        </w:rPr>
      </w:pPr>
      <w:r>
        <w:rPr>
          <w:sz w:val="24"/>
        </w:rPr>
        <w:t>Ainsi, les efforts déployés permettront un maillage optimal du territoire avec la réalisation d’infrastructures telles</w:t>
      </w:r>
      <w:r>
        <w:rPr>
          <w:spacing w:val="-1"/>
          <w:sz w:val="24"/>
        </w:rPr>
        <w:t> </w:t>
      </w:r>
      <w:r>
        <w:rPr>
          <w:sz w:val="24"/>
        </w:rPr>
        <w:t>que (i) la reconstruction/réhabilitation de la route Gao – Ansongo – Labézanga – Frontière Niger (RN 17), longue d’environ 217 km ; (ii) la Construction et la modernisation des</w:t>
      </w:r>
      <w:r>
        <w:rPr>
          <w:spacing w:val="40"/>
          <w:sz w:val="24"/>
        </w:rPr>
        <w:t> </w:t>
      </w:r>
      <w:r>
        <w:rPr>
          <w:sz w:val="24"/>
        </w:rPr>
        <w:t>ponts, échangeurs, autoroutes… ; (iii) la construction du chemin de fer des mines entre le Mali et le Burkina Faso</w:t>
      </w:r>
      <w:r>
        <w:rPr>
          <w:spacing w:val="-3"/>
          <w:sz w:val="24"/>
        </w:rPr>
        <w:t> </w:t>
      </w:r>
      <w:r>
        <w:rPr>
          <w:sz w:val="24"/>
        </w:rPr>
        <w:t>: Bretelle Dori-Tambao (BF) Ansongo-Bourem-Tombouctou (Mali) et (iv) la construction d’aéroports et aérodromes. Ce qui impactera considérablement les principaux indicateurs de ce secteur. En effet, Le Linéaire de voies ferrées construites qui est de 643 Km en 2022 sera porté à 3 000 Km en 2063. De même, celui de voies navigables sera doublé pour se fixer à 2334 Km contre 1308 Km en 2022.</w:t>
      </w:r>
    </w:p>
    <w:p>
      <w:pPr>
        <w:pStyle w:val="Heading3"/>
        <w:numPr>
          <w:ilvl w:val="0"/>
          <w:numId w:val="16"/>
        </w:numPr>
        <w:tabs>
          <w:tab w:pos="1775" w:val="left" w:leader="none"/>
        </w:tabs>
        <w:spacing w:line="240" w:lineRule="auto" w:before="138" w:after="0"/>
        <w:ind w:left="1775" w:right="0" w:hanging="359"/>
        <w:jc w:val="both"/>
      </w:pPr>
      <w:r>
        <w:rPr/>
        <w:t>Projet</w:t>
      </w:r>
      <w:r>
        <w:rPr>
          <w:spacing w:val="-4"/>
        </w:rPr>
        <w:t> </w:t>
      </w:r>
      <w:r>
        <w:rPr/>
        <w:t>N°6</w:t>
      </w:r>
      <w:r>
        <w:rPr>
          <w:spacing w:val="-1"/>
        </w:rPr>
        <w:t> </w:t>
      </w:r>
      <w:r>
        <w:rPr/>
        <w:t>:</w:t>
      </w:r>
      <w:r>
        <w:rPr>
          <w:spacing w:val="-5"/>
        </w:rPr>
        <w:t> </w:t>
      </w:r>
      <w:r>
        <w:rPr/>
        <w:t>«</w:t>
      </w:r>
      <w:r>
        <w:rPr>
          <w:spacing w:val="-1"/>
        </w:rPr>
        <w:t> </w:t>
      </w:r>
      <w:r>
        <w:rPr/>
        <w:t>SIGIDA</w:t>
      </w:r>
      <w:r>
        <w:rPr>
          <w:spacing w:val="-2"/>
        </w:rPr>
        <w:t> </w:t>
      </w:r>
      <w:r>
        <w:rPr/>
        <w:t>YIRIWA</w:t>
      </w:r>
      <w:r>
        <w:rPr>
          <w:spacing w:val="-1"/>
        </w:rPr>
        <w:t> </w:t>
      </w:r>
      <w:r>
        <w:rPr/>
        <w:t>»</w:t>
      </w:r>
      <w:r>
        <w:rPr>
          <w:spacing w:val="-2"/>
        </w:rPr>
        <w:t> </w:t>
      </w:r>
      <w:r>
        <w:rPr/>
        <w:t>Mieux</w:t>
      </w:r>
      <w:r>
        <w:rPr>
          <w:spacing w:val="-2"/>
        </w:rPr>
        <w:t> </w:t>
      </w:r>
      <w:r>
        <w:rPr/>
        <w:t>vivre</w:t>
      </w:r>
      <w:r>
        <w:rPr>
          <w:spacing w:val="-4"/>
        </w:rPr>
        <w:t> </w:t>
      </w:r>
      <w:r>
        <w:rPr/>
        <w:t>à</w:t>
      </w:r>
      <w:r>
        <w:rPr>
          <w:spacing w:val="-1"/>
        </w:rPr>
        <w:t> </w:t>
      </w:r>
      <w:r>
        <w:rPr/>
        <w:t>Bamako</w:t>
      </w:r>
      <w:r>
        <w:rPr>
          <w:spacing w:val="-2"/>
        </w:rPr>
        <w:t> </w:t>
      </w:r>
      <w:r>
        <w:rPr/>
        <w:t>et</w:t>
      </w:r>
      <w:r>
        <w:rPr>
          <w:spacing w:val="-2"/>
        </w:rPr>
        <w:t> </w:t>
      </w:r>
      <w:r>
        <w:rPr/>
        <w:t>dans</w:t>
      </w:r>
      <w:r>
        <w:rPr>
          <w:spacing w:val="-4"/>
        </w:rPr>
        <w:t> </w:t>
      </w:r>
      <w:r>
        <w:rPr/>
        <w:t>les</w:t>
      </w:r>
      <w:r>
        <w:rPr>
          <w:spacing w:val="-2"/>
        </w:rPr>
        <w:t> </w:t>
      </w:r>
      <w:r>
        <w:rPr/>
        <w:t>capitales</w:t>
      </w:r>
      <w:r>
        <w:rPr>
          <w:spacing w:val="-1"/>
        </w:rPr>
        <w:t> </w:t>
      </w:r>
      <w:r>
        <w:rPr>
          <w:spacing w:val="-2"/>
        </w:rPr>
        <w:t>régionales</w:t>
      </w:r>
    </w:p>
    <w:p>
      <w:pPr>
        <w:pStyle w:val="ListParagraph"/>
        <w:numPr>
          <w:ilvl w:val="1"/>
          <w:numId w:val="1"/>
        </w:numPr>
        <w:tabs>
          <w:tab w:pos="1493" w:val="left" w:leader="none"/>
          <w:tab w:pos="1837" w:val="left" w:leader="none"/>
        </w:tabs>
        <w:spacing w:line="240" w:lineRule="auto" w:before="137" w:after="0"/>
        <w:ind w:left="1493" w:right="1135" w:hanging="360"/>
        <w:jc w:val="both"/>
        <w:rPr>
          <w:sz w:val="24"/>
        </w:rPr>
      </w:pPr>
      <w:r>
        <w:rPr>
          <w:sz w:val="24"/>
        </w:rPr>
        <w:t>Le Mali est confronté à une forte concentration, dans les capitales régionales et principalement à Bamako, des infrastructures et équipements qui constituent les leviers importants pour soutenir le développement socioéconomique, accentuant du coup le déséquilibre territorial et les inégalités.</w:t>
      </w:r>
    </w:p>
    <w:p>
      <w:pPr>
        <w:pStyle w:val="ListParagraph"/>
        <w:numPr>
          <w:ilvl w:val="1"/>
          <w:numId w:val="1"/>
        </w:numPr>
        <w:tabs>
          <w:tab w:pos="1493" w:val="left" w:leader="none"/>
          <w:tab w:pos="1837" w:val="left" w:leader="none"/>
        </w:tabs>
        <w:spacing w:line="240" w:lineRule="auto" w:before="139" w:after="0"/>
        <w:ind w:left="1493" w:right="1140" w:hanging="360"/>
        <w:jc w:val="both"/>
        <w:rPr>
          <w:sz w:val="24"/>
        </w:rPr>
      </w:pPr>
      <w:r>
        <w:rPr>
          <w:sz w:val="24"/>
        </w:rPr>
        <w:t>Il est, dès lors, impératif de faciliter la répartition de la population, des infrastructures et des biens et services sur le territoire national en favorisant le développement de villes secondaires attractives</w:t>
      </w:r>
    </w:p>
    <w:p>
      <w:pPr>
        <w:pStyle w:val="ListParagraph"/>
        <w:spacing w:after="0" w:line="240" w:lineRule="auto"/>
        <w:jc w:val="both"/>
        <w:rPr>
          <w:sz w:val="24"/>
        </w:rPr>
        <w:sectPr>
          <w:pgSz w:w="11910" w:h="16840"/>
          <w:pgMar w:header="0" w:footer="680" w:top="1320" w:bottom="960" w:left="283" w:right="141"/>
        </w:sectPr>
      </w:pPr>
    </w:p>
    <w:p>
      <w:pPr>
        <w:pStyle w:val="BodyText"/>
        <w:spacing w:before="78"/>
        <w:ind w:right="1140" w:firstLine="0"/>
      </w:pPr>
      <w:r>
        <w:rPr/>
        <w:t>sur la base des avantages qu’offrent les territoires. Il s’agît de bâtir des stratégies de développement économique régional et d’urbanisation pour faire des territoires régions de véritables pôles économiques en tenant compte de leurs opportunités et avantages relatifs.</w:t>
      </w:r>
    </w:p>
    <w:p>
      <w:pPr>
        <w:pStyle w:val="ListParagraph"/>
        <w:numPr>
          <w:ilvl w:val="1"/>
          <w:numId w:val="1"/>
        </w:numPr>
        <w:tabs>
          <w:tab w:pos="1493" w:val="left" w:leader="none"/>
          <w:tab w:pos="1837" w:val="left" w:leader="none"/>
        </w:tabs>
        <w:spacing w:line="240" w:lineRule="auto" w:before="139" w:after="0"/>
        <w:ind w:left="1493" w:right="1133" w:hanging="360"/>
        <w:jc w:val="both"/>
        <w:rPr>
          <w:sz w:val="24"/>
        </w:rPr>
      </w:pPr>
      <w:r>
        <w:rPr>
          <w:sz w:val="24"/>
        </w:rPr>
        <w:t>L’atteinte de cet objectif passera par l’amélioration de l'assainissement et la qualité de vie dans les villes, un meilleur accès à un logement décent pour les populations à faible revenu, un meilleur encadrement de l’urbanisation pour en faire un facteur moteur de la croissance économique et du développement, le lancement de grands programmes d’amélioration de l’habitat dans une</w:t>
      </w:r>
      <w:r>
        <w:rPr>
          <w:spacing w:val="40"/>
          <w:sz w:val="24"/>
        </w:rPr>
        <w:t> </w:t>
      </w:r>
      <w:r>
        <w:rPr>
          <w:sz w:val="24"/>
        </w:rPr>
        <w:t>perspective</w:t>
      </w:r>
      <w:r>
        <w:rPr>
          <w:spacing w:val="-2"/>
          <w:sz w:val="24"/>
        </w:rPr>
        <w:t> </w:t>
      </w:r>
      <w:r>
        <w:rPr>
          <w:sz w:val="24"/>
        </w:rPr>
        <w:t>de</w:t>
      </w:r>
      <w:r>
        <w:rPr>
          <w:spacing w:val="-2"/>
          <w:sz w:val="24"/>
        </w:rPr>
        <w:t> </w:t>
      </w:r>
      <w:r>
        <w:rPr>
          <w:sz w:val="24"/>
        </w:rPr>
        <w:t>maitrise</w:t>
      </w:r>
      <w:r>
        <w:rPr>
          <w:spacing w:val="-2"/>
          <w:sz w:val="24"/>
        </w:rPr>
        <w:t> </w:t>
      </w:r>
      <w:r>
        <w:rPr>
          <w:sz w:val="24"/>
        </w:rPr>
        <w:t>de</w:t>
      </w:r>
      <w:r>
        <w:rPr>
          <w:spacing w:val="-2"/>
          <w:sz w:val="24"/>
        </w:rPr>
        <w:t> </w:t>
      </w:r>
      <w:r>
        <w:rPr>
          <w:sz w:val="24"/>
        </w:rPr>
        <w:t>l’urbanisation,</w:t>
      </w:r>
      <w:r>
        <w:rPr>
          <w:spacing w:val="-2"/>
          <w:sz w:val="24"/>
        </w:rPr>
        <w:t> </w:t>
      </w:r>
      <w:r>
        <w:rPr>
          <w:sz w:val="24"/>
        </w:rPr>
        <w:t>l’investissement</w:t>
      </w:r>
      <w:r>
        <w:rPr>
          <w:spacing w:val="-2"/>
          <w:sz w:val="24"/>
        </w:rPr>
        <w:t> </w:t>
      </w:r>
      <w:r>
        <w:rPr>
          <w:sz w:val="24"/>
        </w:rPr>
        <w:t>massif</w:t>
      </w:r>
      <w:r>
        <w:rPr>
          <w:spacing w:val="-3"/>
          <w:sz w:val="24"/>
        </w:rPr>
        <w:t> </w:t>
      </w:r>
      <w:r>
        <w:rPr>
          <w:sz w:val="24"/>
        </w:rPr>
        <w:t>dans</w:t>
      </w:r>
      <w:r>
        <w:rPr>
          <w:spacing w:val="-3"/>
          <w:sz w:val="24"/>
        </w:rPr>
        <w:t> </w:t>
      </w:r>
      <w:r>
        <w:rPr>
          <w:sz w:val="24"/>
        </w:rPr>
        <w:t>la</w:t>
      </w:r>
      <w:r>
        <w:rPr>
          <w:spacing w:val="-2"/>
          <w:sz w:val="24"/>
        </w:rPr>
        <w:t> </w:t>
      </w:r>
      <w:r>
        <w:rPr>
          <w:sz w:val="24"/>
        </w:rPr>
        <w:t>disponibilité</w:t>
      </w:r>
      <w:r>
        <w:rPr>
          <w:spacing w:val="-2"/>
          <w:sz w:val="24"/>
        </w:rPr>
        <w:t> </w:t>
      </w:r>
      <w:r>
        <w:rPr>
          <w:sz w:val="24"/>
        </w:rPr>
        <w:t>et</w:t>
      </w:r>
      <w:r>
        <w:rPr>
          <w:spacing w:val="-2"/>
          <w:sz w:val="24"/>
        </w:rPr>
        <w:t> </w:t>
      </w:r>
      <w:r>
        <w:rPr>
          <w:sz w:val="24"/>
        </w:rPr>
        <w:t>la</w:t>
      </w:r>
      <w:r>
        <w:rPr>
          <w:spacing w:val="-2"/>
          <w:sz w:val="24"/>
        </w:rPr>
        <w:t> </w:t>
      </w:r>
      <w:r>
        <w:rPr>
          <w:sz w:val="24"/>
        </w:rPr>
        <w:t>qualité</w:t>
      </w:r>
      <w:r>
        <w:rPr>
          <w:spacing w:val="-2"/>
          <w:sz w:val="24"/>
        </w:rPr>
        <w:t> </w:t>
      </w:r>
      <w:r>
        <w:rPr>
          <w:sz w:val="24"/>
        </w:rPr>
        <w:t>des services publics, des infrastructures socio-économiques et du réseau des transports.</w:t>
      </w:r>
    </w:p>
    <w:p>
      <w:pPr>
        <w:pStyle w:val="Heading3"/>
        <w:numPr>
          <w:ilvl w:val="0"/>
          <w:numId w:val="17"/>
        </w:numPr>
        <w:tabs>
          <w:tab w:pos="1775" w:val="left" w:leader="none"/>
        </w:tabs>
        <w:spacing w:line="240" w:lineRule="auto" w:before="184" w:after="0"/>
        <w:ind w:left="1775" w:right="0" w:hanging="359"/>
        <w:jc w:val="left"/>
      </w:pPr>
      <w:r>
        <w:rPr/>
        <w:t>Projet</w:t>
      </w:r>
      <w:r>
        <w:rPr>
          <w:spacing w:val="-5"/>
        </w:rPr>
        <w:t> </w:t>
      </w:r>
      <w:r>
        <w:rPr/>
        <w:t>N°7</w:t>
      </w:r>
      <w:r>
        <w:rPr>
          <w:spacing w:val="-2"/>
        </w:rPr>
        <w:t> </w:t>
      </w:r>
      <w:r>
        <w:rPr/>
        <w:t>:</w:t>
      </w:r>
      <w:r>
        <w:rPr>
          <w:spacing w:val="-3"/>
        </w:rPr>
        <w:t> </w:t>
      </w:r>
      <w:r>
        <w:rPr/>
        <w:t>Innovation,</w:t>
      </w:r>
      <w:r>
        <w:rPr>
          <w:spacing w:val="-3"/>
        </w:rPr>
        <w:t> </w:t>
      </w:r>
      <w:r>
        <w:rPr/>
        <w:t>Digitalisation</w:t>
      </w:r>
      <w:r>
        <w:rPr>
          <w:spacing w:val="-5"/>
        </w:rPr>
        <w:t> </w:t>
      </w:r>
      <w:r>
        <w:rPr/>
        <w:t>et</w:t>
      </w:r>
      <w:r>
        <w:rPr>
          <w:spacing w:val="-3"/>
        </w:rPr>
        <w:t> </w:t>
      </w:r>
      <w:r>
        <w:rPr/>
        <w:t>Numérisation</w:t>
      </w:r>
      <w:r>
        <w:rPr>
          <w:spacing w:val="-3"/>
        </w:rPr>
        <w:t> </w:t>
      </w:r>
      <w:r>
        <w:rPr/>
        <w:t>des</w:t>
      </w:r>
      <w:r>
        <w:rPr>
          <w:spacing w:val="-2"/>
        </w:rPr>
        <w:t> Services</w:t>
      </w:r>
    </w:p>
    <w:p>
      <w:pPr>
        <w:pStyle w:val="ListParagraph"/>
        <w:numPr>
          <w:ilvl w:val="1"/>
          <w:numId w:val="1"/>
        </w:numPr>
        <w:tabs>
          <w:tab w:pos="1493" w:val="left" w:leader="none"/>
          <w:tab w:pos="1837" w:val="left" w:leader="none"/>
        </w:tabs>
        <w:spacing w:line="240" w:lineRule="auto" w:before="138" w:after="0"/>
        <w:ind w:left="1493" w:right="1131" w:hanging="360"/>
        <w:jc w:val="both"/>
        <w:rPr>
          <w:sz w:val="24"/>
        </w:rPr>
      </w:pPr>
      <w:r>
        <w:rPr>
          <w:sz w:val="24"/>
        </w:rPr>
        <w:t>Le</w:t>
      </w:r>
      <w:r>
        <w:rPr>
          <w:spacing w:val="40"/>
          <w:sz w:val="24"/>
        </w:rPr>
        <w:t> </w:t>
      </w:r>
      <w:r>
        <w:rPr>
          <w:sz w:val="24"/>
        </w:rPr>
        <w:t>développement</w:t>
      </w:r>
      <w:r>
        <w:rPr>
          <w:spacing w:val="40"/>
          <w:sz w:val="24"/>
        </w:rPr>
        <w:t> </w:t>
      </w:r>
      <w:r>
        <w:rPr>
          <w:sz w:val="24"/>
        </w:rPr>
        <w:t>des</w:t>
      </w:r>
      <w:r>
        <w:rPr>
          <w:spacing w:val="40"/>
          <w:sz w:val="24"/>
        </w:rPr>
        <w:t> </w:t>
      </w:r>
      <w:r>
        <w:rPr>
          <w:sz w:val="24"/>
        </w:rPr>
        <w:t>TIC</w:t>
      </w:r>
      <w:r>
        <w:rPr>
          <w:spacing w:val="40"/>
          <w:sz w:val="24"/>
        </w:rPr>
        <w:t> </w:t>
      </w:r>
      <w:r>
        <w:rPr>
          <w:sz w:val="24"/>
        </w:rPr>
        <w:t>contribue</w:t>
      </w:r>
      <w:r>
        <w:rPr>
          <w:spacing w:val="40"/>
          <w:sz w:val="24"/>
        </w:rPr>
        <w:t> </w:t>
      </w:r>
      <w:r>
        <w:rPr>
          <w:sz w:val="24"/>
        </w:rPr>
        <w:t>à</w:t>
      </w:r>
      <w:r>
        <w:rPr>
          <w:spacing w:val="40"/>
          <w:sz w:val="24"/>
        </w:rPr>
        <w:t> </w:t>
      </w:r>
      <w:r>
        <w:rPr>
          <w:sz w:val="24"/>
        </w:rPr>
        <w:t>la</w:t>
      </w:r>
      <w:r>
        <w:rPr>
          <w:spacing w:val="40"/>
          <w:sz w:val="24"/>
        </w:rPr>
        <w:t> </w:t>
      </w:r>
      <w:r>
        <w:rPr>
          <w:sz w:val="24"/>
        </w:rPr>
        <w:t>croissance</w:t>
      </w:r>
      <w:r>
        <w:rPr>
          <w:spacing w:val="40"/>
          <w:sz w:val="24"/>
        </w:rPr>
        <w:t> </w:t>
      </w:r>
      <w:r>
        <w:rPr>
          <w:sz w:val="24"/>
        </w:rPr>
        <w:t>économique</w:t>
      </w:r>
      <w:r>
        <w:rPr>
          <w:spacing w:val="40"/>
          <w:sz w:val="24"/>
        </w:rPr>
        <w:t> </w:t>
      </w:r>
      <w:r>
        <w:rPr>
          <w:sz w:val="24"/>
        </w:rPr>
        <w:t>par</w:t>
      </w:r>
      <w:r>
        <w:rPr>
          <w:spacing w:val="40"/>
          <w:sz w:val="24"/>
        </w:rPr>
        <w:t> </w:t>
      </w:r>
      <w:r>
        <w:rPr>
          <w:sz w:val="24"/>
        </w:rPr>
        <w:t>l’élargissement</w:t>
      </w:r>
      <w:r>
        <w:rPr>
          <w:spacing w:val="40"/>
          <w:sz w:val="24"/>
        </w:rPr>
        <w:t> </w:t>
      </w:r>
      <w:r>
        <w:rPr>
          <w:sz w:val="24"/>
        </w:rPr>
        <w:t>de l’assiette fiscale, la création d’emplois et de richesses, assure la sécurité, la sûreté et la défense du territoire. Par son caractère transversal, l’économie numérique est un secteur qui contribue à l’essor de tous les autres secteurs (éducation, santé, agriculture, gouvernance, finances, sécurité, </w:t>
      </w:r>
      <w:r>
        <w:rPr>
          <w:spacing w:val="-2"/>
          <w:sz w:val="24"/>
        </w:rPr>
        <w:t>défense…).</w:t>
      </w:r>
    </w:p>
    <w:p>
      <w:pPr>
        <w:pStyle w:val="ListParagraph"/>
        <w:numPr>
          <w:ilvl w:val="1"/>
          <w:numId w:val="1"/>
        </w:numPr>
        <w:tabs>
          <w:tab w:pos="1493" w:val="left" w:leader="none"/>
          <w:tab w:pos="1837" w:val="left" w:leader="none"/>
        </w:tabs>
        <w:spacing w:line="240" w:lineRule="auto" w:before="137" w:after="0"/>
        <w:ind w:left="1493" w:right="1126" w:hanging="360"/>
        <w:jc w:val="both"/>
        <w:rPr>
          <w:sz w:val="24"/>
        </w:rPr>
      </w:pPr>
      <w:r>
        <w:rPr>
          <w:sz w:val="24"/>
        </w:rPr>
        <w:t>Dans ce domaine, la vision des autorités est de positionner le Mali comme un des Hubs technologiques en Afrique de l’Ouest en faisant du numérique un vecteur du développement humain durable</w:t>
      </w:r>
      <w:r>
        <w:rPr>
          <w:spacing w:val="-2"/>
          <w:sz w:val="24"/>
        </w:rPr>
        <w:t> </w:t>
      </w:r>
      <w:r>
        <w:rPr>
          <w:sz w:val="24"/>
        </w:rPr>
        <w:t>; une source de productivité et de valeur ajoutée pour les autres secteurs économiques et pour l’Administration publique ; un levier important de l’Economie nationale ; une véritable industrie</w:t>
      </w:r>
      <w:r>
        <w:rPr>
          <w:spacing w:val="40"/>
          <w:sz w:val="24"/>
        </w:rPr>
        <w:t> </w:t>
      </w:r>
      <w:r>
        <w:rPr>
          <w:sz w:val="24"/>
        </w:rPr>
        <w:t>au Mali.</w:t>
      </w:r>
    </w:p>
    <w:p>
      <w:pPr>
        <w:pStyle w:val="ListParagraph"/>
        <w:numPr>
          <w:ilvl w:val="1"/>
          <w:numId w:val="1"/>
        </w:numPr>
        <w:tabs>
          <w:tab w:pos="1493" w:val="left" w:leader="none"/>
          <w:tab w:pos="1837" w:val="left" w:leader="none"/>
        </w:tabs>
        <w:spacing w:line="240" w:lineRule="auto" w:before="183" w:after="0"/>
        <w:ind w:left="1493" w:right="1130" w:hanging="360"/>
        <w:jc w:val="both"/>
        <w:rPr>
          <w:sz w:val="24"/>
        </w:rPr>
      </w:pPr>
      <w:r>
        <w:rPr>
          <w:sz w:val="24"/>
        </w:rPr>
        <w:t>L’atteinte cet objectif passe par une universalisation de l’accès aux technologies de l’information et</w:t>
      </w:r>
      <w:r>
        <w:rPr>
          <w:spacing w:val="80"/>
          <w:sz w:val="24"/>
        </w:rPr>
        <w:t> </w:t>
      </w:r>
      <w:r>
        <w:rPr>
          <w:sz w:val="24"/>
        </w:rPr>
        <w:t>de</w:t>
      </w:r>
      <w:r>
        <w:rPr>
          <w:spacing w:val="-6"/>
          <w:sz w:val="24"/>
        </w:rPr>
        <w:t> </w:t>
      </w:r>
      <w:r>
        <w:rPr>
          <w:sz w:val="24"/>
        </w:rPr>
        <w:t>la</w:t>
      </w:r>
      <w:r>
        <w:rPr>
          <w:spacing w:val="-4"/>
          <w:sz w:val="24"/>
        </w:rPr>
        <w:t> </w:t>
      </w:r>
      <w:r>
        <w:rPr>
          <w:sz w:val="24"/>
        </w:rPr>
        <w:t>communication.</w:t>
      </w:r>
      <w:r>
        <w:rPr>
          <w:spacing w:val="-4"/>
          <w:sz w:val="24"/>
        </w:rPr>
        <w:t> </w:t>
      </w:r>
      <w:r>
        <w:rPr>
          <w:sz w:val="24"/>
        </w:rPr>
        <w:t>Le</w:t>
      </w:r>
      <w:r>
        <w:rPr>
          <w:spacing w:val="-8"/>
          <w:sz w:val="24"/>
        </w:rPr>
        <w:t> </w:t>
      </w:r>
      <w:r>
        <w:rPr>
          <w:sz w:val="24"/>
        </w:rPr>
        <w:t>Taux</w:t>
      </w:r>
      <w:r>
        <w:rPr>
          <w:spacing w:val="-5"/>
          <w:sz w:val="24"/>
        </w:rPr>
        <w:t> </w:t>
      </w:r>
      <w:r>
        <w:rPr>
          <w:sz w:val="24"/>
        </w:rPr>
        <w:t>d’accès</w:t>
      </w:r>
      <w:r>
        <w:rPr>
          <w:spacing w:val="-5"/>
          <w:sz w:val="24"/>
        </w:rPr>
        <w:t> </w:t>
      </w:r>
      <w:r>
        <w:rPr>
          <w:sz w:val="24"/>
        </w:rPr>
        <w:t>à</w:t>
      </w:r>
      <w:r>
        <w:rPr>
          <w:spacing w:val="-3"/>
          <w:sz w:val="24"/>
        </w:rPr>
        <w:t> </w:t>
      </w:r>
      <w:r>
        <w:rPr>
          <w:sz w:val="24"/>
        </w:rPr>
        <w:t>internet</w:t>
      </w:r>
      <w:r>
        <w:rPr>
          <w:spacing w:val="-4"/>
          <w:sz w:val="24"/>
        </w:rPr>
        <w:t> </w:t>
      </w:r>
      <w:r>
        <w:rPr>
          <w:sz w:val="24"/>
        </w:rPr>
        <w:t>de</w:t>
      </w:r>
      <w:r>
        <w:rPr>
          <w:spacing w:val="-6"/>
          <w:sz w:val="24"/>
        </w:rPr>
        <w:t> </w:t>
      </w:r>
      <w:r>
        <w:rPr>
          <w:sz w:val="24"/>
        </w:rPr>
        <w:t>6</w:t>
      </w:r>
      <w:r>
        <w:rPr>
          <w:spacing w:val="-4"/>
          <w:sz w:val="24"/>
        </w:rPr>
        <w:t> </w:t>
      </w:r>
      <w:r>
        <w:rPr>
          <w:sz w:val="24"/>
        </w:rPr>
        <w:t>Mo</w:t>
      </w:r>
      <w:r>
        <w:rPr>
          <w:spacing w:val="-4"/>
          <w:sz w:val="24"/>
        </w:rPr>
        <w:t> </w:t>
      </w:r>
      <w:r>
        <w:rPr>
          <w:sz w:val="24"/>
        </w:rPr>
        <w:t>sera</w:t>
      </w:r>
      <w:r>
        <w:rPr>
          <w:spacing w:val="-6"/>
          <w:sz w:val="24"/>
        </w:rPr>
        <w:t> </w:t>
      </w:r>
      <w:r>
        <w:rPr>
          <w:sz w:val="24"/>
        </w:rPr>
        <w:t>porté</w:t>
      </w:r>
      <w:r>
        <w:rPr>
          <w:spacing w:val="-6"/>
          <w:sz w:val="24"/>
        </w:rPr>
        <w:t> </w:t>
      </w:r>
      <w:r>
        <w:rPr>
          <w:sz w:val="24"/>
        </w:rPr>
        <w:t>à</w:t>
      </w:r>
      <w:r>
        <w:rPr>
          <w:spacing w:val="-3"/>
          <w:sz w:val="24"/>
        </w:rPr>
        <w:t> </w:t>
      </w:r>
      <w:r>
        <w:rPr>
          <w:sz w:val="24"/>
        </w:rPr>
        <w:t>95%</w:t>
      </w:r>
      <w:r>
        <w:rPr>
          <w:spacing w:val="-4"/>
          <w:sz w:val="24"/>
        </w:rPr>
        <w:t> </w:t>
      </w:r>
      <w:r>
        <w:rPr>
          <w:sz w:val="24"/>
        </w:rPr>
        <w:t>en</w:t>
      </w:r>
      <w:r>
        <w:rPr>
          <w:spacing w:val="-4"/>
          <w:sz w:val="24"/>
        </w:rPr>
        <w:t> </w:t>
      </w:r>
      <w:r>
        <w:rPr>
          <w:sz w:val="24"/>
        </w:rPr>
        <w:t>2063</w:t>
      </w:r>
      <w:r>
        <w:rPr>
          <w:spacing w:val="-4"/>
          <w:sz w:val="24"/>
        </w:rPr>
        <w:t> </w:t>
      </w:r>
      <w:r>
        <w:rPr>
          <w:sz w:val="24"/>
        </w:rPr>
        <w:t>contre</w:t>
      </w:r>
      <w:r>
        <w:rPr>
          <w:spacing w:val="-6"/>
          <w:sz w:val="24"/>
        </w:rPr>
        <w:t> </w:t>
      </w:r>
      <w:r>
        <w:rPr>
          <w:sz w:val="24"/>
        </w:rPr>
        <w:t>62,81%</w:t>
      </w:r>
      <w:r>
        <w:rPr>
          <w:spacing w:val="-4"/>
          <w:sz w:val="24"/>
        </w:rPr>
        <w:t> </w:t>
      </w:r>
      <w:r>
        <w:rPr>
          <w:sz w:val="24"/>
        </w:rPr>
        <w:t>en 2022 à travers la réalisation des projets tels que la généralisation et le déploiement de la fibre</w:t>
      </w:r>
      <w:r>
        <w:rPr>
          <w:spacing w:val="80"/>
          <w:sz w:val="24"/>
        </w:rPr>
        <w:t> </w:t>
      </w:r>
      <w:r>
        <w:rPr>
          <w:sz w:val="24"/>
        </w:rPr>
        <w:t>optique sur l’ensemble du territoire ; le développement des TIC dans les domaines de la Santé, Education, Commerce, Administration, etc.</w:t>
      </w:r>
      <w:r>
        <w:rPr>
          <w:spacing w:val="-3"/>
          <w:sz w:val="24"/>
        </w:rPr>
        <w:t> </w:t>
      </w:r>
      <w:r>
        <w:rPr>
          <w:sz w:val="24"/>
        </w:rPr>
        <w:t>; la mise en place d’un Data center tiers III et de cloud </w:t>
      </w:r>
      <w:r>
        <w:rPr>
          <w:spacing w:val="-2"/>
          <w:sz w:val="24"/>
        </w:rPr>
        <w:t>national.</w:t>
      </w:r>
    </w:p>
    <w:p>
      <w:pPr>
        <w:pStyle w:val="Heading3"/>
        <w:numPr>
          <w:ilvl w:val="0"/>
          <w:numId w:val="18"/>
        </w:numPr>
        <w:tabs>
          <w:tab w:pos="1776" w:val="left" w:leader="none"/>
        </w:tabs>
        <w:spacing w:line="240" w:lineRule="auto" w:before="184" w:after="0"/>
        <w:ind w:left="1776" w:right="1941" w:hanging="360"/>
        <w:jc w:val="left"/>
      </w:pPr>
      <w:r>
        <w:rPr/>
        <w:t>Projet</w:t>
      </w:r>
      <w:r>
        <w:rPr>
          <w:spacing w:val="-3"/>
        </w:rPr>
        <w:t> </w:t>
      </w:r>
      <w:r>
        <w:rPr/>
        <w:t>N°8</w:t>
      </w:r>
      <w:r>
        <w:rPr>
          <w:spacing w:val="-2"/>
        </w:rPr>
        <w:t> </w:t>
      </w:r>
      <w:r>
        <w:rPr/>
        <w:t>:</w:t>
      </w:r>
      <w:r>
        <w:rPr>
          <w:spacing w:val="-3"/>
        </w:rPr>
        <w:t> </w:t>
      </w:r>
      <w:r>
        <w:rPr/>
        <w:t>Le</w:t>
      </w:r>
      <w:r>
        <w:rPr>
          <w:spacing w:val="-5"/>
        </w:rPr>
        <w:t> </w:t>
      </w:r>
      <w:r>
        <w:rPr/>
        <w:t>«</w:t>
      </w:r>
      <w:r>
        <w:rPr>
          <w:spacing w:val="-3"/>
        </w:rPr>
        <w:t> </w:t>
      </w:r>
      <w:r>
        <w:rPr/>
        <w:t>Programme</w:t>
      </w:r>
      <w:r>
        <w:rPr>
          <w:spacing w:val="-1"/>
        </w:rPr>
        <w:t> </w:t>
      </w:r>
      <w:r>
        <w:rPr/>
        <w:t>SANKORE</w:t>
      </w:r>
      <w:r>
        <w:rPr>
          <w:spacing w:val="-3"/>
        </w:rPr>
        <w:t> </w:t>
      </w:r>
      <w:r>
        <w:rPr/>
        <w:t>»</w:t>
      </w:r>
      <w:r>
        <w:rPr>
          <w:spacing w:val="-4"/>
        </w:rPr>
        <w:t> </w:t>
      </w:r>
      <w:r>
        <w:rPr/>
        <w:t>des</w:t>
      </w:r>
      <w:r>
        <w:rPr>
          <w:spacing w:val="-3"/>
        </w:rPr>
        <w:t> </w:t>
      </w:r>
      <w:r>
        <w:rPr/>
        <w:t>Ressources</w:t>
      </w:r>
      <w:r>
        <w:rPr>
          <w:spacing w:val="-3"/>
        </w:rPr>
        <w:t> </w:t>
      </w:r>
      <w:r>
        <w:rPr/>
        <w:t>humaines</w:t>
      </w:r>
      <w:r>
        <w:rPr>
          <w:spacing w:val="-5"/>
        </w:rPr>
        <w:t> </w:t>
      </w:r>
      <w:r>
        <w:rPr/>
        <w:t>saines,</w:t>
      </w:r>
      <w:r>
        <w:rPr>
          <w:spacing w:val="-7"/>
        </w:rPr>
        <w:t> </w:t>
      </w:r>
      <w:r>
        <w:rPr/>
        <w:t>mieux formées et dotées de compétences professionnelles reconnues</w:t>
      </w:r>
    </w:p>
    <w:p>
      <w:pPr>
        <w:pStyle w:val="ListParagraph"/>
        <w:numPr>
          <w:ilvl w:val="1"/>
          <w:numId w:val="1"/>
        </w:numPr>
        <w:tabs>
          <w:tab w:pos="1493" w:val="left" w:leader="none"/>
          <w:tab w:pos="1837" w:val="left" w:leader="none"/>
        </w:tabs>
        <w:spacing w:line="240" w:lineRule="auto" w:before="138" w:after="0"/>
        <w:ind w:left="1493" w:right="1129" w:hanging="360"/>
        <w:jc w:val="both"/>
        <w:rPr>
          <w:sz w:val="24"/>
        </w:rPr>
      </w:pPr>
      <w:r>
        <w:rPr>
          <w:sz w:val="24"/>
        </w:rPr>
        <w:t>La formation du capital humain consiste d’une part, à doter la population d’un bon état de santé, d’éducation, de connaissances et d’aptitudes professionnelles et scientifiques fondé sur nos valeurs et</w:t>
      </w:r>
      <w:r>
        <w:rPr>
          <w:spacing w:val="-2"/>
          <w:sz w:val="24"/>
        </w:rPr>
        <w:t> </w:t>
      </w:r>
      <w:r>
        <w:rPr>
          <w:sz w:val="24"/>
        </w:rPr>
        <w:t>d’autre</w:t>
      </w:r>
      <w:r>
        <w:rPr>
          <w:spacing w:val="-2"/>
          <w:sz w:val="24"/>
        </w:rPr>
        <w:t> </w:t>
      </w:r>
      <w:r>
        <w:rPr>
          <w:sz w:val="24"/>
        </w:rPr>
        <w:t>part,</w:t>
      </w:r>
      <w:r>
        <w:rPr>
          <w:spacing w:val="-2"/>
          <w:sz w:val="24"/>
        </w:rPr>
        <w:t> </w:t>
      </w:r>
      <w:r>
        <w:rPr>
          <w:sz w:val="24"/>
        </w:rPr>
        <w:t>à libérer les</w:t>
      </w:r>
      <w:r>
        <w:rPr>
          <w:spacing w:val="-4"/>
          <w:sz w:val="24"/>
        </w:rPr>
        <w:t> </w:t>
      </w:r>
      <w:r>
        <w:rPr>
          <w:sz w:val="24"/>
        </w:rPr>
        <w:t>énergies</w:t>
      </w:r>
      <w:r>
        <w:rPr>
          <w:spacing w:val="-2"/>
          <w:sz w:val="24"/>
        </w:rPr>
        <w:t> </w:t>
      </w:r>
      <w:r>
        <w:rPr>
          <w:sz w:val="24"/>
        </w:rPr>
        <w:t>en créant</w:t>
      </w:r>
      <w:r>
        <w:rPr>
          <w:spacing w:val="-2"/>
          <w:sz w:val="24"/>
        </w:rPr>
        <w:t> </w:t>
      </w:r>
      <w:r>
        <w:rPr>
          <w:sz w:val="24"/>
        </w:rPr>
        <w:t>des</w:t>
      </w:r>
      <w:r>
        <w:rPr>
          <w:spacing w:val="-3"/>
          <w:sz w:val="24"/>
        </w:rPr>
        <w:t> </w:t>
      </w:r>
      <w:r>
        <w:rPr>
          <w:sz w:val="24"/>
        </w:rPr>
        <w:t>opportunités</w:t>
      </w:r>
      <w:r>
        <w:rPr>
          <w:spacing w:val="-2"/>
          <w:sz w:val="24"/>
        </w:rPr>
        <w:t> </w:t>
      </w:r>
      <w:r>
        <w:rPr>
          <w:sz w:val="24"/>
        </w:rPr>
        <w:t>pouvant</w:t>
      </w:r>
      <w:r>
        <w:rPr>
          <w:spacing w:val="-2"/>
          <w:sz w:val="24"/>
        </w:rPr>
        <w:t> </w:t>
      </w:r>
      <w:r>
        <w:rPr>
          <w:sz w:val="24"/>
        </w:rPr>
        <w:t>faciliter</w:t>
      </w:r>
      <w:r>
        <w:rPr>
          <w:spacing w:val="-1"/>
          <w:sz w:val="24"/>
        </w:rPr>
        <w:t> </w:t>
      </w:r>
      <w:r>
        <w:rPr>
          <w:sz w:val="24"/>
        </w:rPr>
        <w:t>son insertion</w:t>
      </w:r>
      <w:r>
        <w:rPr>
          <w:spacing w:val="-2"/>
          <w:sz w:val="24"/>
        </w:rPr>
        <w:t> </w:t>
      </w:r>
      <w:r>
        <w:rPr>
          <w:sz w:val="24"/>
        </w:rPr>
        <w:t>dans le marché de l’emploi et contenir la fuite des cerveaux.</w:t>
      </w:r>
    </w:p>
    <w:p>
      <w:pPr>
        <w:pStyle w:val="ListParagraph"/>
        <w:numPr>
          <w:ilvl w:val="1"/>
          <w:numId w:val="1"/>
        </w:numPr>
        <w:tabs>
          <w:tab w:pos="1493" w:val="left" w:leader="none"/>
          <w:tab w:pos="1837" w:val="left" w:leader="none"/>
        </w:tabs>
        <w:spacing w:line="240" w:lineRule="auto" w:before="137" w:after="0"/>
        <w:ind w:left="1493" w:right="1138" w:hanging="360"/>
        <w:jc w:val="both"/>
        <w:rPr>
          <w:sz w:val="24"/>
        </w:rPr>
      </w:pPr>
      <w:r>
        <w:rPr>
          <w:sz w:val="24"/>
        </w:rPr>
        <w:t>Sur le plan éducatif, un nouveau système éducatif doit émerger avec des choix stratégiques se référant à une perception claire de l’homme nouveau à former, à un médium d’éducation aligné sur les réalités linguistiques du pays, à des programmes d’éducation (curricula) orientés vers les connaissances scientifiques et technologiques et sur les filières porteuses de développement.</w:t>
      </w:r>
    </w:p>
    <w:p>
      <w:pPr>
        <w:pStyle w:val="ListParagraph"/>
        <w:numPr>
          <w:ilvl w:val="1"/>
          <w:numId w:val="1"/>
        </w:numPr>
        <w:tabs>
          <w:tab w:pos="1493" w:val="left" w:leader="none"/>
          <w:tab w:pos="1893" w:val="left" w:leader="none"/>
        </w:tabs>
        <w:spacing w:line="240" w:lineRule="auto" w:before="140" w:after="0"/>
        <w:ind w:left="1493" w:right="1130" w:hanging="360"/>
        <w:jc w:val="both"/>
        <w:rPr>
          <w:sz w:val="24"/>
        </w:rPr>
      </w:pPr>
      <w:r>
        <w:rPr>
          <w:sz w:val="24"/>
        </w:rPr>
        <w:t>Sur</w:t>
      </w:r>
      <w:r>
        <w:rPr>
          <w:spacing w:val="18"/>
          <w:sz w:val="24"/>
        </w:rPr>
        <w:t> </w:t>
      </w:r>
      <w:r>
        <w:rPr>
          <w:sz w:val="24"/>
        </w:rPr>
        <w:t>le</w:t>
      </w:r>
      <w:r>
        <w:rPr>
          <w:spacing w:val="17"/>
          <w:sz w:val="24"/>
        </w:rPr>
        <w:t> </w:t>
      </w:r>
      <w:r>
        <w:rPr>
          <w:sz w:val="24"/>
        </w:rPr>
        <w:t>plan</w:t>
      </w:r>
      <w:r>
        <w:rPr>
          <w:spacing w:val="17"/>
          <w:sz w:val="24"/>
        </w:rPr>
        <w:t> </w:t>
      </w:r>
      <w:r>
        <w:rPr>
          <w:sz w:val="24"/>
        </w:rPr>
        <w:t>de</w:t>
      </w:r>
      <w:r>
        <w:rPr>
          <w:spacing w:val="19"/>
          <w:sz w:val="24"/>
        </w:rPr>
        <w:t> </w:t>
      </w:r>
      <w:r>
        <w:rPr>
          <w:sz w:val="24"/>
        </w:rPr>
        <w:t>la</w:t>
      </w:r>
      <w:r>
        <w:rPr>
          <w:spacing w:val="19"/>
          <w:sz w:val="24"/>
        </w:rPr>
        <w:t> </w:t>
      </w:r>
      <w:r>
        <w:rPr>
          <w:sz w:val="24"/>
        </w:rPr>
        <w:t>santé,</w:t>
      </w:r>
      <w:r>
        <w:rPr>
          <w:spacing w:val="17"/>
          <w:sz w:val="24"/>
        </w:rPr>
        <w:t> </w:t>
      </w:r>
      <w:r>
        <w:rPr>
          <w:sz w:val="24"/>
        </w:rPr>
        <w:t>le</w:t>
      </w:r>
      <w:r>
        <w:rPr>
          <w:spacing w:val="17"/>
          <w:sz w:val="24"/>
        </w:rPr>
        <w:t> </w:t>
      </w:r>
      <w:r>
        <w:rPr>
          <w:sz w:val="24"/>
        </w:rPr>
        <w:t>système</w:t>
      </w:r>
      <w:r>
        <w:rPr>
          <w:spacing w:val="19"/>
          <w:sz w:val="24"/>
        </w:rPr>
        <w:t> </w:t>
      </w:r>
      <w:r>
        <w:rPr>
          <w:sz w:val="24"/>
        </w:rPr>
        <w:t>à</w:t>
      </w:r>
      <w:r>
        <w:rPr>
          <w:spacing w:val="19"/>
          <w:sz w:val="24"/>
        </w:rPr>
        <w:t> </w:t>
      </w:r>
      <w:r>
        <w:rPr>
          <w:sz w:val="24"/>
        </w:rPr>
        <w:t>mettre</w:t>
      </w:r>
      <w:r>
        <w:rPr>
          <w:spacing w:val="16"/>
          <w:sz w:val="24"/>
        </w:rPr>
        <w:t> </w:t>
      </w:r>
      <w:r>
        <w:rPr>
          <w:sz w:val="24"/>
        </w:rPr>
        <w:t>en</w:t>
      </w:r>
      <w:r>
        <w:rPr>
          <w:spacing w:val="17"/>
          <w:sz w:val="24"/>
        </w:rPr>
        <w:t> </w:t>
      </w:r>
      <w:r>
        <w:rPr>
          <w:sz w:val="24"/>
        </w:rPr>
        <w:t>place</w:t>
      </w:r>
      <w:r>
        <w:rPr>
          <w:spacing w:val="17"/>
          <w:sz w:val="24"/>
        </w:rPr>
        <w:t> </w:t>
      </w:r>
      <w:r>
        <w:rPr>
          <w:sz w:val="24"/>
        </w:rPr>
        <w:t>doit</w:t>
      </w:r>
      <w:r>
        <w:rPr>
          <w:spacing w:val="19"/>
          <w:sz w:val="24"/>
        </w:rPr>
        <w:t> </w:t>
      </w:r>
      <w:r>
        <w:rPr>
          <w:sz w:val="24"/>
        </w:rPr>
        <w:t>assurer</w:t>
      </w:r>
      <w:r>
        <w:rPr>
          <w:spacing w:val="18"/>
          <w:sz w:val="24"/>
        </w:rPr>
        <w:t> </w:t>
      </w:r>
      <w:r>
        <w:rPr>
          <w:sz w:val="24"/>
        </w:rPr>
        <w:t>le</w:t>
      </w:r>
      <w:r>
        <w:rPr>
          <w:spacing w:val="17"/>
          <w:sz w:val="24"/>
        </w:rPr>
        <w:t> </w:t>
      </w:r>
      <w:r>
        <w:rPr>
          <w:sz w:val="24"/>
        </w:rPr>
        <w:t>bien-être</w:t>
      </w:r>
      <w:r>
        <w:rPr>
          <w:spacing w:val="19"/>
          <w:sz w:val="24"/>
        </w:rPr>
        <w:t> </w:t>
      </w:r>
      <w:r>
        <w:rPr>
          <w:sz w:val="24"/>
        </w:rPr>
        <w:t>de</w:t>
      </w:r>
      <w:r>
        <w:rPr>
          <w:spacing w:val="17"/>
          <w:sz w:val="24"/>
        </w:rPr>
        <w:t> </w:t>
      </w:r>
      <w:r>
        <w:rPr>
          <w:sz w:val="24"/>
        </w:rPr>
        <w:t>la</w:t>
      </w:r>
      <w:r>
        <w:rPr>
          <w:spacing w:val="19"/>
          <w:sz w:val="24"/>
        </w:rPr>
        <w:t> </w:t>
      </w:r>
      <w:r>
        <w:rPr>
          <w:sz w:val="24"/>
        </w:rPr>
        <w:t>population par un système de santé et de protection sociale performant offrant des soins et services de santé de qualité avec une équité d’accès universel, dans des conditions de sécurité sanitaire optimales.</w:t>
      </w:r>
    </w:p>
    <w:p>
      <w:pPr>
        <w:pStyle w:val="BodyText"/>
        <w:spacing w:before="0"/>
        <w:ind w:left="0" w:firstLine="0"/>
        <w:jc w:val="left"/>
      </w:pPr>
    </w:p>
    <w:p>
      <w:pPr>
        <w:pStyle w:val="ListParagraph"/>
        <w:numPr>
          <w:ilvl w:val="1"/>
          <w:numId w:val="1"/>
        </w:numPr>
        <w:tabs>
          <w:tab w:pos="1493" w:val="left" w:leader="none"/>
          <w:tab w:pos="1837" w:val="left" w:leader="none"/>
        </w:tabs>
        <w:spacing w:line="240" w:lineRule="auto" w:before="0" w:after="0"/>
        <w:ind w:left="1493" w:right="1132" w:hanging="360"/>
        <w:jc w:val="both"/>
        <w:rPr>
          <w:sz w:val="24"/>
        </w:rPr>
      </w:pPr>
      <w:r>
        <w:rPr>
          <w:sz w:val="24"/>
        </w:rPr>
        <w:t>Ce projet vise également à travers l’émergence du Maliden kura la formation de l’individu et la structuration de la société afin de former la colonne vertébrale du Maliden kura et d’aller vers un nouveau paradigme de transformation social et de changement de comportement pour l’avènement du Mali kura basé sur les valeurs socioculturelles (Maaya ni Dambè, Sanakounya, Horonya, Diatiguiya, etc.).</w:t>
      </w:r>
    </w:p>
    <w:p>
      <w:pPr>
        <w:pStyle w:val="ListParagraph"/>
        <w:spacing w:after="0" w:line="240" w:lineRule="auto"/>
        <w:jc w:val="both"/>
        <w:rPr>
          <w:sz w:val="24"/>
        </w:rPr>
        <w:sectPr>
          <w:pgSz w:w="11910" w:h="16840"/>
          <w:pgMar w:header="0" w:footer="680" w:top="1320" w:bottom="960" w:left="283" w:right="141"/>
        </w:sectPr>
      </w:pPr>
    </w:p>
    <w:p>
      <w:pPr>
        <w:pStyle w:val="ListParagraph"/>
        <w:numPr>
          <w:ilvl w:val="1"/>
          <w:numId w:val="1"/>
        </w:numPr>
        <w:tabs>
          <w:tab w:pos="1493" w:val="left" w:leader="none"/>
          <w:tab w:pos="1837" w:val="left" w:leader="none"/>
        </w:tabs>
        <w:spacing w:line="240" w:lineRule="auto" w:before="78" w:after="0"/>
        <w:ind w:left="1493" w:right="1136" w:hanging="360"/>
        <w:jc w:val="both"/>
        <w:rPr>
          <w:sz w:val="24"/>
        </w:rPr>
      </w:pPr>
      <w:r>
        <w:rPr>
          <w:sz w:val="24"/>
        </w:rPr>
        <w:t>L’ambition</w:t>
      </w:r>
      <w:r>
        <w:rPr>
          <w:spacing w:val="40"/>
          <w:sz w:val="24"/>
        </w:rPr>
        <w:t> </w:t>
      </w:r>
      <w:r>
        <w:rPr>
          <w:sz w:val="24"/>
        </w:rPr>
        <w:t>affichée</w:t>
      </w:r>
      <w:r>
        <w:rPr>
          <w:spacing w:val="40"/>
          <w:sz w:val="24"/>
        </w:rPr>
        <w:t> </w:t>
      </w:r>
      <w:r>
        <w:rPr>
          <w:sz w:val="24"/>
        </w:rPr>
        <w:t>par</w:t>
      </w:r>
      <w:r>
        <w:rPr>
          <w:spacing w:val="40"/>
          <w:sz w:val="24"/>
        </w:rPr>
        <w:t> </w:t>
      </w:r>
      <w:r>
        <w:rPr>
          <w:sz w:val="24"/>
        </w:rPr>
        <w:t>la</w:t>
      </w:r>
      <w:r>
        <w:rPr>
          <w:spacing w:val="40"/>
          <w:sz w:val="24"/>
        </w:rPr>
        <w:t> </w:t>
      </w:r>
      <w:r>
        <w:rPr>
          <w:sz w:val="24"/>
        </w:rPr>
        <w:t>réalisation</w:t>
      </w:r>
      <w:r>
        <w:rPr>
          <w:spacing w:val="40"/>
          <w:sz w:val="24"/>
        </w:rPr>
        <w:t> </w:t>
      </w:r>
      <w:r>
        <w:rPr>
          <w:sz w:val="24"/>
        </w:rPr>
        <w:t>de</w:t>
      </w:r>
      <w:r>
        <w:rPr>
          <w:spacing w:val="40"/>
          <w:sz w:val="24"/>
        </w:rPr>
        <w:t> </w:t>
      </w:r>
      <w:r>
        <w:rPr>
          <w:sz w:val="24"/>
        </w:rPr>
        <w:t>ce</w:t>
      </w:r>
      <w:r>
        <w:rPr>
          <w:spacing w:val="40"/>
          <w:sz w:val="24"/>
        </w:rPr>
        <w:t> </w:t>
      </w:r>
      <w:r>
        <w:rPr>
          <w:sz w:val="24"/>
        </w:rPr>
        <w:t>projet</w:t>
      </w:r>
      <w:r>
        <w:rPr>
          <w:spacing w:val="40"/>
          <w:sz w:val="24"/>
        </w:rPr>
        <w:t> </w:t>
      </w:r>
      <w:r>
        <w:rPr>
          <w:sz w:val="24"/>
        </w:rPr>
        <w:t>intégrateur</w:t>
      </w:r>
      <w:r>
        <w:rPr>
          <w:spacing w:val="40"/>
          <w:sz w:val="24"/>
        </w:rPr>
        <w:t> </w:t>
      </w:r>
      <w:r>
        <w:rPr>
          <w:sz w:val="24"/>
        </w:rPr>
        <w:t>permettra</w:t>
      </w:r>
      <w:r>
        <w:rPr>
          <w:spacing w:val="40"/>
          <w:sz w:val="24"/>
        </w:rPr>
        <w:t> </w:t>
      </w:r>
      <w:r>
        <w:rPr>
          <w:sz w:val="24"/>
        </w:rPr>
        <w:t>d’améliorer significativement les indicateurs sociaux</w:t>
      </w:r>
      <w:r>
        <w:rPr>
          <w:spacing w:val="-1"/>
          <w:sz w:val="24"/>
        </w:rPr>
        <w:t> </w:t>
      </w:r>
      <w:r>
        <w:rPr>
          <w:sz w:val="24"/>
        </w:rPr>
        <w:t>notamment ceux des secteurs de l’Education et de la Santé. En effet, à travers notamment la construction/mise à niveau et équipement de 19 hôpitaux de 2eme référence ; la construction/mise à niveau et équipement de 156 hôpitaux de district, le taux d’accessibilité géographique dans un rayon de 5 km atteindra 95% en 2063 contre 58, 6% en 2022. Les efforts déployés permettront également de réduire le taux de mortalité maternelle (pour 100000 naissances) qui se fixera à 70 en 2063 contre 325 en 2022.</w:t>
      </w:r>
    </w:p>
    <w:p>
      <w:pPr>
        <w:pStyle w:val="BodyText"/>
        <w:spacing w:before="185"/>
        <w:ind w:left="1133" w:right="1125" w:firstLine="0"/>
      </w:pPr>
      <w:r>
        <w:rPr/>
        <w:t>Dans le secteur de l’éducation, les travaux de Réhabilitation/Construction/Equipement d’écoles fondamentales (salles de classes), d'établissements d’enseignement secondaire général, d'établissements d’enseignement technique et professionnel</w:t>
      </w:r>
      <w:r>
        <w:rPr>
          <w:spacing w:val="-1"/>
        </w:rPr>
        <w:t> </w:t>
      </w:r>
      <w:r>
        <w:rPr/>
        <w:t>; le développement des lycées d'excellence en science et technologie ainsi que la Construction et équipement des Universités de Sikasso, Gao, Tombouctou et Bandiagara permettront d’asseoir une éducation de qualité. Le taux d’achèvement du primaire avec les niveaux minimums de compétence requis en lecture, en écriture, en mathématiques et en compétences numériques atteindra 100% en 2053 contre 80 à la fin de la première phase.</w:t>
      </w:r>
      <w:r>
        <w:rPr>
          <w:spacing w:val="27"/>
        </w:rPr>
        <w:t> </w:t>
      </w:r>
      <w:r>
        <w:rPr/>
        <w:t>Le Taux des diplômés de l’enseignement secondaire et supérieur dans les filières STEM passera de 40% à la fin de la mise en œuvre de la SNEDD en 2033 à 60% en 2063.</w:t>
      </w:r>
    </w:p>
    <w:p>
      <w:pPr>
        <w:pStyle w:val="Heading3"/>
        <w:numPr>
          <w:ilvl w:val="0"/>
          <w:numId w:val="19"/>
        </w:numPr>
        <w:tabs>
          <w:tab w:pos="1775" w:val="left" w:leader="none"/>
        </w:tabs>
        <w:spacing w:line="240" w:lineRule="auto" w:before="275" w:after="0"/>
        <w:ind w:left="1775" w:right="0" w:hanging="359"/>
        <w:jc w:val="both"/>
      </w:pPr>
      <w:r>
        <w:rPr/>
        <w:t>Projet</w:t>
      </w:r>
      <w:r>
        <w:rPr>
          <w:spacing w:val="-2"/>
        </w:rPr>
        <w:t> </w:t>
      </w:r>
      <w:r>
        <w:rPr/>
        <w:t>N°9 :</w:t>
      </w:r>
      <w:r>
        <w:rPr>
          <w:spacing w:val="-4"/>
        </w:rPr>
        <w:t> </w:t>
      </w:r>
      <w:r>
        <w:rPr/>
        <w:t>« Mali</w:t>
      </w:r>
      <w:r>
        <w:rPr>
          <w:spacing w:val="-3"/>
        </w:rPr>
        <w:t> </w:t>
      </w:r>
      <w:r>
        <w:rPr/>
        <w:t>vert</w:t>
      </w:r>
      <w:r>
        <w:rPr>
          <w:spacing w:val="-4"/>
        </w:rPr>
        <w:t> </w:t>
      </w:r>
      <w:r>
        <w:rPr/>
        <w:t>et</w:t>
      </w:r>
      <w:r>
        <w:rPr>
          <w:spacing w:val="-1"/>
        </w:rPr>
        <w:t> </w:t>
      </w:r>
      <w:r>
        <w:rPr/>
        <w:t>Bien-être </w:t>
      </w:r>
      <w:r>
        <w:rPr>
          <w:spacing w:val="-10"/>
        </w:rPr>
        <w:t>»</w:t>
      </w:r>
    </w:p>
    <w:p>
      <w:pPr>
        <w:pStyle w:val="ListParagraph"/>
        <w:numPr>
          <w:ilvl w:val="1"/>
          <w:numId w:val="1"/>
        </w:numPr>
        <w:tabs>
          <w:tab w:pos="1493" w:val="left" w:leader="none"/>
          <w:tab w:pos="1837" w:val="left" w:leader="none"/>
        </w:tabs>
        <w:spacing w:line="240" w:lineRule="auto" w:before="137" w:after="0"/>
        <w:ind w:left="1493" w:right="1129" w:hanging="360"/>
        <w:jc w:val="both"/>
        <w:rPr>
          <w:sz w:val="24"/>
        </w:rPr>
      </w:pPr>
      <w:r>
        <w:rPr>
          <w:sz w:val="24"/>
        </w:rPr>
        <w:t>L’objectif du Projet est d’assurer une gestion intégrée et durable des ressources naturelles, l’amélioration du cadre de vie et l’accès à l’eau potable, en prenant en compte les défis que sont la conservation de la Biodiversité, la valorisation des produits forestiers non ligneux, entre autres, l’atténuation et l’adaptation au changement climatique, la gestion durable des terres, la lutte contre la désertification et la sècheresse, la gestion des risques et des catastrophes, le système d’alerte, la gestion des ressources en eau, l’accès à un assainissement durable et en eau potable.</w:t>
      </w:r>
    </w:p>
    <w:p>
      <w:pPr>
        <w:pStyle w:val="ListParagraph"/>
        <w:numPr>
          <w:ilvl w:val="1"/>
          <w:numId w:val="1"/>
        </w:numPr>
        <w:tabs>
          <w:tab w:pos="1493" w:val="left" w:leader="none"/>
          <w:tab w:pos="1837" w:val="left" w:leader="none"/>
        </w:tabs>
        <w:spacing w:line="240" w:lineRule="auto" w:before="184" w:after="0"/>
        <w:ind w:left="1493" w:right="1134" w:hanging="360"/>
        <w:jc w:val="both"/>
        <w:rPr>
          <w:sz w:val="24"/>
        </w:rPr>
      </w:pPr>
      <w:r>
        <w:rPr>
          <w:sz w:val="24"/>
        </w:rPr>
        <w:t>La</w:t>
      </w:r>
      <w:r>
        <w:rPr>
          <w:spacing w:val="-1"/>
          <w:sz w:val="24"/>
        </w:rPr>
        <w:t> </w:t>
      </w:r>
      <w:r>
        <w:rPr>
          <w:sz w:val="24"/>
        </w:rPr>
        <w:t>mise</w:t>
      </w:r>
      <w:r>
        <w:rPr>
          <w:spacing w:val="-4"/>
          <w:sz w:val="24"/>
        </w:rPr>
        <w:t> </w:t>
      </w:r>
      <w:r>
        <w:rPr>
          <w:sz w:val="24"/>
        </w:rPr>
        <w:t>en</w:t>
      </w:r>
      <w:r>
        <w:rPr>
          <w:spacing w:val="-3"/>
          <w:sz w:val="24"/>
        </w:rPr>
        <w:t> </w:t>
      </w:r>
      <w:r>
        <w:rPr>
          <w:sz w:val="24"/>
        </w:rPr>
        <w:t>œuvre</w:t>
      </w:r>
      <w:r>
        <w:rPr>
          <w:spacing w:val="-4"/>
          <w:sz w:val="24"/>
        </w:rPr>
        <w:t> </w:t>
      </w:r>
      <w:r>
        <w:rPr>
          <w:sz w:val="24"/>
        </w:rPr>
        <w:t>de</w:t>
      </w:r>
      <w:r>
        <w:rPr>
          <w:spacing w:val="-3"/>
          <w:sz w:val="24"/>
        </w:rPr>
        <w:t> </w:t>
      </w:r>
      <w:r>
        <w:rPr>
          <w:sz w:val="24"/>
        </w:rPr>
        <w:t>ce</w:t>
      </w:r>
      <w:r>
        <w:rPr>
          <w:spacing w:val="-4"/>
          <w:sz w:val="24"/>
        </w:rPr>
        <w:t> </w:t>
      </w:r>
      <w:r>
        <w:rPr>
          <w:sz w:val="24"/>
        </w:rPr>
        <w:t>projet</w:t>
      </w:r>
      <w:r>
        <w:rPr>
          <w:spacing w:val="-4"/>
          <w:sz w:val="24"/>
        </w:rPr>
        <w:t> </w:t>
      </w:r>
      <w:r>
        <w:rPr>
          <w:sz w:val="24"/>
        </w:rPr>
        <w:t>permettra</w:t>
      </w:r>
      <w:r>
        <w:rPr>
          <w:spacing w:val="-4"/>
          <w:sz w:val="24"/>
        </w:rPr>
        <w:t> </w:t>
      </w:r>
      <w:r>
        <w:rPr>
          <w:sz w:val="24"/>
        </w:rPr>
        <w:t>de</w:t>
      </w:r>
      <w:r>
        <w:rPr>
          <w:spacing w:val="-1"/>
          <w:sz w:val="24"/>
        </w:rPr>
        <w:t> </w:t>
      </w:r>
      <w:r>
        <w:rPr>
          <w:sz w:val="24"/>
        </w:rPr>
        <w:t>porter</w:t>
      </w:r>
      <w:r>
        <w:rPr>
          <w:spacing w:val="-3"/>
          <w:sz w:val="24"/>
        </w:rPr>
        <w:t> </w:t>
      </w:r>
      <w:r>
        <w:rPr>
          <w:sz w:val="24"/>
        </w:rPr>
        <w:t>la</w:t>
      </w:r>
      <w:r>
        <w:rPr>
          <w:spacing w:val="-4"/>
          <w:sz w:val="24"/>
        </w:rPr>
        <w:t> </w:t>
      </w:r>
      <w:r>
        <w:rPr>
          <w:sz w:val="24"/>
        </w:rPr>
        <w:t>superficie</w:t>
      </w:r>
      <w:r>
        <w:rPr>
          <w:spacing w:val="-4"/>
          <w:sz w:val="24"/>
        </w:rPr>
        <w:t> </w:t>
      </w:r>
      <w:r>
        <w:rPr>
          <w:sz w:val="24"/>
        </w:rPr>
        <w:t>de</w:t>
      </w:r>
      <w:r>
        <w:rPr>
          <w:spacing w:val="-3"/>
          <w:sz w:val="24"/>
        </w:rPr>
        <w:t> </w:t>
      </w:r>
      <w:r>
        <w:rPr>
          <w:sz w:val="24"/>
        </w:rPr>
        <w:t>terres</w:t>
      </w:r>
      <w:r>
        <w:rPr>
          <w:spacing w:val="-4"/>
          <w:sz w:val="24"/>
        </w:rPr>
        <w:t> </w:t>
      </w:r>
      <w:r>
        <w:rPr>
          <w:sz w:val="24"/>
        </w:rPr>
        <w:t>dégradées</w:t>
      </w:r>
      <w:r>
        <w:rPr>
          <w:spacing w:val="-2"/>
          <w:sz w:val="24"/>
        </w:rPr>
        <w:t> </w:t>
      </w:r>
      <w:r>
        <w:rPr>
          <w:sz w:val="24"/>
        </w:rPr>
        <w:t>restaurées</w:t>
      </w:r>
      <w:r>
        <w:rPr>
          <w:spacing w:val="-4"/>
          <w:sz w:val="24"/>
        </w:rPr>
        <w:t> </w:t>
      </w:r>
      <w:r>
        <w:rPr>
          <w:sz w:val="24"/>
        </w:rPr>
        <w:t>à</w:t>
      </w:r>
      <w:r>
        <w:rPr>
          <w:spacing w:val="-4"/>
          <w:sz w:val="24"/>
        </w:rPr>
        <w:t> </w:t>
      </w:r>
      <w:r>
        <w:rPr>
          <w:sz w:val="24"/>
        </w:rPr>
        <w:t>456 944ha</w:t>
      </w:r>
      <w:r>
        <w:rPr>
          <w:spacing w:val="36"/>
          <w:sz w:val="24"/>
        </w:rPr>
        <w:t> </w:t>
      </w:r>
      <w:r>
        <w:rPr>
          <w:sz w:val="24"/>
        </w:rPr>
        <w:t>en</w:t>
      </w:r>
      <w:r>
        <w:rPr>
          <w:spacing w:val="34"/>
          <w:sz w:val="24"/>
        </w:rPr>
        <w:t> </w:t>
      </w:r>
      <w:r>
        <w:rPr>
          <w:sz w:val="24"/>
        </w:rPr>
        <w:t>2063</w:t>
      </w:r>
      <w:r>
        <w:rPr>
          <w:spacing w:val="34"/>
          <w:sz w:val="24"/>
        </w:rPr>
        <w:t> </w:t>
      </w:r>
      <w:r>
        <w:rPr>
          <w:sz w:val="24"/>
        </w:rPr>
        <w:t>contre 343</w:t>
      </w:r>
      <w:r>
        <w:rPr>
          <w:spacing w:val="34"/>
          <w:sz w:val="24"/>
        </w:rPr>
        <w:t> </w:t>
      </w:r>
      <w:r>
        <w:rPr>
          <w:sz w:val="24"/>
        </w:rPr>
        <w:t>308, 23ha</w:t>
      </w:r>
      <w:r>
        <w:rPr>
          <w:spacing w:val="36"/>
          <w:sz w:val="24"/>
        </w:rPr>
        <w:t> </w:t>
      </w:r>
      <w:r>
        <w:rPr>
          <w:sz w:val="24"/>
        </w:rPr>
        <w:t>en 2022.</w:t>
      </w:r>
      <w:r>
        <w:rPr>
          <w:spacing w:val="34"/>
          <w:sz w:val="24"/>
        </w:rPr>
        <w:t> </w:t>
      </w:r>
      <w:r>
        <w:rPr>
          <w:sz w:val="24"/>
        </w:rPr>
        <w:t>Quant</w:t>
      </w:r>
      <w:r>
        <w:rPr>
          <w:spacing w:val="34"/>
          <w:sz w:val="24"/>
        </w:rPr>
        <w:t> </w:t>
      </w:r>
      <w:r>
        <w:rPr>
          <w:sz w:val="24"/>
        </w:rPr>
        <w:t>au</w:t>
      </w:r>
      <w:r>
        <w:rPr>
          <w:spacing w:val="34"/>
          <w:sz w:val="24"/>
        </w:rPr>
        <w:t> </w:t>
      </w:r>
      <w:r>
        <w:rPr>
          <w:sz w:val="24"/>
        </w:rPr>
        <w:t>Pourcentage de</w:t>
      </w:r>
      <w:r>
        <w:rPr>
          <w:spacing w:val="34"/>
          <w:sz w:val="24"/>
        </w:rPr>
        <w:t> </w:t>
      </w:r>
      <w:r>
        <w:rPr>
          <w:sz w:val="24"/>
        </w:rPr>
        <w:t>superficie</w:t>
      </w:r>
      <w:r>
        <w:rPr>
          <w:spacing w:val="34"/>
          <w:sz w:val="24"/>
        </w:rPr>
        <w:t> </w:t>
      </w:r>
      <w:r>
        <w:rPr>
          <w:sz w:val="24"/>
        </w:rPr>
        <w:t>du</w:t>
      </w:r>
      <w:r>
        <w:rPr>
          <w:spacing w:val="34"/>
          <w:sz w:val="24"/>
        </w:rPr>
        <w:t> </w:t>
      </w:r>
      <w:r>
        <w:rPr>
          <w:sz w:val="24"/>
        </w:rPr>
        <w:t>territoire érigé en aires protégées terrestres et aquatiques, il passera 14, 14% en 2022 à 30% en 2063. L’atteinte</w:t>
      </w:r>
      <w:r>
        <w:rPr>
          <w:spacing w:val="-1"/>
          <w:sz w:val="24"/>
        </w:rPr>
        <w:t> </w:t>
      </w:r>
      <w:r>
        <w:rPr>
          <w:sz w:val="24"/>
        </w:rPr>
        <w:t>de</w:t>
      </w:r>
      <w:r>
        <w:rPr>
          <w:spacing w:val="-1"/>
          <w:sz w:val="24"/>
        </w:rPr>
        <w:t> </w:t>
      </w:r>
      <w:r>
        <w:rPr>
          <w:sz w:val="24"/>
        </w:rPr>
        <w:t>ces cibles passe par</w:t>
      </w:r>
      <w:r>
        <w:rPr>
          <w:spacing w:val="-1"/>
          <w:sz w:val="24"/>
        </w:rPr>
        <w:t> </w:t>
      </w:r>
      <w:r>
        <w:rPr>
          <w:sz w:val="24"/>
        </w:rPr>
        <w:t>la réalisation</w:t>
      </w:r>
      <w:r>
        <w:rPr>
          <w:spacing w:val="-1"/>
          <w:sz w:val="24"/>
        </w:rPr>
        <w:t> </w:t>
      </w:r>
      <w:r>
        <w:rPr>
          <w:sz w:val="24"/>
        </w:rPr>
        <w:t>des</w:t>
      </w:r>
      <w:r>
        <w:rPr>
          <w:spacing w:val="-2"/>
          <w:sz w:val="24"/>
        </w:rPr>
        <w:t> </w:t>
      </w:r>
      <w:r>
        <w:rPr>
          <w:sz w:val="24"/>
        </w:rPr>
        <w:t>projets de restauration</w:t>
      </w:r>
      <w:r>
        <w:rPr>
          <w:spacing w:val="-2"/>
          <w:sz w:val="24"/>
        </w:rPr>
        <w:t> </w:t>
      </w:r>
      <w:r>
        <w:rPr>
          <w:sz w:val="24"/>
        </w:rPr>
        <w:t>de</w:t>
      </w:r>
      <w:r>
        <w:rPr>
          <w:spacing w:val="-2"/>
          <w:sz w:val="24"/>
        </w:rPr>
        <w:t> </w:t>
      </w:r>
      <w:r>
        <w:rPr>
          <w:sz w:val="24"/>
        </w:rPr>
        <w:t>2 000 000</w:t>
      </w:r>
      <w:r>
        <w:rPr>
          <w:spacing w:val="-2"/>
          <w:sz w:val="24"/>
        </w:rPr>
        <w:t> </w:t>
      </w:r>
      <w:r>
        <w:rPr>
          <w:sz w:val="24"/>
        </w:rPr>
        <w:t>ha</w:t>
      </w:r>
      <w:r>
        <w:rPr>
          <w:spacing w:val="-2"/>
          <w:sz w:val="24"/>
        </w:rPr>
        <w:t> </w:t>
      </w:r>
      <w:r>
        <w:rPr>
          <w:sz w:val="24"/>
        </w:rPr>
        <w:t>de</w:t>
      </w:r>
      <w:r>
        <w:rPr>
          <w:spacing w:val="-1"/>
          <w:sz w:val="24"/>
        </w:rPr>
        <w:t> </w:t>
      </w:r>
      <w:r>
        <w:rPr>
          <w:sz w:val="24"/>
        </w:rPr>
        <w:t>terres, la fixation et la récupération de 10 000 000 ha de dunes mais aussi, la gestion intégrée de lutte</w:t>
      </w:r>
      <w:r>
        <w:rPr>
          <w:spacing w:val="40"/>
          <w:sz w:val="24"/>
        </w:rPr>
        <w:t> </w:t>
      </w:r>
      <w:r>
        <w:rPr>
          <w:sz w:val="24"/>
        </w:rPr>
        <w:t>contre la désertification et la sécheresse de la Grande Muraille verte au Mali.</w:t>
      </w:r>
    </w:p>
    <w:p>
      <w:pPr>
        <w:pStyle w:val="Heading3"/>
        <w:numPr>
          <w:ilvl w:val="0"/>
          <w:numId w:val="20"/>
        </w:numPr>
        <w:tabs>
          <w:tab w:pos="1775" w:val="left" w:leader="none"/>
        </w:tabs>
        <w:spacing w:line="240" w:lineRule="auto" w:before="184" w:after="0"/>
        <w:ind w:left="1775" w:right="0" w:hanging="359"/>
        <w:jc w:val="both"/>
      </w:pPr>
      <w:r>
        <w:rPr/>
        <w:t>Projet</w:t>
      </w:r>
      <w:r>
        <w:rPr>
          <w:spacing w:val="-3"/>
        </w:rPr>
        <w:t> </w:t>
      </w:r>
      <w:r>
        <w:rPr/>
        <w:t>N°10</w:t>
      </w:r>
      <w:r>
        <w:rPr>
          <w:spacing w:val="-4"/>
        </w:rPr>
        <w:t> </w:t>
      </w:r>
      <w:r>
        <w:rPr/>
        <w:t>:</w:t>
      </w:r>
      <w:r>
        <w:rPr>
          <w:spacing w:val="-3"/>
        </w:rPr>
        <w:t> </w:t>
      </w:r>
      <w:r>
        <w:rPr/>
        <w:t>Réformes</w:t>
      </w:r>
      <w:r>
        <w:rPr>
          <w:spacing w:val="-2"/>
        </w:rPr>
        <w:t> Nécessaires</w:t>
      </w:r>
    </w:p>
    <w:p>
      <w:pPr>
        <w:pStyle w:val="ListParagraph"/>
        <w:numPr>
          <w:ilvl w:val="1"/>
          <w:numId w:val="1"/>
        </w:numPr>
        <w:tabs>
          <w:tab w:pos="1493" w:val="left" w:leader="none"/>
          <w:tab w:pos="1837" w:val="left" w:leader="none"/>
        </w:tabs>
        <w:spacing w:line="240" w:lineRule="auto" w:before="139" w:after="0"/>
        <w:ind w:left="1493" w:right="1135" w:hanging="360"/>
        <w:jc w:val="both"/>
        <w:rPr>
          <w:sz w:val="24"/>
        </w:rPr>
      </w:pPr>
      <w:r>
        <w:rPr>
          <w:sz w:val="24"/>
        </w:rPr>
        <w:t>Le</w:t>
      </w:r>
      <w:r>
        <w:rPr>
          <w:spacing w:val="40"/>
          <w:sz w:val="24"/>
        </w:rPr>
        <w:t> </w:t>
      </w:r>
      <w:r>
        <w:rPr>
          <w:sz w:val="24"/>
        </w:rPr>
        <w:t>Projet</w:t>
      </w:r>
      <w:r>
        <w:rPr>
          <w:spacing w:val="40"/>
          <w:sz w:val="24"/>
        </w:rPr>
        <w:t> </w:t>
      </w:r>
      <w:r>
        <w:rPr>
          <w:sz w:val="24"/>
        </w:rPr>
        <w:t>« Reformes</w:t>
      </w:r>
      <w:r>
        <w:rPr>
          <w:spacing w:val="40"/>
          <w:sz w:val="24"/>
        </w:rPr>
        <w:t> </w:t>
      </w:r>
      <w:r>
        <w:rPr>
          <w:sz w:val="24"/>
        </w:rPr>
        <w:t>nécessaires »</w:t>
      </w:r>
      <w:r>
        <w:rPr>
          <w:spacing w:val="40"/>
          <w:sz w:val="24"/>
        </w:rPr>
        <w:t> </w:t>
      </w:r>
      <w:r>
        <w:rPr>
          <w:sz w:val="24"/>
        </w:rPr>
        <w:t>a</w:t>
      </w:r>
      <w:r>
        <w:rPr>
          <w:spacing w:val="40"/>
          <w:sz w:val="24"/>
        </w:rPr>
        <w:t> </w:t>
      </w:r>
      <w:r>
        <w:rPr>
          <w:sz w:val="24"/>
        </w:rPr>
        <w:t>pour</w:t>
      </w:r>
      <w:r>
        <w:rPr>
          <w:spacing w:val="40"/>
          <w:sz w:val="24"/>
        </w:rPr>
        <w:t> </w:t>
      </w:r>
      <w:r>
        <w:rPr>
          <w:sz w:val="24"/>
        </w:rPr>
        <w:t>ambition</w:t>
      </w:r>
      <w:r>
        <w:rPr>
          <w:spacing w:val="40"/>
          <w:sz w:val="24"/>
        </w:rPr>
        <w:t> </w:t>
      </w:r>
      <w:r>
        <w:rPr>
          <w:sz w:val="24"/>
        </w:rPr>
        <w:t>de</w:t>
      </w:r>
      <w:r>
        <w:rPr>
          <w:spacing w:val="40"/>
          <w:sz w:val="24"/>
        </w:rPr>
        <w:t> </w:t>
      </w:r>
      <w:r>
        <w:rPr>
          <w:sz w:val="24"/>
        </w:rPr>
        <w:t>redéfinir</w:t>
      </w:r>
      <w:r>
        <w:rPr>
          <w:spacing w:val="40"/>
          <w:sz w:val="24"/>
        </w:rPr>
        <w:t> </w:t>
      </w:r>
      <w:r>
        <w:rPr>
          <w:sz w:val="24"/>
        </w:rPr>
        <w:t>un</w:t>
      </w:r>
      <w:r>
        <w:rPr>
          <w:spacing w:val="40"/>
          <w:sz w:val="24"/>
        </w:rPr>
        <w:t> </w:t>
      </w:r>
      <w:r>
        <w:rPr>
          <w:sz w:val="24"/>
        </w:rPr>
        <w:t>nouveau</w:t>
      </w:r>
      <w:r>
        <w:rPr>
          <w:spacing w:val="40"/>
          <w:sz w:val="24"/>
        </w:rPr>
        <w:t> </w:t>
      </w:r>
      <w:r>
        <w:rPr>
          <w:sz w:val="24"/>
        </w:rPr>
        <w:t>rôle</w:t>
      </w:r>
      <w:r>
        <w:rPr>
          <w:spacing w:val="40"/>
          <w:sz w:val="24"/>
        </w:rPr>
        <w:t> </w:t>
      </w:r>
      <w:r>
        <w:rPr>
          <w:sz w:val="24"/>
        </w:rPr>
        <w:t>de</w:t>
      </w:r>
      <w:r>
        <w:rPr>
          <w:spacing w:val="40"/>
          <w:sz w:val="24"/>
        </w:rPr>
        <w:t> </w:t>
      </w:r>
      <w:r>
        <w:rPr>
          <w:sz w:val="24"/>
        </w:rPr>
        <w:t>l’Etat conciliant ses missions régaliennes avec la nécessité de réguler l’activité économique et sociale, un Etat performant et catalyseur du développement, un Etat stratège et impulseur qui prend en main les leviers du développement économique, social, culturel et environnemental du pays.</w:t>
      </w:r>
    </w:p>
    <w:p>
      <w:pPr>
        <w:pStyle w:val="ListParagraph"/>
        <w:numPr>
          <w:ilvl w:val="1"/>
          <w:numId w:val="1"/>
        </w:numPr>
        <w:tabs>
          <w:tab w:pos="1493" w:val="left" w:leader="none"/>
          <w:tab w:pos="1837" w:val="left" w:leader="none"/>
        </w:tabs>
        <w:spacing w:line="240" w:lineRule="auto" w:before="183" w:after="0"/>
        <w:ind w:left="1493" w:right="1129" w:hanging="360"/>
        <w:jc w:val="both"/>
        <w:rPr>
          <w:sz w:val="24"/>
        </w:rPr>
      </w:pPr>
      <w:r>
        <w:rPr>
          <w:sz w:val="24"/>
        </w:rPr>
        <w:t>La mise</w:t>
      </w:r>
      <w:r>
        <w:rPr>
          <w:spacing w:val="-3"/>
          <w:sz w:val="24"/>
        </w:rPr>
        <w:t> </w:t>
      </w:r>
      <w:r>
        <w:rPr>
          <w:sz w:val="24"/>
        </w:rPr>
        <w:t>en</w:t>
      </w:r>
      <w:r>
        <w:rPr>
          <w:spacing w:val="-2"/>
          <w:sz w:val="24"/>
        </w:rPr>
        <w:t> </w:t>
      </w:r>
      <w:r>
        <w:rPr>
          <w:sz w:val="24"/>
        </w:rPr>
        <w:t>œuvre</w:t>
      </w:r>
      <w:r>
        <w:rPr>
          <w:spacing w:val="-3"/>
          <w:sz w:val="24"/>
        </w:rPr>
        <w:t> </w:t>
      </w:r>
      <w:r>
        <w:rPr>
          <w:sz w:val="24"/>
        </w:rPr>
        <w:t>de</w:t>
      </w:r>
      <w:r>
        <w:rPr>
          <w:spacing w:val="-2"/>
          <w:sz w:val="24"/>
        </w:rPr>
        <w:t> </w:t>
      </w:r>
      <w:r>
        <w:rPr>
          <w:sz w:val="24"/>
        </w:rPr>
        <w:t>ce</w:t>
      </w:r>
      <w:r>
        <w:rPr>
          <w:spacing w:val="-2"/>
          <w:sz w:val="24"/>
        </w:rPr>
        <w:t> </w:t>
      </w:r>
      <w:r>
        <w:rPr>
          <w:sz w:val="24"/>
        </w:rPr>
        <w:t>projet se fera</w:t>
      </w:r>
      <w:r>
        <w:rPr>
          <w:spacing w:val="-3"/>
          <w:sz w:val="24"/>
        </w:rPr>
        <w:t> </w:t>
      </w:r>
      <w:r>
        <w:rPr>
          <w:sz w:val="24"/>
        </w:rPr>
        <w:t>à travers,</w:t>
      </w:r>
      <w:r>
        <w:rPr>
          <w:spacing w:val="-4"/>
          <w:sz w:val="24"/>
        </w:rPr>
        <w:t> </w:t>
      </w:r>
      <w:r>
        <w:rPr>
          <w:sz w:val="24"/>
        </w:rPr>
        <w:t>entre</w:t>
      </w:r>
      <w:r>
        <w:rPr>
          <w:spacing w:val="-5"/>
          <w:sz w:val="24"/>
        </w:rPr>
        <w:t> </w:t>
      </w:r>
      <w:r>
        <w:rPr>
          <w:sz w:val="24"/>
        </w:rPr>
        <w:t>autres,</w:t>
      </w:r>
      <w:r>
        <w:rPr>
          <w:spacing w:val="-3"/>
          <w:sz w:val="24"/>
        </w:rPr>
        <w:t> </w:t>
      </w:r>
      <w:r>
        <w:rPr>
          <w:sz w:val="24"/>
        </w:rPr>
        <w:t>la rationalisation</w:t>
      </w:r>
      <w:r>
        <w:rPr>
          <w:spacing w:val="-2"/>
          <w:sz w:val="24"/>
        </w:rPr>
        <w:t> </w:t>
      </w:r>
      <w:r>
        <w:rPr>
          <w:sz w:val="24"/>
        </w:rPr>
        <w:t>et</w:t>
      </w:r>
      <w:r>
        <w:rPr>
          <w:spacing w:val="-3"/>
          <w:sz w:val="24"/>
        </w:rPr>
        <w:t> </w:t>
      </w:r>
      <w:r>
        <w:rPr>
          <w:sz w:val="24"/>
        </w:rPr>
        <w:t>le renforcement</w:t>
      </w:r>
      <w:r>
        <w:rPr>
          <w:spacing w:val="-3"/>
          <w:sz w:val="24"/>
        </w:rPr>
        <w:t> </w:t>
      </w:r>
      <w:r>
        <w:rPr>
          <w:sz w:val="24"/>
        </w:rPr>
        <w:t>des capacités</w:t>
      </w:r>
      <w:r>
        <w:rPr>
          <w:spacing w:val="40"/>
          <w:sz w:val="24"/>
        </w:rPr>
        <w:t> </w:t>
      </w:r>
      <w:r>
        <w:rPr>
          <w:sz w:val="24"/>
        </w:rPr>
        <w:t>des</w:t>
      </w:r>
      <w:r>
        <w:rPr>
          <w:spacing w:val="40"/>
          <w:sz w:val="24"/>
        </w:rPr>
        <w:t> </w:t>
      </w:r>
      <w:r>
        <w:rPr>
          <w:sz w:val="24"/>
        </w:rPr>
        <w:t>structures</w:t>
      </w:r>
      <w:r>
        <w:rPr>
          <w:spacing w:val="40"/>
          <w:sz w:val="24"/>
        </w:rPr>
        <w:t> </w:t>
      </w:r>
      <w:r>
        <w:rPr>
          <w:sz w:val="24"/>
        </w:rPr>
        <w:t>de</w:t>
      </w:r>
      <w:r>
        <w:rPr>
          <w:spacing w:val="40"/>
          <w:sz w:val="24"/>
        </w:rPr>
        <w:t> </w:t>
      </w:r>
      <w:r>
        <w:rPr>
          <w:sz w:val="24"/>
        </w:rPr>
        <w:t>contrôle,</w:t>
      </w:r>
      <w:r>
        <w:rPr>
          <w:spacing w:val="40"/>
          <w:sz w:val="24"/>
        </w:rPr>
        <w:t> </w:t>
      </w:r>
      <w:r>
        <w:rPr>
          <w:sz w:val="24"/>
        </w:rPr>
        <w:t>le</w:t>
      </w:r>
      <w:r>
        <w:rPr>
          <w:spacing w:val="40"/>
          <w:sz w:val="24"/>
        </w:rPr>
        <w:t> </w:t>
      </w:r>
      <w:r>
        <w:rPr>
          <w:sz w:val="24"/>
        </w:rPr>
        <w:t>renforcement</w:t>
      </w:r>
      <w:r>
        <w:rPr>
          <w:spacing w:val="40"/>
          <w:sz w:val="24"/>
        </w:rPr>
        <w:t> </w:t>
      </w:r>
      <w:r>
        <w:rPr>
          <w:sz w:val="24"/>
        </w:rPr>
        <w:t>du</w:t>
      </w:r>
      <w:r>
        <w:rPr>
          <w:spacing w:val="40"/>
          <w:sz w:val="24"/>
        </w:rPr>
        <w:t> </w:t>
      </w:r>
      <w:r>
        <w:rPr>
          <w:sz w:val="24"/>
        </w:rPr>
        <w:t>système</w:t>
      </w:r>
      <w:r>
        <w:rPr>
          <w:spacing w:val="40"/>
          <w:sz w:val="24"/>
        </w:rPr>
        <w:t> </w:t>
      </w:r>
      <w:r>
        <w:rPr>
          <w:sz w:val="24"/>
        </w:rPr>
        <w:t>de</w:t>
      </w:r>
      <w:r>
        <w:rPr>
          <w:spacing w:val="40"/>
          <w:sz w:val="24"/>
        </w:rPr>
        <w:t> </w:t>
      </w:r>
      <w:r>
        <w:rPr>
          <w:sz w:val="24"/>
        </w:rPr>
        <w:t>planification</w:t>
      </w:r>
      <w:r>
        <w:rPr>
          <w:spacing w:val="40"/>
          <w:sz w:val="24"/>
        </w:rPr>
        <w:t> </w:t>
      </w:r>
      <w:r>
        <w:rPr>
          <w:sz w:val="24"/>
        </w:rPr>
        <w:t>et</w:t>
      </w:r>
      <w:r>
        <w:rPr>
          <w:spacing w:val="40"/>
          <w:sz w:val="24"/>
        </w:rPr>
        <w:t> </w:t>
      </w:r>
      <w:r>
        <w:rPr>
          <w:sz w:val="24"/>
        </w:rPr>
        <w:t>de statistique, de la formation et la mise à niveau des agents de l'Administration publique et des CT. Ceux-ci permettront d’avoir au terme de la Vision Mali 2063, un taux de satisfaction des usagers des services publics de 90% contre 25% en 2022.</w:t>
      </w:r>
    </w:p>
    <w:p>
      <w:pPr>
        <w:pStyle w:val="Heading3"/>
        <w:numPr>
          <w:ilvl w:val="0"/>
          <w:numId w:val="21"/>
        </w:numPr>
        <w:tabs>
          <w:tab w:pos="1775" w:val="left" w:leader="none"/>
        </w:tabs>
        <w:spacing w:line="240" w:lineRule="auto" w:before="183" w:after="0"/>
        <w:ind w:left="1775" w:right="0" w:hanging="359"/>
        <w:jc w:val="both"/>
      </w:pPr>
      <w:r>
        <w:rPr/>
        <w:t>Projet</w:t>
      </w:r>
      <w:r>
        <w:rPr>
          <w:spacing w:val="-3"/>
        </w:rPr>
        <w:t> </w:t>
      </w:r>
      <w:r>
        <w:rPr/>
        <w:t>N°11</w:t>
      </w:r>
      <w:r>
        <w:rPr>
          <w:spacing w:val="-4"/>
        </w:rPr>
        <w:t> </w:t>
      </w:r>
      <w:r>
        <w:rPr/>
        <w:t>:</w:t>
      </w:r>
      <w:r>
        <w:rPr>
          <w:spacing w:val="-2"/>
        </w:rPr>
        <w:t> </w:t>
      </w:r>
      <w:r>
        <w:rPr/>
        <w:t>«</w:t>
      </w:r>
      <w:r>
        <w:rPr>
          <w:spacing w:val="-2"/>
        </w:rPr>
        <w:t> </w:t>
      </w:r>
      <w:r>
        <w:rPr/>
        <w:t>KUNNAFONI</w:t>
      </w:r>
      <w:r>
        <w:rPr>
          <w:spacing w:val="-3"/>
        </w:rPr>
        <w:t> </w:t>
      </w:r>
      <w:r>
        <w:rPr/>
        <w:t>TAASIRA</w:t>
      </w:r>
      <w:r>
        <w:rPr>
          <w:spacing w:val="-3"/>
        </w:rPr>
        <w:t> </w:t>
      </w:r>
      <w:r>
        <w:rPr/>
        <w:t>»</w:t>
      </w:r>
      <w:r>
        <w:rPr>
          <w:spacing w:val="-1"/>
        </w:rPr>
        <w:t> </w:t>
      </w:r>
      <w:r>
        <w:rPr/>
        <w:t>Programme</w:t>
      </w:r>
      <w:r>
        <w:rPr>
          <w:spacing w:val="-5"/>
        </w:rPr>
        <w:t> </w:t>
      </w:r>
      <w:r>
        <w:rPr/>
        <w:t>de</w:t>
      </w:r>
      <w:r>
        <w:rPr>
          <w:spacing w:val="-2"/>
        </w:rPr>
        <w:t> </w:t>
      </w:r>
      <w:r>
        <w:rPr/>
        <w:t>Développement</w:t>
      </w:r>
      <w:r>
        <w:rPr>
          <w:spacing w:val="-4"/>
        </w:rPr>
        <w:t> </w:t>
      </w:r>
      <w:r>
        <w:rPr/>
        <w:t>d’une</w:t>
      </w:r>
      <w:r>
        <w:rPr>
          <w:spacing w:val="-4"/>
        </w:rPr>
        <w:t> </w:t>
      </w:r>
      <w:r>
        <w:rPr>
          <w:spacing w:val="-2"/>
        </w:rPr>
        <w:t>Infrastructure</w:t>
      </w:r>
    </w:p>
    <w:p>
      <w:pPr>
        <w:spacing w:before="1"/>
        <w:ind w:left="1776" w:right="0" w:firstLine="0"/>
        <w:jc w:val="both"/>
        <w:rPr>
          <w:b/>
          <w:sz w:val="24"/>
        </w:rPr>
      </w:pPr>
      <w:r>
        <w:rPr>
          <w:b/>
          <w:sz w:val="24"/>
        </w:rPr>
        <w:t>nationale</w:t>
      </w:r>
      <w:r>
        <w:rPr>
          <w:b/>
          <w:spacing w:val="-3"/>
          <w:sz w:val="24"/>
        </w:rPr>
        <w:t> </w:t>
      </w:r>
      <w:r>
        <w:rPr>
          <w:b/>
          <w:sz w:val="24"/>
        </w:rPr>
        <w:t>de</w:t>
      </w:r>
      <w:r>
        <w:rPr>
          <w:b/>
          <w:spacing w:val="-5"/>
          <w:sz w:val="24"/>
        </w:rPr>
        <w:t> </w:t>
      </w:r>
      <w:r>
        <w:rPr>
          <w:b/>
          <w:sz w:val="24"/>
        </w:rPr>
        <w:t>Données</w:t>
      </w:r>
      <w:r>
        <w:rPr>
          <w:b/>
          <w:spacing w:val="-5"/>
          <w:sz w:val="24"/>
        </w:rPr>
        <w:t> </w:t>
      </w:r>
      <w:r>
        <w:rPr>
          <w:b/>
          <w:sz w:val="24"/>
        </w:rPr>
        <w:t>Géospatiales</w:t>
      </w:r>
      <w:r>
        <w:rPr>
          <w:b/>
          <w:spacing w:val="-3"/>
          <w:sz w:val="24"/>
        </w:rPr>
        <w:t> </w:t>
      </w:r>
      <w:r>
        <w:rPr>
          <w:b/>
          <w:sz w:val="24"/>
        </w:rPr>
        <w:t>au</w:t>
      </w:r>
      <w:r>
        <w:rPr>
          <w:b/>
          <w:spacing w:val="-6"/>
          <w:sz w:val="24"/>
        </w:rPr>
        <w:t> </w:t>
      </w:r>
      <w:r>
        <w:rPr>
          <w:b/>
          <w:spacing w:val="-4"/>
          <w:sz w:val="24"/>
        </w:rPr>
        <w:t>Mali</w:t>
      </w:r>
    </w:p>
    <w:p>
      <w:pPr>
        <w:pStyle w:val="ListParagraph"/>
        <w:numPr>
          <w:ilvl w:val="1"/>
          <w:numId w:val="1"/>
        </w:numPr>
        <w:tabs>
          <w:tab w:pos="1493" w:val="left" w:leader="none"/>
          <w:tab w:pos="1837" w:val="left" w:leader="none"/>
        </w:tabs>
        <w:spacing w:line="240" w:lineRule="auto" w:before="137" w:after="0"/>
        <w:ind w:left="1493" w:right="1138" w:hanging="360"/>
        <w:jc w:val="both"/>
        <w:rPr>
          <w:sz w:val="24"/>
        </w:rPr>
      </w:pPr>
      <w:r>
        <w:rPr>
          <w:sz w:val="24"/>
        </w:rPr>
        <w:t>L’information géographique s’avère être un outil très efficace pour les prises de décisions et est incontournable dans le processus du développement économique, social, environnemental, culturel</w:t>
      </w:r>
      <w:r>
        <w:rPr>
          <w:spacing w:val="40"/>
          <w:sz w:val="24"/>
        </w:rPr>
        <w:t> </w:t>
      </w:r>
      <w:r>
        <w:rPr>
          <w:sz w:val="24"/>
        </w:rPr>
        <w:t>et sécuritaire d’un pays.</w:t>
      </w:r>
    </w:p>
    <w:p>
      <w:pPr>
        <w:pStyle w:val="ListParagraph"/>
        <w:spacing w:after="0" w:line="240" w:lineRule="auto"/>
        <w:jc w:val="both"/>
        <w:rPr>
          <w:sz w:val="24"/>
        </w:rPr>
        <w:sectPr>
          <w:pgSz w:w="11910" w:h="16840"/>
          <w:pgMar w:header="0" w:footer="680" w:top="1320" w:bottom="960" w:left="283" w:right="141"/>
        </w:sectPr>
      </w:pPr>
    </w:p>
    <w:p>
      <w:pPr>
        <w:pStyle w:val="ListParagraph"/>
        <w:numPr>
          <w:ilvl w:val="1"/>
          <w:numId w:val="1"/>
        </w:numPr>
        <w:tabs>
          <w:tab w:pos="1493" w:val="left" w:leader="none"/>
          <w:tab w:pos="1893" w:val="left" w:leader="none"/>
        </w:tabs>
        <w:spacing w:line="240" w:lineRule="auto" w:before="78" w:after="0"/>
        <w:ind w:left="1493" w:right="1126" w:hanging="360"/>
        <w:jc w:val="both"/>
        <w:rPr>
          <w:sz w:val="24"/>
        </w:rPr>
      </w:pPr>
      <w:r>
        <w:rPr>
          <w:sz w:val="24"/>
        </w:rPr>
        <w:t>Le développement d’une Infrastructure nationale des Données géospatiales géographiques</w:t>
      </w:r>
      <w:r>
        <w:rPr>
          <w:spacing w:val="80"/>
          <w:sz w:val="24"/>
        </w:rPr>
        <w:t> </w:t>
      </w:r>
      <w:r>
        <w:rPr>
          <w:sz w:val="24"/>
        </w:rPr>
        <w:t>permettra d’avoir une référence et des données fiables pour la mise en œuvre des projets de développement, la réalisation des travaux d’aménagement, de réalisation d’équipements</w:t>
      </w:r>
      <w:r>
        <w:rPr>
          <w:spacing w:val="40"/>
          <w:sz w:val="24"/>
        </w:rPr>
        <w:t> </w:t>
      </w:r>
      <w:r>
        <w:rPr>
          <w:sz w:val="24"/>
        </w:rPr>
        <w:t>géodésiques et l’établissement de documents cartographiques de base.</w:t>
      </w:r>
    </w:p>
    <w:p>
      <w:pPr>
        <w:pStyle w:val="ListParagraph"/>
        <w:numPr>
          <w:ilvl w:val="1"/>
          <w:numId w:val="1"/>
        </w:numPr>
        <w:tabs>
          <w:tab w:pos="1493" w:val="left" w:leader="none"/>
          <w:tab w:pos="1837" w:val="left" w:leader="none"/>
        </w:tabs>
        <w:spacing w:line="240" w:lineRule="auto" w:before="140" w:after="0"/>
        <w:ind w:left="1493" w:right="1127" w:hanging="360"/>
        <w:jc w:val="both"/>
        <w:rPr>
          <w:sz w:val="24"/>
        </w:rPr>
      </w:pPr>
      <w:r>
        <w:rPr>
          <w:sz w:val="24"/>
        </w:rPr>
        <w:t>Le projet de développement d’une infrastructure nationale de données géospatiales aboutira à : la couverture du territoire national par des équipements géodésiques et une cartographie de base (à l’échelle 1 : 50 000) ; la création d’un Centre de Gestion de l’Information géographique et d’une Agence Spatiale ; l’organisation des formations académiques et professionnelles à l’attention d’étudiants et de stagiaires dans les domaines de la Géodésie, la Cartographie, la Télédétection et</w:t>
      </w:r>
      <w:r>
        <w:rPr>
          <w:spacing w:val="40"/>
          <w:sz w:val="24"/>
        </w:rPr>
        <w:t> </w:t>
      </w:r>
      <w:r>
        <w:rPr>
          <w:sz w:val="24"/>
        </w:rPr>
        <w:t>les Systèmes d’Information géographique (études à l’extérieur, formation des structures nationales) ; la signature d’accords de coopération, couvrant la formation et la réalisation de projets, entre le Mali et des pays d’Afrique et d’ailleurs ; la mise en place d’une plateforme d’échanges et de partage des données et informations géographiques (Clearinghouse).</w:t>
      </w:r>
    </w:p>
    <w:p>
      <w:pPr>
        <w:pStyle w:val="ListParagraph"/>
        <w:numPr>
          <w:ilvl w:val="1"/>
          <w:numId w:val="1"/>
        </w:numPr>
        <w:tabs>
          <w:tab w:pos="1493" w:val="left" w:leader="none"/>
          <w:tab w:pos="1837" w:val="left" w:leader="none"/>
        </w:tabs>
        <w:spacing w:line="240" w:lineRule="auto" w:before="183" w:after="0"/>
        <w:ind w:left="1493" w:right="1126" w:hanging="360"/>
        <w:jc w:val="both"/>
        <w:rPr>
          <w:sz w:val="24"/>
        </w:rPr>
      </w:pPr>
      <w:r>
        <w:rPr>
          <w:sz w:val="24"/>
        </w:rPr>
        <w:t>Pour</w:t>
      </w:r>
      <w:r>
        <w:rPr>
          <w:spacing w:val="40"/>
          <w:sz w:val="24"/>
        </w:rPr>
        <w:t> </w:t>
      </w:r>
      <w:r>
        <w:rPr>
          <w:sz w:val="24"/>
        </w:rPr>
        <w:t>ce</w:t>
      </w:r>
      <w:r>
        <w:rPr>
          <w:spacing w:val="40"/>
          <w:sz w:val="24"/>
        </w:rPr>
        <w:t> </w:t>
      </w:r>
      <w:r>
        <w:rPr>
          <w:sz w:val="24"/>
        </w:rPr>
        <w:t>faire,</w:t>
      </w:r>
      <w:r>
        <w:rPr>
          <w:spacing w:val="40"/>
          <w:sz w:val="24"/>
        </w:rPr>
        <w:t> </w:t>
      </w:r>
      <w:r>
        <w:rPr>
          <w:sz w:val="24"/>
        </w:rPr>
        <w:t>il</w:t>
      </w:r>
      <w:r>
        <w:rPr>
          <w:spacing w:val="40"/>
          <w:sz w:val="24"/>
        </w:rPr>
        <w:t> </w:t>
      </w:r>
      <w:r>
        <w:rPr>
          <w:sz w:val="24"/>
        </w:rPr>
        <w:t>sera</w:t>
      </w:r>
      <w:r>
        <w:rPr>
          <w:spacing w:val="40"/>
          <w:sz w:val="24"/>
        </w:rPr>
        <w:t> </w:t>
      </w:r>
      <w:r>
        <w:rPr>
          <w:sz w:val="24"/>
        </w:rPr>
        <w:t>mis</w:t>
      </w:r>
      <w:r>
        <w:rPr>
          <w:spacing w:val="40"/>
          <w:sz w:val="24"/>
        </w:rPr>
        <w:t> </w:t>
      </w:r>
      <w:r>
        <w:rPr>
          <w:sz w:val="24"/>
        </w:rPr>
        <w:t>en</w:t>
      </w:r>
      <w:r>
        <w:rPr>
          <w:spacing w:val="40"/>
          <w:sz w:val="24"/>
        </w:rPr>
        <w:t> </w:t>
      </w:r>
      <w:r>
        <w:rPr>
          <w:sz w:val="24"/>
        </w:rPr>
        <w:t>place</w:t>
      </w:r>
      <w:r>
        <w:rPr>
          <w:spacing w:val="40"/>
          <w:sz w:val="24"/>
        </w:rPr>
        <w:t> </w:t>
      </w:r>
      <w:r>
        <w:rPr>
          <w:sz w:val="24"/>
        </w:rPr>
        <w:t>un</w:t>
      </w:r>
      <w:r>
        <w:rPr>
          <w:spacing w:val="40"/>
          <w:sz w:val="24"/>
        </w:rPr>
        <w:t> </w:t>
      </w:r>
      <w:r>
        <w:rPr>
          <w:sz w:val="24"/>
        </w:rPr>
        <w:t>Géoportail</w:t>
      </w:r>
      <w:r>
        <w:rPr>
          <w:spacing w:val="40"/>
          <w:sz w:val="24"/>
        </w:rPr>
        <w:t> </w:t>
      </w:r>
      <w:r>
        <w:rPr>
          <w:sz w:val="24"/>
        </w:rPr>
        <w:t>National</w:t>
      </w:r>
      <w:r>
        <w:rPr>
          <w:spacing w:val="40"/>
          <w:sz w:val="24"/>
        </w:rPr>
        <w:t> </w:t>
      </w:r>
      <w:r>
        <w:rPr>
          <w:sz w:val="24"/>
        </w:rPr>
        <w:t>impliquant</w:t>
      </w:r>
      <w:r>
        <w:rPr>
          <w:spacing w:val="40"/>
          <w:sz w:val="24"/>
        </w:rPr>
        <w:t> </w:t>
      </w:r>
      <w:r>
        <w:rPr>
          <w:sz w:val="24"/>
        </w:rPr>
        <w:t>toutes</w:t>
      </w:r>
      <w:r>
        <w:rPr>
          <w:spacing w:val="40"/>
          <w:sz w:val="24"/>
        </w:rPr>
        <w:t> </w:t>
      </w:r>
      <w:r>
        <w:rPr>
          <w:sz w:val="24"/>
        </w:rPr>
        <w:t>les</w:t>
      </w:r>
      <w:r>
        <w:rPr>
          <w:spacing w:val="40"/>
          <w:sz w:val="24"/>
        </w:rPr>
        <w:t> </w:t>
      </w:r>
      <w:r>
        <w:rPr>
          <w:sz w:val="24"/>
        </w:rPr>
        <w:t>structures techniques. En outre, il sera procédé à l’acquisition et l’installation de 40 stations permanentes ; ainsi que l’installation d’une plateforme de collecte, d’échange et de partage des données – Server multi- institutionnel (Système intégré).</w:t>
      </w:r>
    </w:p>
    <w:p>
      <w:pPr>
        <w:pStyle w:val="Heading1"/>
        <w:numPr>
          <w:ilvl w:val="0"/>
          <w:numId w:val="6"/>
        </w:numPr>
        <w:tabs>
          <w:tab w:pos="1413" w:val="left" w:leader="none"/>
        </w:tabs>
        <w:spacing w:line="240" w:lineRule="auto" w:before="227" w:after="0"/>
        <w:ind w:left="1413" w:right="0" w:hanging="280"/>
        <w:jc w:val="both"/>
      </w:pPr>
      <w:bookmarkStart w:name="_bookmark35" w:id="36"/>
      <w:bookmarkEnd w:id="36"/>
      <w:r>
        <w:rPr>
          <w:b w:val="0"/>
        </w:rPr>
      </w:r>
      <w:r>
        <w:rPr/>
        <w:t>LES</w:t>
      </w:r>
      <w:r>
        <w:rPr>
          <w:spacing w:val="-8"/>
        </w:rPr>
        <w:t> </w:t>
      </w:r>
      <w:r>
        <w:rPr/>
        <w:t>SUPPORTS</w:t>
      </w:r>
      <w:r>
        <w:rPr>
          <w:spacing w:val="-4"/>
        </w:rPr>
        <w:t> </w:t>
      </w:r>
      <w:r>
        <w:rPr/>
        <w:t>CARTOGRAPHIQUES</w:t>
      </w:r>
      <w:r>
        <w:rPr>
          <w:spacing w:val="-3"/>
        </w:rPr>
        <w:t> </w:t>
      </w:r>
      <w:r>
        <w:rPr/>
        <w:t>ET</w:t>
      </w:r>
      <w:r>
        <w:rPr>
          <w:spacing w:val="-5"/>
        </w:rPr>
        <w:t> </w:t>
      </w:r>
      <w:r>
        <w:rPr/>
        <w:t>DE</w:t>
      </w:r>
      <w:r>
        <w:rPr>
          <w:spacing w:val="-3"/>
        </w:rPr>
        <w:t> </w:t>
      </w:r>
      <w:r>
        <w:rPr>
          <w:spacing w:val="-2"/>
        </w:rPr>
        <w:t>COMMUNICATION</w:t>
      </w:r>
    </w:p>
    <w:p>
      <w:pPr>
        <w:pStyle w:val="Heading3"/>
        <w:numPr>
          <w:ilvl w:val="1"/>
          <w:numId w:val="22"/>
        </w:numPr>
        <w:tabs>
          <w:tab w:pos="1516" w:val="left" w:leader="none"/>
        </w:tabs>
        <w:spacing w:line="240" w:lineRule="auto" w:before="186" w:after="0"/>
        <w:ind w:left="1516" w:right="0" w:hanging="383"/>
        <w:jc w:val="both"/>
      </w:pPr>
      <w:bookmarkStart w:name="_bookmark36" w:id="37"/>
      <w:bookmarkEnd w:id="37"/>
      <w:r>
        <w:rPr>
          <w:b w:val="0"/>
        </w:rPr>
      </w:r>
      <w:r>
        <w:rPr/>
        <w:t>Les</w:t>
      </w:r>
      <w:r>
        <w:rPr>
          <w:spacing w:val="-6"/>
        </w:rPr>
        <w:t> </w:t>
      </w:r>
      <w:r>
        <w:rPr/>
        <w:t>Supports</w:t>
      </w:r>
      <w:r>
        <w:rPr>
          <w:spacing w:val="-3"/>
        </w:rPr>
        <w:t> </w:t>
      </w:r>
      <w:r>
        <w:rPr>
          <w:spacing w:val="-2"/>
        </w:rPr>
        <w:t>cartographiques</w:t>
      </w:r>
    </w:p>
    <w:p>
      <w:pPr>
        <w:pStyle w:val="ListParagraph"/>
        <w:numPr>
          <w:ilvl w:val="1"/>
          <w:numId w:val="1"/>
        </w:numPr>
        <w:tabs>
          <w:tab w:pos="1493" w:val="left" w:leader="none"/>
          <w:tab w:pos="1837" w:val="left" w:leader="none"/>
        </w:tabs>
        <w:spacing w:line="240" w:lineRule="auto" w:before="138" w:after="0"/>
        <w:ind w:left="1493" w:right="1136" w:hanging="360"/>
        <w:jc w:val="both"/>
        <w:rPr>
          <w:sz w:val="24"/>
        </w:rPr>
      </w:pPr>
      <w:r>
        <w:rPr>
          <w:sz w:val="24"/>
        </w:rPr>
        <w:t>En</w:t>
      </w:r>
      <w:r>
        <w:rPr>
          <w:spacing w:val="40"/>
          <w:sz w:val="24"/>
        </w:rPr>
        <w:t> </w:t>
      </w:r>
      <w:r>
        <w:rPr>
          <w:sz w:val="24"/>
        </w:rPr>
        <w:t>vue d’avoir une bonne visibilité</w:t>
      </w:r>
      <w:r>
        <w:rPr>
          <w:spacing w:val="40"/>
          <w:sz w:val="24"/>
        </w:rPr>
        <w:t> </w:t>
      </w:r>
      <w:r>
        <w:rPr>
          <w:sz w:val="24"/>
        </w:rPr>
        <w:t>des</w:t>
      </w:r>
      <w:r>
        <w:rPr>
          <w:spacing w:val="40"/>
          <w:sz w:val="24"/>
        </w:rPr>
        <w:t> </w:t>
      </w:r>
      <w:r>
        <w:rPr>
          <w:sz w:val="24"/>
        </w:rPr>
        <w:t>informations</w:t>
      </w:r>
      <w:r>
        <w:rPr>
          <w:spacing w:val="40"/>
          <w:sz w:val="24"/>
        </w:rPr>
        <w:t> </w:t>
      </w:r>
      <w:r>
        <w:rPr>
          <w:sz w:val="24"/>
        </w:rPr>
        <w:t>sur</w:t>
      </w:r>
      <w:r>
        <w:rPr>
          <w:spacing w:val="40"/>
          <w:sz w:val="24"/>
        </w:rPr>
        <w:t> </w:t>
      </w:r>
      <w:r>
        <w:rPr>
          <w:sz w:val="24"/>
        </w:rPr>
        <w:t>les secteurs</w:t>
      </w:r>
      <w:r>
        <w:rPr>
          <w:spacing w:val="40"/>
          <w:sz w:val="24"/>
        </w:rPr>
        <w:t> </w:t>
      </w:r>
      <w:r>
        <w:rPr>
          <w:sz w:val="24"/>
        </w:rPr>
        <w:t>clés</w:t>
      </w:r>
      <w:r>
        <w:rPr>
          <w:spacing w:val="40"/>
          <w:sz w:val="24"/>
        </w:rPr>
        <w:t> </w:t>
      </w:r>
      <w:r>
        <w:rPr>
          <w:sz w:val="24"/>
        </w:rPr>
        <w:t>du développement national, le Ministère de l’Economie et des Finances a sollicité l’intervention de l’Institut</w:t>
      </w:r>
      <w:r>
        <w:rPr>
          <w:spacing w:val="40"/>
          <w:sz w:val="24"/>
        </w:rPr>
        <w:t> </w:t>
      </w:r>
      <w:r>
        <w:rPr>
          <w:sz w:val="24"/>
        </w:rPr>
        <w:t>Géographique du Mali (IGM) pour réaliser une représentation cartographique des résultats du diagnostic et de la Vision Mali 2063 à travers des cartes prospectives et un Atlas économique. Ainsi, des cartes thématiques, territoriales et nationales permettront de documenter et de suivre la réalisation des projets.</w:t>
      </w:r>
    </w:p>
    <w:p>
      <w:pPr>
        <w:pStyle w:val="Heading3"/>
        <w:numPr>
          <w:ilvl w:val="2"/>
          <w:numId w:val="22"/>
        </w:numPr>
        <w:tabs>
          <w:tab w:pos="1678" w:val="left" w:leader="none"/>
        </w:tabs>
        <w:spacing w:line="240" w:lineRule="auto" w:before="184" w:after="0"/>
        <w:ind w:left="1678" w:right="0" w:hanging="545"/>
        <w:jc w:val="both"/>
      </w:pPr>
      <w:bookmarkStart w:name="_bookmark37" w:id="38"/>
      <w:bookmarkEnd w:id="38"/>
      <w:r>
        <w:rPr>
          <w:b w:val="0"/>
        </w:rPr>
      </w:r>
      <w:r>
        <w:rPr/>
        <w:t>Les</w:t>
      </w:r>
      <w:r>
        <w:rPr>
          <w:spacing w:val="-5"/>
        </w:rPr>
        <w:t> </w:t>
      </w:r>
      <w:r>
        <w:rPr/>
        <w:t>cartes</w:t>
      </w:r>
      <w:r>
        <w:rPr>
          <w:spacing w:val="-3"/>
        </w:rPr>
        <w:t> </w:t>
      </w:r>
      <w:r>
        <w:rPr/>
        <w:t>d’état</w:t>
      </w:r>
      <w:r>
        <w:rPr>
          <w:spacing w:val="-3"/>
        </w:rPr>
        <w:t> </w:t>
      </w:r>
      <w:r>
        <w:rPr/>
        <w:t>des</w:t>
      </w:r>
      <w:r>
        <w:rPr>
          <w:spacing w:val="-2"/>
        </w:rPr>
        <w:t> </w:t>
      </w:r>
      <w:r>
        <w:rPr>
          <w:spacing w:val="-4"/>
        </w:rPr>
        <w:t>lieux</w:t>
      </w:r>
    </w:p>
    <w:p>
      <w:pPr>
        <w:pStyle w:val="ListParagraph"/>
        <w:numPr>
          <w:ilvl w:val="1"/>
          <w:numId w:val="1"/>
        </w:numPr>
        <w:tabs>
          <w:tab w:pos="1493" w:val="left" w:leader="none"/>
          <w:tab w:pos="1837" w:val="left" w:leader="none"/>
        </w:tabs>
        <w:spacing w:line="240" w:lineRule="auto" w:before="147" w:after="0"/>
        <w:ind w:left="1493" w:right="1127" w:hanging="360"/>
        <w:jc w:val="both"/>
        <w:rPr>
          <w:sz w:val="24"/>
        </w:rPr>
      </w:pPr>
      <w:r>
        <w:rPr>
          <w:sz w:val="24"/>
        </w:rPr>
        <w:t>Sur la base du diagnostic réalisé et des données statistiques collectées auprès des structures sectorielles, les cartes se rapportant à l’état des lieux dans les différents domaines thématiques ont été réalisées. Il s’agit des domaines suivants : Economie ; Population</w:t>
      </w:r>
      <w:r>
        <w:rPr>
          <w:spacing w:val="-2"/>
          <w:sz w:val="24"/>
        </w:rPr>
        <w:t> </w:t>
      </w:r>
      <w:r>
        <w:rPr>
          <w:sz w:val="24"/>
        </w:rPr>
        <w:t>; Education</w:t>
      </w:r>
      <w:r>
        <w:rPr>
          <w:spacing w:val="40"/>
          <w:sz w:val="24"/>
        </w:rPr>
        <w:t> </w:t>
      </w:r>
      <w:r>
        <w:rPr>
          <w:sz w:val="24"/>
        </w:rPr>
        <w:t>; Enseignement supérieur</w:t>
      </w:r>
      <w:r>
        <w:rPr>
          <w:spacing w:val="-4"/>
          <w:sz w:val="24"/>
        </w:rPr>
        <w:t> </w:t>
      </w:r>
      <w:r>
        <w:rPr>
          <w:sz w:val="24"/>
        </w:rPr>
        <w:t>; Agriculture ; Elevage</w:t>
      </w:r>
      <w:r>
        <w:rPr>
          <w:spacing w:val="-3"/>
          <w:sz w:val="24"/>
        </w:rPr>
        <w:t> </w:t>
      </w:r>
      <w:r>
        <w:rPr>
          <w:sz w:val="24"/>
        </w:rPr>
        <w:t>; Pêche</w:t>
      </w:r>
      <w:r>
        <w:rPr>
          <w:spacing w:val="-3"/>
          <w:sz w:val="24"/>
        </w:rPr>
        <w:t> </w:t>
      </w:r>
      <w:r>
        <w:rPr>
          <w:sz w:val="24"/>
        </w:rPr>
        <w:t>; Energie</w:t>
      </w:r>
      <w:r>
        <w:rPr>
          <w:spacing w:val="-3"/>
          <w:sz w:val="24"/>
        </w:rPr>
        <w:t> </w:t>
      </w:r>
      <w:r>
        <w:rPr>
          <w:sz w:val="24"/>
        </w:rPr>
        <w:t>; Eau et Assainissement</w:t>
      </w:r>
      <w:r>
        <w:rPr>
          <w:spacing w:val="-1"/>
          <w:sz w:val="24"/>
        </w:rPr>
        <w:t> </w:t>
      </w:r>
      <w:r>
        <w:rPr>
          <w:sz w:val="24"/>
        </w:rPr>
        <w:t>; Ressources minières</w:t>
      </w:r>
      <w:r>
        <w:rPr>
          <w:spacing w:val="-2"/>
          <w:sz w:val="24"/>
        </w:rPr>
        <w:t> </w:t>
      </w:r>
      <w:r>
        <w:rPr>
          <w:sz w:val="24"/>
        </w:rPr>
        <w:t>; Infrastructures sanitaires et pharmaceutiques ; Infrastructures de transports ; Infrastructures hydrauliques ;</w:t>
      </w:r>
      <w:r>
        <w:rPr>
          <w:spacing w:val="40"/>
          <w:sz w:val="24"/>
        </w:rPr>
        <w:t> </w:t>
      </w:r>
      <w:r>
        <w:rPr>
          <w:sz w:val="24"/>
        </w:rPr>
        <w:t>Infrastructures</w:t>
      </w:r>
      <w:r>
        <w:rPr>
          <w:spacing w:val="40"/>
          <w:sz w:val="24"/>
        </w:rPr>
        <w:t> </w:t>
      </w:r>
      <w:r>
        <w:rPr>
          <w:sz w:val="24"/>
        </w:rPr>
        <w:t>administratives ;</w:t>
      </w:r>
      <w:r>
        <w:rPr>
          <w:spacing w:val="40"/>
          <w:sz w:val="24"/>
        </w:rPr>
        <w:t> </w:t>
      </w:r>
      <w:r>
        <w:rPr>
          <w:sz w:val="24"/>
        </w:rPr>
        <w:t>Urbanisme ;</w:t>
      </w:r>
      <w:r>
        <w:rPr>
          <w:spacing w:val="40"/>
          <w:sz w:val="24"/>
        </w:rPr>
        <w:t> </w:t>
      </w:r>
      <w:r>
        <w:rPr>
          <w:sz w:val="24"/>
        </w:rPr>
        <w:t>Habitat</w:t>
      </w:r>
      <w:r>
        <w:rPr>
          <w:spacing w:val="-2"/>
          <w:sz w:val="24"/>
        </w:rPr>
        <w:t> </w:t>
      </w:r>
      <w:r>
        <w:rPr>
          <w:sz w:val="24"/>
        </w:rPr>
        <w:t>;</w:t>
      </w:r>
      <w:r>
        <w:rPr>
          <w:spacing w:val="40"/>
          <w:sz w:val="24"/>
        </w:rPr>
        <w:t> </w:t>
      </w:r>
      <w:r>
        <w:rPr>
          <w:sz w:val="24"/>
        </w:rPr>
        <w:t>Télécommunication ; Infrastructures hôtelières.</w:t>
      </w:r>
    </w:p>
    <w:p>
      <w:pPr>
        <w:pStyle w:val="Heading3"/>
        <w:numPr>
          <w:ilvl w:val="2"/>
          <w:numId w:val="22"/>
        </w:numPr>
        <w:tabs>
          <w:tab w:pos="1788" w:val="left" w:leader="none"/>
        </w:tabs>
        <w:spacing w:line="240" w:lineRule="auto" w:before="175" w:after="0"/>
        <w:ind w:left="1788" w:right="0" w:hanging="655"/>
        <w:jc w:val="both"/>
      </w:pPr>
      <w:bookmarkStart w:name="_bookmark38" w:id="39"/>
      <w:bookmarkEnd w:id="39"/>
      <w:r>
        <w:rPr>
          <w:b w:val="0"/>
        </w:rPr>
      </w:r>
      <w:r>
        <w:rPr/>
        <w:t>Cartes</w:t>
      </w:r>
      <w:r>
        <w:rPr>
          <w:spacing w:val="-5"/>
        </w:rPr>
        <w:t> </w:t>
      </w:r>
      <w:r>
        <w:rPr>
          <w:spacing w:val="-2"/>
        </w:rPr>
        <w:t>prospectives</w:t>
      </w:r>
    </w:p>
    <w:p>
      <w:pPr>
        <w:pStyle w:val="ListParagraph"/>
        <w:numPr>
          <w:ilvl w:val="1"/>
          <w:numId w:val="1"/>
        </w:numPr>
        <w:tabs>
          <w:tab w:pos="1493" w:val="left" w:leader="none"/>
          <w:tab w:pos="1837" w:val="left" w:leader="none"/>
        </w:tabs>
        <w:spacing w:line="240" w:lineRule="auto" w:before="138" w:after="0"/>
        <w:ind w:left="1493" w:right="1127" w:hanging="360"/>
        <w:jc w:val="both"/>
        <w:rPr>
          <w:sz w:val="24"/>
        </w:rPr>
      </w:pPr>
      <w:r>
        <w:rPr>
          <w:sz w:val="24"/>
        </w:rPr>
        <w:t>Quelques cartes prospectives prenant en compte les objectifs spécifiques suivant les ciblages</w:t>
      </w:r>
      <w:r>
        <w:rPr>
          <w:spacing w:val="-3"/>
          <w:sz w:val="24"/>
        </w:rPr>
        <w:t> </w:t>
      </w:r>
      <w:r>
        <w:rPr>
          <w:sz w:val="24"/>
        </w:rPr>
        <w:t>des quatre (4) phases décennales sont réalisées. Cette cartographie prospective repose sur les</w:t>
      </w:r>
      <w:r>
        <w:rPr>
          <w:spacing w:val="80"/>
          <w:sz w:val="24"/>
        </w:rPr>
        <w:t> </w:t>
      </w:r>
      <w:r>
        <w:rPr>
          <w:sz w:val="24"/>
        </w:rPr>
        <w:t>phasages de la Vision et concernent les secteurs des infrastructures, les ressources minières, le secteur de l’Energie, l’Agriculture et les ressources naturelles :</w:t>
      </w:r>
    </w:p>
    <w:p>
      <w:pPr>
        <w:pStyle w:val="BodyText"/>
        <w:spacing w:before="0"/>
        <w:ind w:left="0" w:firstLine="0"/>
        <w:jc w:val="left"/>
      </w:pPr>
    </w:p>
    <w:p>
      <w:pPr>
        <w:pStyle w:val="Heading3"/>
        <w:numPr>
          <w:ilvl w:val="2"/>
          <w:numId w:val="22"/>
        </w:numPr>
        <w:tabs>
          <w:tab w:pos="1788" w:val="left" w:leader="none"/>
        </w:tabs>
        <w:spacing w:line="240" w:lineRule="auto" w:before="0" w:after="0"/>
        <w:ind w:left="1788" w:right="0" w:hanging="655"/>
        <w:jc w:val="both"/>
      </w:pPr>
      <w:bookmarkStart w:name="_bookmark39" w:id="40"/>
      <w:bookmarkEnd w:id="40"/>
      <w:r>
        <w:rPr>
          <w:b w:val="0"/>
        </w:rPr>
      </w:r>
      <w:r>
        <w:rPr/>
        <w:t>L’Atlas</w:t>
      </w:r>
      <w:r>
        <w:rPr>
          <w:spacing w:val="-5"/>
        </w:rPr>
        <w:t> </w:t>
      </w:r>
      <w:r>
        <w:rPr>
          <w:spacing w:val="-2"/>
        </w:rPr>
        <w:t>économique</w:t>
      </w:r>
    </w:p>
    <w:p>
      <w:pPr>
        <w:pStyle w:val="ListParagraph"/>
        <w:numPr>
          <w:ilvl w:val="1"/>
          <w:numId w:val="1"/>
        </w:numPr>
        <w:tabs>
          <w:tab w:pos="1493" w:val="left" w:leader="none"/>
          <w:tab w:pos="1837" w:val="left" w:leader="none"/>
        </w:tabs>
        <w:spacing w:line="240" w:lineRule="auto" w:before="147" w:after="0"/>
        <w:ind w:left="1493" w:right="1139" w:hanging="360"/>
        <w:jc w:val="both"/>
        <w:rPr>
          <w:sz w:val="24"/>
        </w:rPr>
      </w:pPr>
      <w:r>
        <w:rPr>
          <w:sz w:val="24"/>
        </w:rPr>
        <w:t>L’Atlas</w:t>
      </w:r>
      <w:r>
        <w:rPr>
          <w:spacing w:val="40"/>
          <w:sz w:val="24"/>
        </w:rPr>
        <w:t> </w:t>
      </w:r>
      <w:r>
        <w:rPr>
          <w:sz w:val="24"/>
        </w:rPr>
        <w:t>économique</w:t>
      </w:r>
      <w:r>
        <w:rPr>
          <w:spacing w:val="40"/>
          <w:sz w:val="24"/>
        </w:rPr>
        <w:t> </w:t>
      </w:r>
      <w:r>
        <w:rPr>
          <w:sz w:val="24"/>
        </w:rPr>
        <w:t>du</w:t>
      </w:r>
      <w:r>
        <w:rPr>
          <w:spacing w:val="40"/>
          <w:sz w:val="24"/>
        </w:rPr>
        <w:t> </w:t>
      </w:r>
      <w:r>
        <w:rPr>
          <w:sz w:val="24"/>
        </w:rPr>
        <w:t>Mali</w:t>
      </w:r>
      <w:r>
        <w:rPr>
          <w:spacing w:val="40"/>
          <w:sz w:val="24"/>
        </w:rPr>
        <w:t> </w:t>
      </w:r>
      <w:r>
        <w:rPr>
          <w:sz w:val="24"/>
        </w:rPr>
        <w:t>est</w:t>
      </w:r>
      <w:r>
        <w:rPr>
          <w:spacing w:val="40"/>
          <w:sz w:val="24"/>
        </w:rPr>
        <w:t> </w:t>
      </w:r>
      <w:r>
        <w:rPr>
          <w:sz w:val="24"/>
        </w:rPr>
        <w:t>une</w:t>
      </w:r>
      <w:r>
        <w:rPr>
          <w:spacing w:val="40"/>
          <w:sz w:val="24"/>
        </w:rPr>
        <w:t> </w:t>
      </w:r>
      <w:r>
        <w:rPr>
          <w:sz w:val="24"/>
        </w:rPr>
        <w:t>compilation</w:t>
      </w:r>
      <w:r>
        <w:rPr>
          <w:spacing w:val="40"/>
          <w:sz w:val="24"/>
        </w:rPr>
        <w:t> </w:t>
      </w:r>
      <w:r>
        <w:rPr>
          <w:sz w:val="24"/>
        </w:rPr>
        <w:t>des</w:t>
      </w:r>
      <w:r>
        <w:rPr>
          <w:spacing w:val="40"/>
          <w:sz w:val="24"/>
        </w:rPr>
        <w:t> </w:t>
      </w:r>
      <w:r>
        <w:rPr>
          <w:sz w:val="24"/>
        </w:rPr>
        <w:t>différents</w:t>
      </w:r>
      <w:r>
        <w:rPr>
          <w:spacing w:val="40"/>
          <w:sz w:val="24"/>
        </w:rPr>
        <w:t> </w:t>
      </w:r>
      <w:r>
        <w:rPr>
          <w:sz w:val="24"/>
        </w:rPr>
        <w:t>produits</w:t>
      </w:r>
      <w:r>
        <w:rPr>
          <w:spacing w:val="40"/>
          <w:sz w:val="24"/>
        </w:rPr>
        <w:t> </w:t>
      </w:r>
      <w:r>
        <w:rPr>
          <w:sz w:val="24"/>
        </w:rPr>
        <w:t>cartographiques combinée à des photos et des illustrations permettant d’avoir une visibilité des ressources, potentialités et attractions des différentes régions du Mali.</w:t>
      </w:r>
    </w:p>
    <w:p>
      <w:pPr>
        <w:pStyle w:val="ListParagraph"/>
        <w:numPr>
          <w:ilvl w:val="0"/>
          <w:numId w:val="23"/>
        </w:numPr>
        <w:tabs>
          <w:tab w:pos="1840" w:val="left" w:leader="none"/>
        </w:tabs>
        <w:spacing w:line="240" w:lineRule="auto" w:before="94" w:after="0"/>
        <w:ind w:left="1840" w:right="0" w:hanging="347"/>
        <w:jc w:val="both"/>
        <w:rPr>
          <w:sz w:val="24"/>
        </w:rPr>
      </w:pPr>
      <w:r>
        <w:rPr>
          <w:sz w:val="24"/>
        </w:rPr>
        <w:t>La</w:t>
      </w:r>
      <w:r>
        <w:rPr>
          <w:spacing w:val="-5"/>
          <w:sz w:val="24"/>
        </w:rPr>
        <w:t> </w:t>
      </w:r>
      <w:r>
        <w:rPr>
          <w:sz w:val="24"/>
        </w:rPr>
        <w:t>première</w:t>
      </w:r>
      <w:r>
        <w:rPr>
          <w:spacing w:val="-5"/>
          <w:sz w:val="24"/>
        </w:rPr>
        <w:t> </w:t>
      </w:r>
      <w:r>
        <w:rPr>
          <w:sz w:val="24"/>
        </w:rPr>
        <w:t>partie</w:t>
      </w:r>
      <w:r>
        <w:rPr>
          <w:spacing w:val="-2"/>
          <w:sz w:val="24"/>
        </w:rPr>
        <w:t> </w:t>
      </w:r>
      <w:r>
        <w:rPr>
          <w:sz w:val="24"/>
        </w:rPr>
        <w:t>est</w:t>
      </w:r>
      <w:r>
        <w:rPr>
          <w:spacing w:val="-4"/>
          <w:sz w:val="24"/>
        </w:rPr>
        <w:t> </w:t>
      </w:r>
      <w:r>
        <w:rPr>
          <w:sz w:val="24"/>
        </w:rPr>
        <w:t>une</w:t>
      </w:r>
      <w:r>
        <w:rPr>
          <w:spacing w:val="-4"/>
          <w:sz w:val="24"/>
        </w:rPr>
        <w:t> </w:t>
      </w:r>
      <w:r>
        <w:rPr>
          <w:sz w:val="24"/>
        </w:rPr>
        <w:t>monographie</w:t>
      </w:r>
      <w:r>
        <w:rPr>
          <w:spacing w:val="-5"/>
          <w:sz w:val="24"/>
        </w:rPr>
        <w:t> </w:t>
      </w:r>
      <w:r>
        <w:rPr>
          <w:sz w:val="24"/>
        </w:rPr>
        <w:t>des</w:t>
      </w:r>
      <w:r>
        <w:rPr>
          <w:spacing w:val="1"/>
          <w:sz w:val="24"/>
        </w:rPr>
        <w:t> </w:t>
      </w:r>
      <w:r>
        <w:rPr>
          <w:sz w:val="24"/>
        </w:rPr>
        <w:t>régions</w:t>
      </w:r>
      <w:r>
        <w:rPr>
          <w:spacing w:val="-3"/>
          <w:sz w:val="24"/>
        </w:rPr>
        <w:t> </w:t>
      </w:r>
      <w:r>
        <w:rPr>
          <w:sz w:val="24"/>
        </w:rPr>
        <w:t>du</w:t>
      </w:r>
      <w:r>
        <w:rPr>
          <w:spacing w:val="-2"/>
          <w:sz w:val="24"/>
        </w:rPr>
        <w:t> </w:t>
      </w:r>
      <w:r>
        <w:rPr>
          <w:sz w:val="24"/>
        </w:rPr>
        <w:t>Mali</w:t>
      </w:r>
      <w:r>
        <w:rPr>
          <w:spacing w:val="-4"/>
          <w:sz w:val="24"/>
        </w:rPr>
        <w:t> </w:t>
      </w:r>
      <w:r>
        <w:rPr>
          <w:sz w:val="24"/>
        </w:rPr>
        <w:t>et</w:t>
      </w:r>
      <w:r>
        <w:rPr>
          <w:spacing w:val="-4"/>
          <w:sz w:val="24"/>
        </w:rPr>
        <w:t> </w:t>
      </w:r>
      <w:r>
        <w:rPr>
          <w:sz w:val="24"/>
        </w:rPr>
        <w:t>du</w:t>
      </w:r>
      <w:r>
        <w:rPr>
          <w:spacing w:val="1"/>
          <w:sz w:val="24"/>
        </w:rPr>
        <w:t> </w:t>
      </w:r>
      <w:r>
        <w:rPr>
          <w:sz w:val="24"/>
        </w:rPr>
        <w:t>District</w:t>
      </w:r>
      <w:r>
        <w:rPr>
          <w:spacing w:val="-2"/>
          <w:sz w:val="24"/>
        </w:rPr>
        <w:t> </w:t>
      </w:r>
      <w:r>
        <w:rPr>
          <w:sz w:val="24"/>
        </w:rPr>
        <w:t>de</w:t>
      </w:r>
      <w:r>
        <w:rPr>
          <w:spacing w:val="-2"/>
          <w:sz w:val="24"/>
        </w:rPr>
        <w:t> Bamako.</w:t>
      </w:r>
    </w:p>
    <w:p>
      <w:pPr>
        <w:pStyle w:val="ListParagraph"/>
        <w:spacing w:after="0" w:line="240" w:lineRule="auto"/>
        <w:jc w:val="both"/>
        <w:rPr>
          <w:sz w:val="24"/>
        </w:rPr>
        <w:sectPr>
          <w:pgSz w:w="11910" w:h="16840"/>
          <w:pgMar w:header="0" w:footer="680" w:top="1320" w:bottom="960" w:left="283" w:right="141"/>
        </w:sectPr>
      </w:pPr>
    </w:p>
    <w:p>
      <w:pPr>
        <w:pStyle w:val="ListParagraph"/>
        <w:numPr>
          <w:ilvl w:val="0"/>
          <w:numId w:val="23"/>
        </w:numPr>
        <w:tabs>
          <w:tab w:pos="1841" w:val="left" w:leader="none"/>
        </w:tabs>
        <w:spacing w:line="240" w:lineRule="auto" w:before="78" w:after="0"/>
        <w:ind w:left="1841" w:right="0" w:hanging="348"/>
        <w:jc w:val="left"/>
        <w:rPr>
          <w:sz w:val="24"/>
        </w:rPr>
      </w:pPr>
      <w:r>
        <w:rPr>
          <w:sz w:val="24"/>
        </w:rPr>
        <w:t>La</w:t>
      </w:r>
      <w:r>
        <w:rPr>
          <w:spacing w:val="53"/>
          <w:sz w:val="24"/>
        </w:rPr>
        <w:t> </w:t>
      </w:r>
      <w:r>
        <w:rPr>
          <w:sz w:val="24"/>
        </w:rPr>
        <w:t>deuxième</w:t>
      </w:r>
      <w:r>
        <w:rPr>
          <w:spacing w:val="51"/>
          <w:sz w:val="24"/>
        </w:rPr>
        <w:t> </w:t>
      </w:r>
      <w:r>
        <w:rPr>
          <w:sz w:val="24"/>
        </w:rPr>
        <w:t>partie</w:t>
      </w:r>
      <w:r>
        <w:rPr>
          <w:spacing w:val="54"/>
          <w:sz w:val="24"/>
        </w:rPr>
        <w:t> </w:t>
      </w:r>
      <w:r>
        <w:rPr>
          <w:sz w:val="24"/>
        </w:rPr>
        <w:t>est</w:t>
      </w:r>
      <w:r>
        <w:rPr>
          <w:spacing w:val="53"/>
          <w:sz w:val="24"/>
        </w:rPr>
        <w:t> </w:t>
      </w:r>
      <w:r>
        <w:rPr>
          <w:sz w:val="24"/>
        </w:rPr>
        <w:t>une</w:t>
      </w:r>
      <w:r>
        <w:rPr>
          <w:spacing w:val="54"/>
          <w:sz w:val="24"/>
        </w:rPr>
        <w:t> </w:t>
      </w:r>
      <w:r>
        <w:rPr>
          <w:sz w:val="24"/>
        </w:rPr>
        <w:t>compilation</w:t>
      </w:r>
      <w:r>
        <w:rPr>
          <w:spacing w:val="53"/>
          <w:sz w:val="24"/>
        </w:rPr>
        <w:t> </w:t>
      </w:r>
      <w:r>
        <w:rPr>
          <w:sz w:val="24"/>
        </w:rPr>
        <w:t>des</w:t>
      </w:r>
      <w:r>
        <w:rPr>
          <w:spacing w:val="53"/>
          <w:sz w:val="24"/>
        </w:rPr>
        <w:t> </w:t>
      </w:r>
      <w:r>
        <w:rPr>
          <w:sz w:val="24"/>
        </w:rPr>
        <w:t>supports</w:t>
      </w:r>
      <w:r>
        <w:rPr>
          <w:spacing w:val="53"/>
          <w:sz w:val="24"/>
        </w:rPr>
        <w:t> </w:t>
      </w:r>
      <w:r>
        <w:rPr>
          <w:sz w:val="24"/>
        </w:rPr>
        <w:t>cartographiques</w:t>
      </w:r>
      <w:r>
        <w:rPr>
          <w:spacing w:val="53"/>
          <w:sz w:val="24"/>
        </w:rPr>
        <w:t> </w:t>
      </w:r>
      <w:r>
        <w:rPr>
          <w:sz w:val="24"/>
        </w:rPr>
        <w:t>d’état</w:t>
      </w:r>
      <w:r>
        <w:rPr>
          <w:spacing w:val="52"/>
          <w:sz w:val="24"/>
        </w:rPr>
        <w:t> </w:t>
      </w:r>
      <w:r>
        <w:rPr>
          <w:sz w:val="24"/>
        </w:rPr>
        <w:t>des</w:t>
      </w:r>
      <w:r>
        <w:rPr>
          <w:spacing w:val="53"/>
          <w:sz w:val="24"/>
        </w:rPr>
        <w:t> </w:t>
      </w:r>
      <w:r>
        <w:rPr>
          <w:sz w:val="24"/>
        </w:rPr>
        <w:t>lieux</w:t>
      </w:r>
      <w:r>
        <w:rPr>
          <w:spacing w:val="51"/>
          <w:sz w:val="24"/>
        </w:rPr>
        <w:t> </w:t>
      </w:r>
      <w:r>
        <w:rPr>
          <w:spacing w:val="-5"/>
          <w:sz w:val="24"/>
        </w:rPr>
        <w:t>des</w:t>
      </w:r>
    </w:p>
    <w:p>
      <w:pPr>
        <w:pStyle w:val="BodyText"/>
        <w:spacing w:before="1"/>
        <w:ind w:left="1853" w:firstLine="0"/>
        <w:jc w:val="left"/>
      </w:pPr>
      <w:r>
        <w:rPr/>
        <w:t>ressources</w:t>
      </w:r>
      <w:r>
        <w:rPr>
          <w:spacing w:val="-6"/>
        </w:rPr>
        <w:t> </w:t>
      </w:r>
      <w:r>
        <w:rPr/>
        <w:t>et</w:t>
      </w:r>
      <w:r>
        <w:rPr>
          <w:spacing w:val="-5"/>
        </w:rPr>
        <w:t> </w:t>
      </w:r>
      <w:r>
        <w:rPr/>
        <w:t>potentialités</w:t>
      </w:r>
      <w:r>
        <w:rPr>
          <w:spacing w:val="-6"/>
        </w:rPr>
        <w:t> </w:t>
      </w:r>
      <w:r>
        <w:rPr/>
        <w:t>économiques</w:t>
      </w:r>
      <w:r>
        <w:rPr>
          <w:spacing w:val="-6"/>
        </w:rPr>
        <w:t> </w:t>
      </w:r>
      <w:r>
        <w:rPr/>
        <w:t>du</w:t>
      </w:r>
      <w:r>
        <w:rPr>
          <w:spacing w:val="-5"/>
        </w:rPr>
        <w:t> </w:t>
      </w:r>
      <w:r>
        <w:rPr>
          <w:spacing w:val="-4"/>
        </w:rPr>
        <w:t>Mali.</w:t>
      </w:r>
    </w:p>
    <w:p>
      <w:pPr>
        <w:pStyle w:val="ListParagraph"/>
        <w:numPr>
          <w:ilvl w:val="0"/>
          <w:numId w:val="23"/>
        </w:numPr>
        <w:tabs>
          <w:tab w:pos="1841" w:val="left" w:leader="none"/>
          <w:tab w:pos="1853" w:val="left" w:leader="none"/>
        </w:tabs>
        <w:spacing w:line="240" w:lineRule="auto" w:before="1" w:after="0"/>
        <w:ind w:left="1853" w:right="1135" w:hanging="360"/>
        <w:jc w:val="left"/>
        <w:rPr>
          <w:sz w:val="24"/>
        </w:rPr>
      </w:pPr>
      <w:r>
        <w:rPr>
          <w:sz w:val="24"/>
        </w:rPr>
        <w:t>La troisième partie fait ressortir les cartes prospectives par région (District de Bamako et les 19 régions) sur les quatre (4) phases.</w:t>
      </w:r>
    </w:p>
    <w:p>
      <w:pPr>
        <w:pStyle w:val="Heading2"/>
        <w:numPr>
          <w:ilvl w:val="1"/>
          <w:numId w:val="22"/>
        </w:numPr>
        <w:tabs>
          <w:tab w:pos="1547" w:val="left" w:leader="none"/>
        </w:tabs>
        <w:spacing w:line="240" w:lineRule="auto" w:before="183" w:after="0"/>
        <w:ind w:left="1547" w:right="0" w:hanging="414"/>
        <w:jc w:val="left"/>
      </w:pPr>
      <w:bookmarkStart w:name="_bookmark40" w:id="41"/>
      <w:bookmarkEnd w:id="41"/>
      <w:r>
        <w:rPr>
          <w:b w:val="0"/>
        </w:rPr>
      </w:r>
      <w:r>
        <w:rPr/>
        <w:t>La</w:t>
      </w:r>
      <w:r>
        <w:rPr>
          <w:spacing w:val="-8"/>
        </w:rPr>
        <w:t> </w:t>
      </w:r>
      <w:r>
        <w:rPr/>
        <w:t>stratégie</w:t>
      </w:r>
      <w:r>
        <w:rPr>
          <w:spacing w:val="-7"/>
        </w:rPr>
        <w:t> </w:t>
      </w:r>
      <w:r>
        <w:rPr/>
        <w:t>de</w:t>
      </w:r>
      <w:r>
        <w:rPr>
          <w:spacing w:val="-8"/>
        </w:rPr>
        <w:t> </w:t>
      </w:r>
      <w:r>
        <w:rPr>
          <w:spacing w:val="-2"/>
        </w:rPr>
        <w:t>communication</w:t>
      </w:r>
    </w:p>
    <w:p>
      <w:pPr>
        <w:pStyle w:val="ListParagraph"/>
        <w:numPr>
          <w:ilvl w:val="1"/>
          <w:numId w:val="1"/>
        </w:numPr>
        <w:tabs>
          <w:tab w:pos="1493" w:val="left" w:leader="none"/>
          <w:tab w:pos="1893" w:val="left" w:leader="none"/>
        </w:tabs>
        <w:spacing w:line="240" w:lineRule="auto" w:before="220" w:after="0"/>
        <w:ind w:left="1493" w:right="1135" w:hanging="360"/>
        <w:jc w:val="both"/>
        <w:rPr>
          <w:sz w:val="24"/>
        </w:rPr>
      </w:pPr>
      <w:r>
        <w:rPr>
          <w:sz w:val="24"/>
        </w:rPr>
        <w:t>Pour</w:t>
      </w:r>
      <w:r>
        <w:rPr>
          <w:spacing w:val="40"/>
          <w:sz w:val="24"/>
        </w:rPr>
        <w:t> </w:t>
      </w:r>
      <w:r>
        <w:rPr>
          <w:sz w:val="24"/>
        </w:rPr>
        <w:t>atteindre</w:t>
      </w:r>
      <w:r>
        <w:rPr>
          <w:spacing w:val="40"/>
          <w:sz w:val="24"/>
        </w:rPr>
        <w:t> </w:t>
      </w:r>
      <w:r>
        <w:rPr>
          <w:sz w:val="24"/>
        </w:rPr>
        <w:t>ses</w:t>
      </w:r>
      <w:r>
        <w:rPr>
          <w:spacing w:val="40"/>
          <w:sz w:val="24"/>
        </w:rPr>
        <w:t> </w:t>
      </w:r>
      <w:r>
        <w:rPr>
          <w:sz w:val="24"/>
        </w:rPr>
        <w:t>ambitions,</w:t>
      </w:r>
      <w:r>
        <w:rPr>
          <w:spacing w:val="40"/>
          <w:sz w:val="24"/>
        </w:rPr>
        <w:t> </w:t>
      </w:r>
      <w:r>
        <w:rPr>
          <w:sz w:val="24"/>
        </w:rPr>
        <w:t>la</w:t>
      </w:r>
      <w:r>
        <w:rPr>
          <w:spacing w:val="40"/>
          <w:sz w:val="24"/>
        </w:rPr>
        <w:t> </w:t>
      </w:r>
      <w:r>
        <w:rPr>
          <w:sz w:val="24"/>
        </w:rPr>
        <w:t>Vision</w:t>
      </w:r>
      <w:r>
        <w:rPr>
          <w:spacing w:val="40"/>
          <w:sz w:val="24"/>
        </w:rPr>
        <w:t> </w:t>
      </w:r>
      <w:r>
        <w:rPr>
          <w:sz w:val="24"/>
        </w:rPr>
        <w:t>Mali</w:t>
      </w:r>
      <w:r>
        <w:rPr>
          <w:spacing w:val="40"/>
          <w:sz w:val="24"/>
        </w:rPr>
        <w:t> </w:t>
      </w:r>
      <w:r>
        <w:rPr>
          <w:sz w:val="24"/>
        </w:rPr>
        <w:t>2063</w:t>
      </w:r>
      <w:r>
        <w:rPr>
          <w:spacing w:val="40"/>
          <w:sz w:val="24"/>
        </w:rPr>
        <w:t> </w:t>
      </w:r>
      <w:r>
        <w:rPr>
          <w:sz w:val="24"/>
        </w:rPr>
        <w:t>a</w:t>
      </w:r>
      <w:r>
        <w:rPr>
          <w:spacing w:val="40"/>
          <w:sz w:val="24"/>
        </w:rPr>
        <w:t> </w:t>
      </w:r>
      <w:r>
        <w:rPr>
          <w:sz w:val="24"/>
        </w:rPr>
        <w:t>besoin</w:t>
      </w:r>
      <w:r>
        <w:rPr>
          <w:spacing w:val="40"/>
          <w:sz w:val="24"/>
        </w:rPr>
        <w:t> </w:t>
      </w:r>
      <w:r>
        <w:rPr>
          <w:sz w:val="24"/>
        </w:rPr>
        <w:t>de</w:t>
      </w:r>
      <w:r>
        <w:rPr>
          <w:spacing w:val="40"/>
          <w:sz w:val="24"/>
        </w:rPr>
        <w:t> </w:t>
      </w:r>
      <w:r>
        <w:rPr>
          <w:sz w:val="24"/>
        </w:rPr>
        <w:t>la</w:t>
      </w:r>
      <w:r>
        <w:rPr>
          <w:spacing w:val="40"/>
          <w:sz w:val="24"/>
        </w:rPr>
        <w:t> </w:t>
      </w:r>
      <w:r>
        <w:rPr>
          <w:sz w:val="24"/>
        </w:rPr>
        <w:t>participation</w:t>
      </w:r>
      <w:r>
        <w:rPr>
          <w:spacing w:val="40"/>
          <w:sz w:val="24"/>
        </w:rPr>
        <w:t> </w:t>
      </w:r>
      <w:r>
        <w:rPr>
          <w:sz w:val="24"/>
        </w:rPr>
        <w:t>de</w:t>
      </w:r>
      <w:r>
        <w:rPr>
          <w:spacing w:val="40"/>
          <w:sz w:val="24"/>
        </w:rPr>
        <w:t> </w:t>
      </w:r>
      <w:r>
        <w:rPr>
          <w:sz w:val="24"/>
        </w:rPr>
        <w:t>toutes</w:t>
      </w:r>
      <w:r>
        <w:rPr>
          <w:spacing w:val="40"/>
          <w:sz w:val="24"/>
        </w:rPr>
        <w:t> </w:t>
      </w:r>
      <w:r>
        <w:rPr>
          <w:sz w:val="24"/>
        </w:rPr>
        <w:t>les parties</w:t>
      </w:r>
      <w:r>
        <w:rPr>
          <w:spacing w:val="-2"/>
          <w:sz w:val="24"/>
        </w:rPr>
        <w:t> </w:t>
      </w:r>
      <w:r>
        <w:rPr>
          <w:sz w:val="24"/>
        </w:rPr>
        <w:t>prenantes. Pour</w:t>
      </w:r>
      <w:r>
        <w:rPr>
          <w:spacing w:val="-1"/>
          <w:sz w:val="24"/>
        </w:rPr>
        <w:t> </w:t>
      </w:r>
      <w:r>
        <w:rPr>
          <w:sz w:val="24"/>
        </w:rPr>
        <w:t>créer</w:t>
      </w:r>
      <w:r>
        <w:rPr>
          <w:spacing w:val="-1"/>
          <w:sz w:val="24"/>
        </w:rPr>
        <w:t> </w:t>
      </w:r>
      <w:r>
        <w:rPr>
          <w:sz w:val="24"/>
        </w:rPr>
        <w:t>cette</w:t>
      </w:r>
      <w:r>
        <w:rPr>
          <w:spacing w:val="-2"/>
          <w:sz w:val="24"/>
        </w:rPr>
        <w:t> </w:t>
      </w:r>
      <w:r>
        <w:rPr>
          <w:sz w:val="24"/>
        </w:rPr>
        <w:t>dynamique</w:t>
      </w:r>
      <w:r>
        <w:rPr>
          <w:spacing w:val="-2"/>
          <w:sz w:val="24"/>
        </w:rPr>
        <w:t> </w:t>
      </w:r>
      <w:r>
        <w:rPr>
          <w:sz w:val="24"/>
        </w:rPr>
        <w:t>autour</w:t>
      </w:r>
      <w:r>
        <w:rPr>
          <w:spacing w:val="-2"/>
          <w:sz w:val="24"/>
        </w:rPr>
        <w:t> </w:t>
      </w:r>
      <w:r>
        <w:rPr>
          <w:sz w:val="24"/>
        </w:rPr>
        <w:t>de la</w:t>
      </w:r>
      <w:r>
        <w:rPr>
          <w:spacing w:val="-2"/>
          <w:sz w:val="24"/>
        </w:rPr>
        <w:t> </w:t>
      </w:r>
      <w:r>
        <w:rPr>
          <w:sz w:val="24"/>
        </w:rPr>
        <w:t>Vision,</w:t>
      </w:r>
      <w:r>
        <w:rPr>
          <w:spacing w:val="-2"/>
          <w:sz w:val="24"/>
        </w:rPr>
        <w:t> </w:t>
      </w:r>
      <w:r>
        <w:rPr>
          <w:sz w:val="24"/>
        </w:rPr>
        <w:t>une</w:t>
      </w:r>
      <w:r>
        <w:rPr>
          <w:spacing w:val="-1"/>
          <w:sz w:val="24"/>
        </w:rPr>
        <w:t> </w:t>
      </w:r>
      <w:r>
        <w:rPr>
          <w:sz w:val="24"/>
        </w:rPr>
        <w:t>Stratégie</w:t>
      </w:r>
      <w:r>
        <w:rPr>
          <w:spacing w:val="-4"/>
          <w:sz w:val="24"/>
        </w:rPr>
        <w:t> </w:t>
      </w:r>
      <w:r>
        <w:rPr>
          <w:sz w:val="24"/>
        </w:rPr>
        <w:t>de communication a été élaborée afin d’améliorer et renforcer la participation de toutes les parties prenantes en vue d’atteindre le niveau de développement escompté.</w:t>
      </w:r>
    </w:p>
    <w:p>
      <w:pPr>
        <w:pStyle w:val="ListParagraph"/>
        <w:numPr>
          <w:ilvl w:val="1"/>
          <w:numId w:val="1"/>
        </w:numPr>
        <w:tabs>
          <w:tab w:pos="1493" w:val="left" w:leader="none"/>
          <w:tab w:pos="1837" w:val="left" w:leader="none"/>
        </w:tabs>
        <w:spacing w:line="240" w:lineRule="auto" w:before="199" w:after="0"/>
        <w:ind w:left="1493" w:right="1129" w:hanging="360"/>
        <w:jc w:val="both"/>
        <w:rPr>
          <w:sz w:val="24"/>
        </w:rPr>
      </w:pPr>
      <w:r>
        <w:rPr>
          <w:sz w:val="24"/>
        </w:rPr>
        <w:t>Par ailleurs, compte tenu de l’ampleur des projets structurants envisagés, la mise en œuvre de la Vision Mali 2063 implique la mobilisation des fonds intérieurs et extérieurs. La mobilisation des fonds dépend d’une bonne communication permanente, pertinente et cohérente du pays. Considérant que l’image du pays constitue un facteur d’attraction des Partenaires Techniques et Financiers ainsi que des</w:t>
      </w:r>
      <w:r>
        <w:rPr>
          <w:spacing w:val="-3"/>
          <w:sz w:val="24"/>
        </w:rPr>
        <w:t> </w:t>
      </w:r>
      <w:r>
        <w:rPr>
          <w:sz w:val="24"/>
        </w:rPr>
        <w:t>investisseurs,</w:t>
      </w:r>
      <w:r>
        <w:rPr>
          <w:spacing w:val="-3"/>
          <w:sz w:val="24"/>
        </w:rPr>
        <w:t> </w:t>
      </w:r>
      <w:r>
        <w:rPr>
          <w:sz w:val="24"/>
        </w:rPr>
        <w:t>cette</w:t>
      </w:r>
      <w:r>
        <w:rPr>
          <w:spacing w:val="-2"/>
          <w:sz w:val="24"/>
        </w:rPr>
        <w:t> </w:t>
      </w:r>
      <w:r>
        <w:rPr>
          <w:sz w:val="24"/>
        </w:rPr>
        <w:t>stratégie</w:t>
      </w:r>
      <w:r>
        <w:rPr>
          <w:spacing w:val="-2"/>
          <w:sz w:val="24"/>
        </w:rPr>
        <w:t> </w:t>
      </w:r>
      <w:r>
        <w:rPr>
          <w:sz w:val="24"/>
        </w:rPr>
        <w:t>compte</w:t>
      </w:r>
      <w:r>
        <w:rPr>
          <w:spacing w:val="-1"/>
          <w:sz w:val="24"/>
        </w:rPr>
        <w:t> </w:t>
      </w:r>
      <w:r>
        <w:rPr>
          <w:sz w:val="24"/>
        </w:rPr>
        <w:t>contribuer</w:t>
      </w:r>
      <w:r>
        <w:rPr>
          <w:spacing w:val="-2"/>
          <w:sz w:val="24"/>
        </w:rPr>
        <w:t> </w:t>
      </w:r>
      <w:r>
        <w:rPr>
          <w:sz w:val="24"/>
        </w:rPr>
        <w:t>à</w:t>
      </w:r>
      <w:r>
        <w:rPr>
          <w:spacing w:val="-2"/>
          <w:sz w:val="24"/>
        </w:rPr>
        <w:t> </w:t>
      </w:r>
      <w:r>
        <w:rPr>
          <w:sz w:val="24"/>
        </w:rPr>
        <w:t>redorer</w:t>
      </w:r>
      <w:r>
        <w:rPr>
          <w:spacing w:val="-2"/>
          <w:sz w:val="24"/>
        </w:rPr>
        <w:t> </w:t>
      </w:r>
      <w:r>
        <w:rPr>
          <w:sz w:val="24"/>
        </w:rPr>
        <w:t>davantage</w:t>
      </w:r>
      <w:r>
        <w:rPr>
          <w:spacing w:val="-2"/>
          <w:sz w:val="24"/>
        </w:rPr>
        <w:t> </w:t>
      </w:r>
      <w:r>
        <w:rPr>
          <w:sz w:val="24"/>
        </w:rPr>
        <w:t>l’image</w:t>
      </w:r>
      <w:r>
        <w:rPr>
          <w:spacing w:val="-2"/>
          <w:sz w:val="24"/>
        </w:rPr>
        <w:t> </w:t>
      </w:r>
      <w:r>
        <w:rPr>
          <w:sz w:val="24"/>
        </w:rPr>
        <w:t>du</w:t>
      </w:r>
      <w:r>
        <w:rPr>
          <w:spacing w:val="-4"/>
          <w:sz w:val="24"/>
        </w:rPr>
        <w:t> </w:t>
      </w:r>
      <w:r>
        <w:rPr>
          <w:sz w:val="24"/>
        </w:rPr>
        <w:t>pays</w:t>
      </w:r>
      <w:r>
        <w:rPr>
          <w:spacing w:val="-3"/>
          <w:sz w:val="24"/>
        </w:rPr>
        <w:t> </w:t>
      </w:r>
      <w:r>
        <w:rPr>
          <w:sz w:val="24"/>
        </w:rPr>
        <w:t>sur</w:t>
      </w:r>
      <w:r>
        <w:rPr>
          <w:spacing w:val="-2"/>
          <w:sz w:val="24"/>
        </w:rPr>
        <w:t> </w:t>
      </w:r>
      <w:r>
        <w:rPr>
          <w:sz w:val="24"/>
        </w:rPr>
        <w:t>la</w:t>
      </w:r>
      <w:r>
        <w:rPr>
          <w:spacing w:val="-2"/>
          <w:sz w:val="24"/>
        </w:rPr>
        <w:t> </w:t>
      </w:r>
      <w:r>
        <w:rPr>
          <w:sz w:val="24"/>
        </w:rPr>
        <w:t>scène nationale, sous régionale, régionale et internationale en combinant les techniques du marketing et celles de la communication pour le développement.</w:t>
      </w:r>
    </w:p>
    <w:p>
      <w:pPr>
        <w:pStyle w:val="ListParagraph"/>
        <w:spacing w:after="0" w:line="240" w:lineRule="auto"/>
        <w:jc w:val="both"/>
        <w:rPr>
          <w:sz w:val="24"/>
        </w:rPr>
        <w:sectPr>
          <w:pgSz w:w="11910" w:h="16840"/>
          <w:pgMar w:header="0" w:footer="680" w:top="1320" w:bottom="960" w:left="283" w:right="141"/>
        </w:sectPr>
      </w:pPr>
    </w:p>
    <w:p>
      <w:pPr>
        <w:spacing w:before="78" w:after="22"/>
        <w:ind w:left="5" w:right="0" w:firstLine="0"/>
        <w:jc w:val="center"/>
        <w:rPr>
          <w:b/>
          <w:sz w:val="32"/>
        </w:rPr>
      </w:pPr>
      <w:r>
        <w:rPr>
          <w:b/>
          <w:sz w:val="28"/>
        </w:rPr>
        <w:t>Annexe</w:t>
      </w:r>
      <w:r>
        <w:rPr>
          <w:b/>
          <w:spacing w:val="-8"/>
          <w:sz w:val="28"/>
        </w:rPr>
        <w:t> </w:t>
      </w:r>
      <w:r>
        <w:rPr>
          <w:b/>
          <w:sz w:val="28"/>
        </w:rPr>
        <w:t>:</w:t>
      </w:r>
      <w:r>
        <w:rPr>
          <w:b/>
          <w:spacing w:val="-7"/>
          <w:sz w:val="28"/>
        </w:rPr>
        <w:t> </w:t>
      </w:r>
      <w:r>
        <w:rPr>
          <w:b/>
          <w:sz w:val="28"/>
        </w:rPr>
        <w:t>Tableau</w:t>
      </w:r>
      <w:r>
        <w:rPr>
          <w:b/>
          <w:spacing w:val="-7"/>
          <w:sz w:val="28"/>
        </w:rPr>
        <w:t> </w:t>
      </w:r>
      <w:r>
        <w:rPr>
          <w:b/>
          <w:sz w:val="28"/>
        </w:rPr>
        <w:t>récapitulatif</w:t>
      </w:r>
      <w:r>
        <w:rPr>
          <w:b/>
          <w:spacing w:val="-6"/>
          <w:sz w:val="28"/>
        </w:rPr>
        <w:t> </w:t>
      </w:r>
      <w:r>
        <w:rPr>
          <w:b/>
          <w:sz w:val="28"/>
        </w:rPr>
        <w:t>des</w:t>
      </w:r>
      <w:r>
        <w:rPr>
          <w:b/>
          <w:spacing w:val="1"/>
          <w:sz w:val="28"/>
        </w:rPr>
        <w:t> </w:t>
      </w:r>
      <w:r>
        <w:rPr>
          <w:b/>
          <w:sz w:val="32"/>
        </w:rPr>
        <w:t>cibles</w:t>
      </w:r>
      <w:r>
        <w:rPr>
          <w:b/>
          <w:spacing w:val="-15"/>
          <w:sz w:val="32"/>
        </w:rPr>
        <w:t> </w:t>
      </w:r>
      <w:r>
        <w:rPr>
          <w:b/>
          <w:sz w:val="32"/>
        </w:rPr>
        <w:t>de</w:t>
      </w:r>
      <w:r>
        <w:rPr>
          <w:b/>
          <w:spacing w:val="-14"/>
          <w:sz w:val="32"/>
        </w:rPr>
        <w:t> </w:t>
      </w:r>
      <w:r>
        <w:rPr>
          <w:b/>
          <w:sz w:val="32"/>
        </w:rPr>
        <w:t>la</w:t>
      </w:r>
      <w:r>
        <w:rPr>
          <w:b/>
          <w:spacing w:val="-12"/>
          <w:sz w:val="32"/>
        </w:rPr>
        <w:t> </w:t>
      </w:r>
      <w:r>
        <w:rPr>
          <w:b/>
          <w:spacing w:val="-2"/>
          <w:sz w:val="32"/>
        </w:rPr>
        <w:t>Vison</w:t>
      </w:r>
    </w:p>
    <w:tbl>
      <w:tblPr>
        <w:tblW w:w="0" w:type="auto"/>
        <w:jc w:val="left"/>
        <w:tblInd w:w="1132" w:type="dxa"/>
        <w:tblBorders>
          <w:top w:val="single" w:sz="18" w:space="0" w:color="221F1F"/>
          <w:left w:val="single" w:sz="18" w:space="0" w:color="221F1F"/>
          <w:bottom w:val="single" w:sz="18" w:space="0" w:color="221F1F"/>
          <w:right w:val="single" w:sz="18" w:space="0" w:color="221F1F"/>
          <w:insideH w:val="single" w:sz="18" w:space="0" w:color="221F1F"/>
          <w:insideV w:val="single" w:sz="18" w:space="0" w:color="221F1F"/>
        </w:tblBorders>
        <w:tblLayout w:type="fixed"/>
        <w:tblCellMar>
          <w:top w:w="0" w:type="dxa"/>
          <w:left w:w="0" w:type="dxa"/>
          <w:bottom w:w="0" w:type="dxa"/>
          <w:right w:w="0" w:type="dxa"/>
        </w:tblCellMar>
        <w:tblLook w:val="01E0"/>
      </w:tblPr>
      <w:tblGrid>
        <w:gridCol w:w="420"/>
        <w:gridCol w:w="2360"/>
        <w:gridCol w:w="1215"/>
        <w:gridCol w:w="918"/>
        <w:gridCol w:w="774"/>
        <w:gridCol w:w="774"/>
        <w:gridCol w:w="1019"/>
        <w:gridCol w:w="1270"/>
        <w:gridCol w:w="1446"/>
      </w:tblGrid>
      <w:tr>
        <w:trPr>
          <w:trHeight w:val="521" w:hRule="atLeast"/>
        </w:trPr>
        <w:tc>
          <w:tcPr>
            <w:tcW w:w="420" w:type="dxa"/>
            <w:vMerge w:val="restart"/>
            <w:tcBorders>
              <w:bottom w:val="single" w:sz="8" w:space="0" w:color="221F1F"/>
              <w:right w:val="single" w:sz="8" w:space="0" w:color="221F1F"/>
            </w:tcBorders>
            <w:shd w:val="clear" w:color="auto" w:fill="BED7EB"/>
          </w:tcPr>
          <w:p>
            <w:pPr>
              <w:pStyle w:val="TableParagraph"/>
              <w:spacing w:before="147"/>
              <w:rPr>
                <w:b/>
                <w:sz w:val="22"/>
              </w:rPr>
            </w:pPr>
          </w:p>
          <w:p>
            <w:pPr>
              <w:pStyle w:val="TableParagraph"/>
              <w:ind w:left="126"/>
              <w:rPr>
                <w:b/>
                <w:sz w:val="22"/>
              </w:rPr>
            </w:pPr>
            <w:r>
              <w:rPr>
                <w:b/>
                <w:spacing w:val="-5"/>
                <w:sz w:val="22"/>
              </w:rPr>
              <w:t>N°</w:t>
            </w:r>
          </w:p>
        </w:tc>
        <w:tc>
          <w:tcPr>
            <w:tcW w:w="236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47"/>
              <w:rPr>
                <w:b/>
                <w:sz w:val="22"/>
              </w:rPr>
            </w:pPr>
          </w:p>
          <w:p>
            <w:pPr>
              <w:pStyle w:val="TableParagraph"/>
              <w:ind w:left="280"/>
              <w:rPr>
                <w:b/>
                <w:sz w:val="22"/>
              </w:rPr>
            </w:pPr>
            <w:r>
              <w:rPr>
                <w:b/>
                <w:w w:val="80"/>
                <w:sz w:val="22"/>
              </w:rPr>
              <w:t>Intitulé</w:t>
            </w:r>
            <w:r>
              <w:rPr>
                <w:b/>
                <w:spacing w:val="-9"/>
                <w:sz w:val="22"/>
              </w:rPr>
              <w:t> </w:t>
            </w:r>
            <w:r>
              <w:rPr>
                <w:b/>
                <w:w w:val="80"/>
                <w:sz w:val="22"/>
              </w:rPr>
              <w:t>de</w:t>
            </w:r>
            <w:r>
              <w:rPr>
                <w:b/>
                <w:spacing w:val="-9"/>
                <w:sz w:val="22"/>
              </w:rPr>
              <w:t> </w:t>
            </w:r>
            <w:r>
              <w:rPr>
                <w:b/>
                <w:spacing w:val="-2"/>
                <w:w w:val="80"/>
                <w:sz w:val="22"/>
              </w:rPr>
              <w:t>l’indicateur</w:t>
            </w:r>
          </w:p>
        </w:tc>
        <w:tc>
          <w:tcPr>
            <w:tcW w:w="1215"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5"/>
              <w:rPr>
                <w:b/>
                <w:sz w:val="22"/>
              </w:rPr>
            </w:pPr>
          </w:p>
          <w:p>
            <w:pPr>
              <w:pStyle w:val="TableParagraph"/>
              <w:spacing w:line="252" w:lineRule="auto"/>
              <w:ind w:left="114" w:right="75" w:firstLine="228"/>
              <w:rPr>
                <w:b/>
                <w:sz w:val="22"/>
              </w:rPr>
            </w:pPr>
            <w:r>
              <w:rPr>
                <w:b/>
                <w:w w:val="90"/>
                <w:sz w:val="22"/>
              </w:rPr>
              <w:t>Valeur de </w:t>
            </w:r>
            <w:r>
              <w:rPr>
                <w:b/>
                <w:w w:val="75"/>
                <w:sz w:val="22"/>
              </w:rPr>
              <w:t>référence</w:t>
            </w:r>
            <w:r>
              <w:rPr>
                <w:b/>
                <w:spacing w:val="21"/>
                <w:sz w:val="22"/>
              </w:rPr>
              <w:t> </w:t>
            </w:r>
            <w:r>
              <w:rPr>
                <w:b/>
                <w:spacing w:val="-4"/>
                <w:w w:val="80"/>
                <w:sz w:val="22"/>
              </w:rPr>
              <w:t>2023</w:t>
            </w:r>
          </w:p>
        </w:tc>
        <w:tc>
          <w:tcPr>
            <w:tcW w:w="3485" w:type="dxa"/>
            <w:gridSpan w:val="4"/>
            <w:tcBorders>
              <w:left w:val="single" w:sz="8" w:space="0" w:color="221F1F"/>
              <w:bottom w:val="single" w:sz="8" w:space="0" w:color="221F1F"/>
              <w:right w:val="single" w:sz="8" w:space="0" w:color="221F1F"/>
            </w:tcBorders>
            <w:shd w:val="clear" w:color="auto" w:fill="0066B3"/>
          </w:tcPr>
          <w:p>
            <w:pPr>
              <w:pStyle w:val="TableParagraph"/>
              <w:spacing w:before="189"/>
              <w:ind w:left="1021"/>
              <w:rPr>
                <w:b/>
                <w:sz w:val="22"/>
              </w:rPr>
            </w:pPr>
            <w:r>
              <w:rPr>
                <w:b/>
                <w:w w:val="75"/>
                <w:sz w:val="22"/>
              </w:rPr>
              <w:t>Valeur</w:t>
            </w:r>
            <w:r>
              <w:rPr>
                <w:b/>
                <w:spacing w:val="14"/>
                <w:sz w:val="22"/>
              </w:rPr>
              <w:t> </w:t>
            </w:r>
            <w:r>
              <w:rPr>
                <w:b/>
                <w:spacing w:val="-4"/>
                <w:w w:val="95"/>
                <w:sz w:val="22"/>
              </w:rPr>
              <w:t>cible</w:t>
            </w:r>
          </w:p>
        </w:tc>
        <w:tc>
          <w:tcPr>
            <w:tcW w:w="127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5"/>
              <w:rPr>
                <w:b/>
                <w:sz w:val="22"/>
              </w:rPr>
            </w:pPr>
          </w:p>
          <w:p>
            <w:pPr>
              <w:pStyle w:val="TableParagraph"/>
              <w:spacing w:line="252" w:lineRule="auto"/>
              <w:ind w:left="169" w:right="285" w:firstLine="55"/>
              <w:rPr>
                <w:b/>
                <w:sz w:val="22"/>
              </w:rPr>
            </w:pPr>
            <w:r>
              <w:rPr>
                <w:b/>
                <w:spacing w:val="-2"/>
                <w:w w:val="85"/>
                <w:sz w:val="22"/>
              </w:rPr>
              <w:t>Source</w:t>
            </w:r>
            <w:r>
              <w:rPr>
                <w:b/>
                <w:spacing w:val="-5"/>
                <w:w w:val="85"/>
                <w:sz w:val="22"/>
              </w:rPr>
              <w:t> </w:t>
            </w:r>
            <w:r>
              <w:rPr>
                <w:b/>
                <w:spacing w:val="-2"/>
                <w:w w:val="85"/>
                <w:sz w:val="22"/>
              </w:rPr>
              <w:t>de </w:t>
            </w:r>
            <w:r>
              <w:rPr>
                <w:b/>
                <w:spacing w:val="-2"/>
                <w:w w:val="80"/>
                <w:sz w:val="22"/>
              </w:rPr>
              <w:t>Vérification</w:t>
            </w:r>
          </w:p>
        </w:tc>
        <w:tc>
          <w:tcPr>
            <w:tcW w:w="1446" w:type="dxa"/>
            <w:vMerge w:val="restart"/>
            <w:tcBorders>
              <w:left w:val="single" w:sz="8" w:space="0" w:color="221F1F"/>
              <w:bottom w:val="single" w:sz="8" w:space="0" w:color="221F1F"/>
            </w:tcBorders>
            <w:shd w:val="clear" w:color="auto" w:fill="0066B3"/>
          </w:tcPr>
          <w:p>
            <w:pPr>
              <w:pStyle w:val="TableParagraph"/>
              <w:spacing w:before="15"/>
              <w:rPr>
                <w:b/>
                <w:sz w:val="22"/>
              </w:rPr>
            </w:pPr>
          </w:p>
          <w:p>
            <w:pPr>
              <w:pStyle w:val="TableParagraph"/>
              <w:spacing w:line="252" w:lineRule="auto"/>
              <w:ind w:left="207" w:firstLine="129"/>
              <w:rPr>
                <w:b/>
                <w:sz w:val="22"/>
              </w:rPr>
            </w:pPr>
            <w:r>
              <w:rPr>
                <w:b/>
                <w:spacing w:val="-4"/>
                <w:w w:val="90"/>
                <w:sz w:val="22"/>
              </w:rPr>
              <w:t>Structure </w:t>
            </w:r>
            <w:r>
              <w:rPr>
                <w:b/>
                <w:spacing w:val="-2"/>
                <w:w w:val="75"/>
                <w:sz w:val="22"/>
              </w:rPr>
              <w:t>responsable</w:t>
            </w:r>
          </w:p>
        </w:tc>
      </w:tr>
      <w:tr>
        <w:trPr>
          <w:trHeight w:val="402" w:hRule="atLeast"/>
        </w:trPr>
        <w:tc>
          <w:tcPr>
            <w:tcW w:w="420" w:type="dxa"/>
            <w:vMerge/>
            <w:tcBorders>
              <w:top w:val="nil"/>
              <w:bottom w:val="single" w:sz="8" w:space="0" w:color="221F1F"/>
              <w:right w:val="single" w:sz="8" w:space="0" w:color="221F1F"/>
            </w:tcBorders>
            <w:shd w:val="clear" w:color="auto" w:fill="BED7EB"/>
          </w:tcPr>
          <w:p>
            <w:pPr>
              <w:rPr>
                <w:sz w:val="2"/>
                <w:szCs w:val="2"/>
              </w:rPr>
            </w:pPr>
          </w:p>
        </w:tc>
        <w:tc>
          <w:tcPr>
            <w:tcW w:w="236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215"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918"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133" w:right="64"/>
              <w:jc w:val="center"/>
              <w:rPr>
                <w:b/>
                <w:sz w:val="22"/>
              </w:rPr>
            </w:pPr>
            <w:r>
              <w:rPr>
                <w:b/>
                <w:spacing w:val="-4"/>
                <w:sz w:val="22"/>
              </w:rPr>
              <w:t>2033</w:t>
            </w:r>
          </w:p>
        </w:tc>
        <w:tc>
          <w:tcPr>
            <w:tcW w:w="774"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77"/>
              <w:jc w:val="center"/>
              <w:rPr>
                <w:b/>
                <w:sz w:val="22"/>
              </w:rPr>
            </w:pPr>
            <w:r>
              <w:rPr>
                <w:b/>
                <w:spacing w:val="-4"/>
                <w:sz w:val="22"/>
              </w:rPr>
              <w:t>2043</w:t>
            </w:r>
          </w:p>
        </w:tc>
        <w:tc>
          <w:tcPr>
            <w:tcW w:w="774"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74"/>
              <w:jc w:val="center"/>
              <w:rPr>
                <w:b/>
                <w:sz w:val="22"/>
              </w:rPr>
            </w:pPr>
            <w:r>
              <w:rPr>
                <w:b/>
                <w:spacing w:val="-4"/>
                <w:sz w:val="22"/>
              </w:rPr>
              <w:t>2053</w:t>
            </w:r>
          </w:p>
        </w:tc>
        <w:tc>
          <w:tcPr>
            <w:tcW w:w="1019"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141" w:right="69"/>
              <w:jc w:val="center"/>
              <w:rPr>
                <w:b/>
                <w:sz w:val="22"/>
              </w:rPr>
            </w:pPr>
            <w:r>
              <w:rPr>
                <w:b/>
                <w:spacing w:val="-4"/>
                <w:sz w:val="22"/>
              </w:rPr>
              <w:t>2063</w:t>
            </w:r>
          </w:p>
        </w:tc>
        <w:tc>
          <w:tcPr>
            <w:tcW w:w="127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446" w:type="dxa"/>
            <w:vMerge/>
            <w:tcBorders>
              <w:top w:val="nil"/>
              <w:left w:val="single" w:sz="8" w:space="0" w:color="221F1F"/>
              <w:bottom w:val="single" w:sz="8" w:space="0" w:color="221F1F"/>
            </w:tcBorders>
            <w:shd w:val="clear" w:color="auto" w:fill="0066B3"/>
          </w:tcPr>
          <w:p>
            <w:pPr>
              <w:rPr>
                <w:sz w:val="2"/>
                <w:szCs w:val="2"/>
              </w:rPr>
            </w:pPr>
          </w:p>
        </w:tc>
      </w:tr>
      <w:tr>
        <w:trPr>
          <w:trHeight w:val="546"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0"/>
              <w:ind w:left="93"/>
              <w:jc w:val="center"/>
              <w:rPr>
                <w:b/>
                <w:sz w:val="22"/>
              </w:rPr>
            </w:pPr>
            <w:r>
              <w:rPr>
                <w:b/>
                <w:spacing w:val="-10"/>
                <w:sz w:val="22"/>
              </w:rPr>
              <w:t>1</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69"/>
              <w:ind w:left="100"/>
              <w:rPr>
                <w:sz w:val="22"/>
              </w:rPr>
            </w:pPr>
            <w:r>
              <w:rPr>
                <w:w w:val="75"/>
                <w:sz w:val="22"/>
              </w:rPr>
              <w:t>Croissance</w:t>
            </w:r>
            <w:r>
              <w:rPr>
                <w:spacing w:val="6"/>
                <w:sz w:val="22"/>
              </w:rPr>
              <w:t> </w:t>
            </w:r>
            <w:r>
              <w:rPr>
                <w:w w:val="75"/>
                <w:sz w:val="22"/>
              </w:rPr>
              <w:t>du</w:t>
            </w:r>
            <w:r>
              <w:rPr>
                <w:spacing w:val="9"/>
                <w:sz w:val="22"/>
              </w:rPr>
              <w:t> </w:t>
            </w:r>
            <w:r>
              <w:rPr>
                <w:w w:val="75"/>
                <w:sz w:val="22"/>
              </w:rPr>
              <w:t>PIB</w:t>
            </w:r>
            <w:r>
              <w:rPr>
                <w:spacing w:val="5"/>
                <w:sz w:val="22"/>
              </w:rPr>
              <w:t> </w:t>
            </w:r>
            <w:r>
              <w:rPr>
                <w:w w:val="75"/>
                <w:sz w:val="22"/>
              </w:rPr>
              <w:t>(%)</w:t>
            </w:r>
            <w:r>
              <w:rPr>
                <w:spacing w:val="12"/>
                <w:sz w:val="22"/>
              </w:rPr>
              <w:t> </w:t>
            </w:r>
            <w:r>
              <w:rPr>
                <w:spacing w:val="-4"/>
                <w:w w:val="75"/>
                <w:sz w:val="22"/>
              </w:rPr>
              <w:t>TCAM</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208"/>
              <w:ind w:left="143" w:right="66"/>
              <w:jc w:val="center"/>
              <w:rPr>
                <w:sz w:val="22"/>
              </w:rPr>
            </w:pPr>
            <w:r>
              <w:rPr>
                <w:spacing w:val="-5"/>
                <w:sz w:val="22"/>
              </w:rPr>
              <w:t>4,9</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08"/>
              <w:ind w:left="133" w:right="60"/>
              <w:jc w:val="center"/>
              <w:rPr>
                <w:sz w:val="22"/>
              </w:rPr>
            </w:pPr>
            <w:r>
              <w:rPr>
                <w:spacing w:val="-2"/>
                <w:sz w:val="22"/>
              </w:rPr>
              <w:t>11,9%</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08"/>
              <w:ind w:left="77"/>
              <w:jc w:val="center"/>
              <w:rPr>
                <w:sz w:val="22"/>
              </w:rPr>
            </w:pPr>
            <w:r>
              <w:rPr>
                <w:spacing w:val="-5"/>
                <w:sz w:val="22"/>
              </w:rPr>
              <w:t>10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08"/>
              <w:ind w:left="74"/>
              <w:jc w:val="center"/>
              <w:rPr>
                <w:sz w:val="22"/>
              </w:rPr>
            </w:pPr>
            <w:r>
              <w:rPr>
                <w:spacing w:val="-5"/>
                <w:sz w:val="22"/>
              </w:rPr>
              <w:t>10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08"/>
              <w:ind w:left="141" w:right="69"/>
              <w:jc w:val="center"/>
              <w:rPr>
                <w:sz w:val="22"/>
              </w:rPr>
            </w:pPr>
            <w:r>
              <w:rPr>
                <w:spacing w:val="-5"/>
                <w:sz w:val="22"/>
              </w:rPr>
              <w:t>10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08"/>
              <w:ind w:left="193"/>
              <w:rPr>
                <w:sz w:val="22"/>
              </w:rPr>
            </w:pPr>
            <w:r>
              <w:rPr>
                <w:spacing w:val="-2"/>
                <w:w w:val="85"/>
                <w:sz w:val="22"/>
              </w:rPr>
              <w:t>INSTAT/DNPD</w:t>
            </w:r>
          </w:p>
        </w:tc>
        <w:tc>
          <w:tcPr>
            <w:tcW w:w="1446" w:type="dxa"/>
            <w:tcBorders>
              <w:top w:val="single" w:sz="8" w:space="0" w:color="221F1F"/>
              <w:left w:val="single" w:sz="8" w:space="0" w:color="221F1F"/>
              <w:bottom w:val="single" w:sz="8" w:space="0" w:color="221F1F"/>
            </w:tcBorders>
          </w:tcPr>
          <w:p>
            <w:pPr>
              <w:pStyle w:val="TableParagraph"/>
              <w:spacing w:before="208"/>
              <w:ind w:right="143"/>
              <w:jc w:val="right"/>
              <w:rPr>
                <w:sz w:val="22"/>
              </w:rPr>
            </w:pPr>
            <w:r>
              <w:rPr>
                <w:spacing w:val="-2"/>
                <w:sz w:val="22"/>
              </w:rPr>
              <w:t>INSTAT/DNPD</w:t>
            </w:r>
          </w:p>
        </w:tc>
      </w:tr>
      <w:tr>
        <w:trPr>
          <w:trHeight w:val="791"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jc w:val="center"/>
              <w:rPr>
                <w:b/>
                <w:sz w:val="22"/>
              </w:rPr>
            </w:pPr>
            <w:r>
              <w:rPr>
                <w:b/>
                <w:spacing w:val="-10"/>
                <w:sz w:val="22"/>
              </w:rPr>
              <w:t>2</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76"/>
              <w:ind w:left="100"/>
              <w:rPr>
                <w:sz w:val="22"/>
              </w:rPr>
            </w:pPr>
            <w:r>
              <w:rPr>
                <w:w w:val="80"/>
                <w:sz w:val="22"/>
              </w:rPr>
              <w:t>Taux</w:t>
            </w:r>
            <w:r>
              <w:rPr>
                <w:spacing w:val="-3"/>
                <w:w w:val="80"/>
                <w:sz w:val="22"/>
              </w:rPr>
              <w:t> </w:t>
            </w:r>
            <w:r>
              <w:rPr>
                <w:w w:val="80"/>
                <w:sz w:val="22"/>
              </w:rPr>
              <w:t>d’investissement</w:t>
            </w:r>
            <w:r>
              <w:rPr>
                <w:spacing w:val="-7"/>
                <w:sz w:val="22"/>
              </w:rPr>
              <w:t> </w:t>
            </w:r>
            <w:r>
              <w:rPr>
                <w:w w:val="80"/>
                <w:sz w:val="22"/>
              </w:rPr>
              <w:t>global</w:t>
            </w:r>
            <w:r>
              <w:rPr>
                <w:spacing w:val="-7"/>
                <w:sz w:val="22"/>
              </w:rPr>
              <w:t> </w:t>
            </w:r>
            <w:r>
              <w:rPr>
                <w:spacing w:val="-5"/>
                <w:w w:val="80"/>
                <w:sz w:val="22"/>
              </w:rPr>
              <w:t>(en</w:t>
            </w:r>
          </w:p>
          <w:p>
            <w:pPr>
              <w:pStyle w:val="TableParagraph"/>
              <w:spacing w:before="29"/>
              <w:ind w:left="100"/>
              <w:rPr>
                <w:sz w:val="22"/>
              </w:rPr>
            </w:pPr>
            <w:r>
              <w:rPr>
                <w:w w:val="85"/>
                <w:sz w:val="22"/>
              </w:rPr>
              <w:t>%</w:t>
            </w:r>
            <w:r>
              <w:rPr>
                <w:spacing w:val="-1"/>
                <w:w w:val="85"/>
                <w:sz w:val="22"/>
              </w:rPr>
              <w:t> </w:t>
            </w:r>
            <w:r>
              <w:rPr>
                <w:w w:val="85"/>
                <w:sz w:val="22"/>
              </w:rPr>
              <w:t>du</w:t>
            </w:r>
            <w:r>
              <w:rPr>
                <w:spacing w:val="-8"/>
                <w:sz w:val="22"/>
              </w:rPr>
              <w:t> </w:t>
            </w:r>
            <w:r>
              <w:rPr>
                <w:spacing w:val="-4"/>
                <w:w w:val="85"/>
                <w:sz w:val="22"/>
              </w:rPr>
              <w:t>PIB)</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45"/>
              <w:rPr>
                <w:b/>
                <w:sz w:val="22"/>
              </w:rPr>
            </w:pPr>
          </w:p>
          <w:p>
            <w:pPr>
              <w:pStyle w:val="TableParagraph"/>
              <w:spacing w:before="1"/>
              <w:ind w:left="143" w:right="99"/>
              <w:jc w:val="center"/>
              <w:rPr>
                <w:sz w:val="22"/>
              </w:rPr>
            </w:pPr>
            <w:r>
              <w:rPr>
                <w:spacing w:val="-4"/>
                <w:sz w:val="22"/>
              </w:rPr>
              <w:t>24,6</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35"/>
              <w:rPr>
                <w:b/>
                <w:sz w:val="22"/>
              </w:rPr>
            </w:pPr>
          </w:p>
          <w:p>
            <w:pPr>
              <w:pStyle w:val="TableParagraph"/>
              <w:ind w:left="133" w:right="91"/>
              <w:jc w:val="center"/>
              <w:rPr>
                <w:sz w:val="22"/>
              </w:rPr>
            </w:pPr>
            <w:r>
              <w:rPr>
                <w:spacing w:val="-4"/>
                <w:sz w:val="22"/>
              </w:rPr>
              <w:t>19,7</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24"/>
              <w:rPr>
                <w:b/>
                <w:sz w:val="22"/>
              </w:rPr>
            </w:pPr>
          </w:p>
          <w:p>
            <w:pPr>
              <w:pStyle w:val="TableParagraph"/>
              <w:ind w:left="81"/>
              <w:jc w:val="center"/>
              <w:rPr>
                <w:sz w:val="22"/>
              </w:rPr>
            </w:pPr>
            <w:r>
              <w:rPr>
                <w:spacing w:val="-4"/>
                <w:sz w:val="22"/>
              </w:rPr>
              <w:t>41,2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24"/>
              <w:rPr>
                <w:b/>
                <w:sz w:val="22"/>
              </w:rPr>
            </w:pPr>
          </w:p>
          <w:p>
            <w:pPr>
              <w:pStyle w:val="TableParagraph"/>
              <w:ind w:left="78"/>
              <w:jc w:val="center"/>
              <w:rPr>
                <w:sz w:val="22"/>
              </w:rPr>
            </w:pPr>
            <w:r>
              <w:rPr>
                <w:spacing w:val="-4"/>
                <w:sz w:val="22"/>
              </w:rPr>
              <w:t>51,3</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24"/>
              <w:rPr>
                <w:b/>
                <w:sz w:val="22"/>
              </w:rPr>
            </w:pPr>
          </w:p>
          <w:p>
            <w:pPr>
              <w:pStyle w:val="TableParagraph"/>
              <w:ind w:left="141" w:right="65"/>
              <w:jc w:val="center"/>
              <w:rPr>
                <w:sz w:val="22"/>
              </w:rPr>
            </w:pPr>
            <w:r>
              <w:rPr>
                <w:spacing w:val="-4"/>
                <w:sz w:val="22"/>
              </w:rPr>
              <w:t>61,8</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24"/>
              <w:rPr>
                <w:b/>
                <w:sz w:val="22"/>
              </w:rPr>
            </w:pPr>
          </w:p>
          <w:p>
            <w:pPr>
              <w:pStyle w:val="TableParagraph"/>
              <w:ind w:left="381"/>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216"/>
              <w:ind w:left="457"/>
              <w:rPr>
                <w:sz w:val="22"/>
              </w:rPr>
            </w:pPr>
            <w:r>
              <w:rPr>
                <w:spacing w:val="-2"/>
                <w:sz w:val="22"/>
              </w:rPr>
              <w:t>INSTAT</w:t>
            </w:r>
          </w:p>
        </w:tc>
      </w:tr>
      <w:tr>
        <w:trPr>
          <w:trHeight w:val="832"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jc w:val="center"/>
              <w:rPr>
                <w:b/>
                <w:sz w:val="22"/>
              </w:rPr>
            </w:pPr>
            <w:r>
              <w:rPr>
                <w:b/>
                <w:spacing w:val="-10"/>
                <w:sz w:val="22"/>
              </w:rPr>
              <w:t>3</w:t>
            </w:r>
          </w:p>
        </w:tc>
        <w:tc>
          <w:tcPr>
            <w:tcW w:w="7060" w:type="dxa"/>
            <w:gridSpan w:val="6"/>
            <w:tcBorders>
              <w:top w:val="single" w:sz="8" w:space="0" w:color="221F1F"/>
              <w:left w:val="single" w:sz="8" w:space="0" w:color="221F1F"/>
              <w:bottom w:val="single" w:sz="8" w:space="0" w:color="221F1F"/>
              <w:right w:val="single" w:sz="8" w:space="0" w:color="221F1F"/>
            </w:tcBorders>
          </w:tcPr>
          <w:p>
            <w:pPr>
              <w:pStyle w:val="TableParagraph"/>
              <w:spacing w:before="216"/>
              <w:ind w:left="1902"/>
              <w:rPr>
                <w:b/>
                <w:sz w:val="22"/>
              </w:rPr>
            </w:pPr>
            <w:r>
              <w:rPr>
                <w:b/>
                <w:w w:val="80"/>
                <w:sz w:val="22"/>
              </w:rPr>
              <w:t>Structure</w:t>
            </w:r>
            <w:r>
              <w:rPr>
                <w:b/>
                <w:spacing w:val="-8"/>
                <w:sz w:val="22"/>
              </w:rPr>
              <w:t> </w:t>
            </w:r>
            <w:r>
              <w:rPr>
                <w:b/>
                <w:w w:val="80"/>
                <w:sz w:val="22"/>
              </w:rPr>
              <w:t>du</w:t>
            </w:r>
            <w:r>
              <w:rPr>
                <w:b/>
                <w:spacing w:val="-10"/>
                <w:sz w:val="22"/>
              </w:rPr>
              <w:t> </w:t>
            </w:r>
            <w:r>
              <w:rPr>
                <w:b/>
                <w:w w:val="80"/>
                <w:sz w:val="22"/>
              </w:rPr>
              <w:t>PIB</w:t>
            </w:r>
            <w:r>
              <w:rPr>
                <w:b/>
                <w:spacing w:val="-8"/>
                <w:sz w:val="22"/>
              </w:rPr>
              <w:t> </w:t>
            </w:r>
            <w:r>
              <w:rPr>
                <w:b/>
                <w:w w:val="80"/>
                <w:sz w:val="22"/>
              </w:rPr>
              <w:t>(Part</w:t>
            </w:r>
            <w:r>
              <w:rPr>
                <w:b/>
                <w:spacing w:val="-1"/>
                <w:w w:val="80"/>
                <w:sz w:val="22"/>
              </w:rPr>
              <w:t> </w:t>
            </w:r>
            <w:r>
              <w:rPr>
                <w:b/>
                <w:w w:val="80"/>
                <w:sz w:val="22"/>
              </w:rPr>
              <w:t>des</w:t>
            </w:r>
            <w:r>
              <w:rPr>
                <w:b/>
                <w:spacing w:val="-10"/>
                <w:sz w:val="22"/>
              </w:rPr>
              <w:t> </w:t>
            </w:r>
            <w:r>
              <w:rPr>
                <w:b/>
                <w:w w:val="80"/>
                <w:sz w:val="22"/>
              </w:rPr>
              <w:t>secteurs</w:t>
            </w:r>
            <w:r>
              <w:rPr>
                <w:b/>
                <w:spacing w:val="-8"/>
                <w:sz w:val="22"/>
              </w:rPr>
              <w:t> </w:t>
            </w:r>
            <w:r>
              <w:rPr>
                <w:b/>
                <w:w w:val="80"/>
                <w:sz w:val="22"/>
              </w:rPr>
              <w:t>dans</w:t>
            </w:r>
            <w:r>
              <w:rPr>
                <w:b/>
                <w:spacing w:val="-8"/>
                <w:sz w:val="22"/>
              </w:rPr>
              <w:t> </w:t>
            </w:r>
            <w:r>
              <w:rPr>
                <w:b/>
                <w:w w:val="80"/>
                <w:sz w:val="22"/>
              </w:rPr>
              <w:t>le</w:t>
            </w:r>
            <w:r>
              <w:rPr>
                <w:b/>
                <w:spacing w:val="-10"/>
                <w:sz w:val="22"/>
              </w:rPr>
              <w:t> </w:t>
            </w:r>
            <w:r>
              <w:rPr>
                <w:b/>
                <w:spacing w:val="-4"/>
                <w:w w:val="80"/>
                <w:sz w:val="22"/>
              </w:rPr>
              <w:t>PIB)</w:t>
            </w:r>
          </w:p>
        </w:tc>
        <w:tc>
          <w:tcPr>
            <w:tcW w:w="1270" w:type="dxa"/>
            <w:tcBorders>
              <w:top w:val="single" w:sz="8" w:space="0" w:color="221F1F"/>
              <w:left w:val="single" w:sz="8" w:space="0" w:color="221F1F"/>
              <w:right w:val="single" w:sz="8" w:space="0" w:color="221F1F"/>
            </w:tcBorders>
          </w:tcPr>
          <w:p>
            <w:pPr>
              <w:pStyle w:val="TableParagraph"/>
              <w:rPr>
                <w:b/>
                <w:sz w:val="22"/>
              </w:rPr>
            </w:pPr>
          </w:p>
          <w:p>
            <w:pPr>
              <w:pStyle w:val="TableParagraph"/>
              <w:spacing w:before="88"/>
              <w:rPr>
                <w:b/>
                <w:sz w:val="22"/>
              </w:rPr>
            </w:pPr>
          </w:p>
          <w:p>
            <w:pPr>
              <w:pStyle w:val="TableParagraph"/>
              <w:spacing w:line="219" w:lineRule="exact"/>
              <w:ind w:left="532"/>
              <w:rPr>
                <w:sz w:val="22"/>
              </w:rPr>
            </w:pPr>
            <w:r>
              <w:rPr>
                <w:spacing w:val="-2"/>
                <w:sz w:val="22"/>
              </w:rPr>
              <w:t>Rapport</w:t>
            </w:r>
          </w:p>
        </w:tc>
        <w:tc>
          <w:tcPr>
            <w:tcW w:w="1446" w:type="dxa"/>
            <w:tcBorders>
              <w:top w:val="single" w:sz="8" w:space="0" w:color="221F1F"/>
              <w:left w:val="single" w:sz="8" w:space="0" w:color="221F1F"/>
            </w:tcBorders>
          </w:tcPr>
          <w:p>
            <w:pPr>
              <w:pStyle w:val="TableParagraph"/>
              <w:rPr>
                <w:b/>
                <w:sz w:val="22"/>
              </w:rPr>
            </w:pPr>
          </w:p>
          <w:p>
            <w:pPr>
              <w:pStyle w:val="TableParagraph"/>
              <w:spacing w:before="88"/>
              <w:rPr>
                <w:b/>
                <w:sz w:val="22"/>
              </w:rPr>
            </w:pPr>
          </w:p>
          <w:p>
            <w:pPr>
              <w:pStyle w:val="TableParagraph"/>
              <w:spacing w:line="219" w:lineRule="exact"/>
              <w:ind w:right="193"/>
              <w:jc w:val="right"/>
              <w:rPr>
                <w:sz w:val="22"/>
              </w:rPr>
            </w:pPr>
            <w:r>
              <w:rPr>
                <w:spacing w:val="-2"/>
                <w:sz w:val="22"/>
              </w:rPr>
              <w:t>INSTAT</w:t>
            </w:r>
          </w:p>
        </w:tc>
      </w:tr>
      <w:tr>
        <w:trPr>
          <w:trHeight w:val="500"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rPr>
                <w:rFonts w:ascii="Times New Roman"/>
                <w:sz w:val="18"/>
              </w:rPr>
            </w:pP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49"/>
              <w:ind w:left="100"/>
              <w:rPr>
                <w:sz w:val="22"/>
              </w:rPr>
            </w:pPr>
            <w:r>
              <w:rPr>
                <w:w w:val="80"/>
                <w:sz w:val="22"/>
              </w:rPr>
              <w:t>-</w:t>
            </w:r>
            <w:r>
              <w:rPr>
                <w:spacing w:val="-9"/>
                <w:sz w:val="22"/>
              </w:rPr>
              <w:t> </w:t>
            </w:r>
            <w:r>
              <w:rPr>
                <w:w w:val="80"/>
                <w:sz w:val="22"/>
              </w:rPr>
              <w:t>Secteur</w:t>
            </w:r>
            <w:r>
              <w:rPr>
                <w:spacing w:val="-5"/>
                <w:sz w:val="22"/>
              </w:rPr>
              <w:t> </w:t>
            </w:r>
            <w:r>
              <w:rPr>
                <w:spacing w:val="-2"/>
                <w:w w:val="80"/>
                <w:sz w:val="22"/>
              </w:rPr>
              <w:t>primaire</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49"/>
              <w:ind w:left="143" w:right="64"/>
              <w:jc w:val="center"/>
              <w:rPr>
                <w:sz w:val="22"/>
              </w:rPr>
            </w:pPr>
            <w:r>
              <w:rPr>
                <w:spacing w:val="-4"/>
                <w:sz w:val="22"/>
              </w:rPr>
              <w:t>35,6</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49"/>
              <w:ind w:left="133" w:right="60"/>
              <w:jc w:val="center"/>
              <w:rPr>
                <w:sz w:val="22"/>
              </w:rPr>
            </w:pPr>
            <w:r>
              <w:rPr>
                <w:spacing w:val="-4"/>
                <w:sz w:val="22"/>
              </w:rPr>
              <w:t>30,8</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49"/>
              <w:ind w:left="81"/>
              <w:jc w:val="center"/>
              <w:rPr>
                <w:sz w:val="22"/>
              </w:rPr>
            </w:pPr>
            <w:r>
              <w:rPr>
                <w:spacing w:val="-4"/>
                <w:sz w:val="22"/>
              </w:rPr>
              <w:t>25,8</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49"/>
              <w:ind w:left="78"/>
              <w:jc w:val="center"/>
              <w:rPr>
                <w:sz w:val="22"/>
              </w:rPr>
            </w:pPr>
            <w:r>
              <w:rPr>
                <w:spacing w:val="-4"/>
                <w:sz w:val="22"/>
              </w:rPr>
              <w:t>20,8</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49"/>
              <w:ind w:left="141" w:right="60"/>
              <w:jc w:val="center"/>
              <w:rPr>
                <w:sz w:val="22"/>
              </w:rPr>
            </w:pPr>
            <w:r>
              <w:rPr>
                <w:spacing w:val="-4"/>
                <w:sz w:val="22"/>
              </w:rPr>
              <w:t>15,8</w:t>
            </w:r>
          </w:p>
        </w:tc>
        <w:tc>
          <w:tcPr>
            <w:tcW w:w="1270" w:type="dxa"/>
            <w:vMerge w:val="restart"/>
            <w:tcBorders>
              <w:left w:val="single" w:sz="8" w:space="0" w:color="221F1F"/>
              <w:bottom w:val="single" w:sz="8" w:space="0" w:color="221F1F"/>
              <w:right w:val="single" w:sz="8" w:space="0" w:color="221F1F"/>
            </w:tcBorders>
          </w:tcPr>
          <w:p>
            <w:pPr>
              <w:pStyle w:val="TableParagraph"/>
              <w:rPr>
                <w:rFonts w:ascii="Times New Roman"/>
                <w:sz w:val="18"/>
              </w:rPr>
            </w:pPr>
          </w:p>
        </w:tc>
        <w:tc>
          <w:tcPr>
            <w:tcW w:w="1446" w:type="dxa"/>
            <w:vMerge w:val="restart"/>
            <w:tcBorders>
              <w:left w:val="single" w:sz="8" w:space="0" w:color="221F1F"/>
              <w:bottom w:val="single" w:sz="8" w:space="0" w:color="221F1F"/>
            </w:tcBorders>
          </w:tcPr>
          <w:p>
            <w:pPr>
              <w:pStyle w:val="TableParagraph"/>
              <w:rPr>
                <w:rFonts w:ascii="Times New Roman"/>
                <w:sz w:val="18"/>
              </w:rPr>
            </w:pPr>
          </w:p>
        </w:tc>
      </w:tr>
      <w:tr>
        <w:trPr>
          <w:trHeight w:val="515"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rPr>
                <w:rFonts w:ascii="Times New Roman"/>
                <w:sz w:val="18"/>
              </w:rPr>
            </w:pP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62"/>
              <w:ind w:left="100"/>
              <w:rPr>
                <w:sz w:val="22"/>
              </w:rPr>
            </w:pPr>
            <w:r>
              <w:rPr>
                <w:w w:val="80"/>
                <w:sz w:val="22"/>
              </w:rPr>
              <w:t>-</w:t>
            </w:r>
            <w:r>
              <w:rPr>
                <w:spacing w:val="-9"/>
                <w:sz w:val="22"/>
              </w:rPr>
              <w:t> </w:t>
            </w:r>
            <w:r>
              <w:rPr>
                <w:w w:val="80"/>
                <w:sz w:val="22"/>
              </w:rPr>
              <w:t>Secteur</w:t>
            </w:r>
            <w:r>
              <w:rPr>
                <w:spacing w:val="-5"/>
                <w:sz w:val="22"/>
              </w:rPr>
              <w:t> </w:t>
            </w:r>
            <w:r>
              <w:rPr>
                <w:spacing w:val="-2"/>
                <w:w w:val="80"/>
                <w:sz w:val="22"/>
              </w:rPr>
              <w:t>secondaire</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62"/>
              <w:ind w:left="143" w:right="64"/>
              <w:jc w:val="center"/>
              <w:rPr>
                <w:sz w:val="22"/>
              </w:rPr>
            </w:pPr>
            <w:r>
              <w:rPr>
                <w:spacing w:val="-4"/>
                <w:sz w:val="22"/>
              </w:rPr>
              <w:t>19,5</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62"/>
              <w:ind w:left="133" w:right="60"/>
              <w:jc w:val="center"/>
              <w:rPr>
                <w:sz w:val="22"/>
              </w:rPr>
            </w:pPr>
            <w:r>
              <w:rPr>
                <w:spacing w:val="-4"/>
                <w:sz w:val="22"/>
              </w:rPr>
              <w:t>25,2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62"/>
              <w:ind w:left="81"/>
              <w:jc w:val="center"/>
              <w:rPr>
                <w:sz w:val="22"/>
              </w:rPr>
            </w:pPr>
            <w:r>
              <w:rPr>
                <w:spacing w:val="-4"/>
                <w:sz w:val="22"/>
              </w:rPr>
              <w:t>30,2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62"/>
              <w:ind w:left="78"/>
              <w:jc w:val="center"/>
              <w:rPr>
                <w:sz w:val="22"/>
              </w:rPr>
            </w:pPr>
            <w:r>
              <w:rPr>
                <w:spacing w:val="-4"/>
                <w:sz w:val="22"/>
              </w:rPr>
              <w:t>35,2</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62"/>
              <w:ind w:left="141" w:right="60"/>
              <w:jc w:val="center"/>
              <w:rPr>
                <w:sz w:val="22"/>
              </w:rPr>
            </w:pPr>
            <w:r>
              <w:rPr>
                <w:spacing w:val="-4"/>
                <w:sz w:val="22"/>
              </w:rPr>
              <w:t>40,2</w:t>
            </w:r>
          </w:p>
        </w:tc>
        <w:tc>
          <w:tcPr>
            <w:tcW w:w="1270" w:type="dxa"/>
            <w:vMerge/>
            <w:tcBorders>
              <w:top w:val="nil"/>
              <w:left w:val="single" w:sz="8" w:space="0" w:color="221F1F"/>
              <w:bottom w:val="single" w:sz="8" w:space="0" w:color="221F1F"/>
              <w:right w:val="single" w:sz="8" w:space="0" w:color="221F1F"/>
            </w:tcBorders>
          </w:tcPr>
          <w:p>
            <w:pPr>
              <w:rPr>
                <w:sz w:val="2"/>
                <w:szCs w:val="2"/>
              </w:rPr>
            </w:pPr>
          </w:p>
        </w:tc>
        <w:tc>
          <w:tcPr>
            <w:tcW w:w="1446" w:type="dxa"/>
            <w:vMerge/>
            <w:tcBorders>
              <w:top w:val="nil"/>
              <w:left w:val="single" w:sz="8" w:space="0" w:color="221F1F"/>
              <w:bottom w:val="single" w:sz="8" w:space="0" w:color="221F1F"/>
            </w:tcBorders>
          </w:tcPr>
          <w:p>
            <w:pPr>
              <w:rPr>
                <w:sz w:val="2"/>
                <w:szCs w:val="2"/>
              </w:rPr>
            </w:pPr>
          </w:p>
        </w:tc>
      </w:tr>
      <w:tr>
        <w:trPr>
          <w:trHeight w:val="512"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9"/>
              <w:rPr>
                <w:b/>
                <w:sz w:val="22"/>
              </w:rPr>
            </w:pPr>
          </w:p>
          <w:p>
            <w:pPr>
              <w:pStyle w:val="TableParagraph"/>
              <w:spacing w:line="231" w:lineRule="exact"/>
              <w:ind w:left="93"/>
              <w:jc w:val="center"/>
              <w:rPr>
                <w:b/>
                <w:sz w:val="22"/>
              </w:rPr>
            </w:pPr>
            <w:r>
              <w:rPr>
                <w:b/>
                <w:spacing w:val="-10"/>
                <w:sz w:val="22"/>
              </w:rPr>
              <w:t>6</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60"/>
              <w:ind w:left="100"/>
              <w:rPr>
                <w:sz w:val="22"/>
              </w:rPr>
            </w:pPr>
            <w:r>
              <w:rPr>
                <w:w w:val="80"/>
                <w:sz w:val="22"/>
              </w:rPr>
              <w:t>-</w:t>
            </w:r>
            <w:r>
              <w:rPr>
                <w:spacing w:val="-9"/>
                <w:sz w:val="22"/>
              </w:rPr>
              <w:t> </w:t>
            </w:r>
            <w:r>
              <w:rPr>
                <w:w w:val="80"/>
                <w:sz w:val="22"/>
              </w:rPr>
              <w:t>Secteur</w:t>
            </w:r>
            <w:r>
              <w:rPr>
                <w:spacing w:val="-5"/>
                <w:sz w:val="22"/>
              </w:rPr>
              <w:t> </w:t>
            </w:r>
            <w:r>
              <w:rPr>
                <w:spacing w:val="-2"/>
                <w:w w:val="80"/>
                <w:sz w:val="22"/>
              </w:rPr>
              <w:t>tertiaire</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60"/>
              <w:ind w:left="143" w:right="64"/>
              <w:jc w:val="center"/>
              <w:rPr>
                <w:sz w:val="22"/>
              </w:rPr>
            </w:pPr>
            <w:r>
              <w:rPr>
                <w:spacing w:val="-4"/>
                <w:sz w:val="22"/>
              </w:rPr>
              <w:t>36,7</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60"/>
              <w:ind w:left="133" w:right="60"/>
              <w:jc w:val="center"/>
              <w:rPr>
                <w:sz w:val="22"/>
              </w:rPr>
            </w:pPr>
            <w:r>
              <w:rPr>
                <w:spacing w:val="-4"/>
                <w:sz w:val="22"/>
              </w:rPr>
              <w:t>36,2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60"/>
              <w:ind w:left="81"/>
              <w:jc w:val="center"/>
              <w:rPr>
                <w:sz w:val="22"/>
              </w:rPr>
            </w:pPr>
            <w:r>
              <w:rPr>
                <w:spacing w:val="-4"/>
                <w:sz w:val="22"/>
              </w:rPr>
              <w:t>36,2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60"/>
              <w:ind w:left="78"/>
              <w:jc w:val="center"/>
              <w:rPr>
                <w:sz w:val="22"/>
              </w:rPr>
            </w:pPr>
            <w:r>
              <w:rPr>
                <w:spacing w:val="-4"/>
                <w:sz w:val="22"/>
              </w:rPr>
              <w:t>36,2</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60"/>
              <w:ind w:left="141" w:right="60"/>
              <w:jc w:val="center"/>
              <w:rPr>
                <w:sz w:val="22"/>
              </w:rPr>
            </w:pPr>
            <w:r>
              <w:rPr>
                <w:spacing w:val="-4"/>
                <w:sz w:val="22"/>
              </w:rPr>
              <w:t>36,2</w:t>
            </w:r>
          </w:p>
        </w:tc>
        <w:tc>
          <w:tcPr>
            <w:tcW w:w="1270" w:type="dxa"/>
            <w:vMerge/>
            <w:tcBorders>
              <w:top w:val="nil"/>
              <w:left w:val="single" w:sz="8" w:space="0" w:color="221F1F"/>
              <w:bottom w:val="single" w:sz="8" w:space="0" w:color="221F1F"/>
              <w:right w:val="single" w:sz="8" w:space="0" w:color="221F1F"/>
            </w:tcBorders>
          </w:tcPr>
          <w:p>
            <w:pPr>
              <w:rPr>
                <w:sz w:val="2"/>
                <w:szCs w:val="2"/>
              </w:rPr>
            </w:pPr>
          </w:p>
        </w:tc>
        <w:tc>
          <w:tcPr>
            <w:tcW w:w="1446" w:type="dxa"/>
            <w:vMerge/>
            <w:tcBorders>
              <w:top w:val="nil"/>
              <w:left w:val="single" w:sz="8" w:space="0" w:color="221F1F"/>
              <w:bottom w:val="single" w:sz="8" w:space="0" w:color="221F1F"/>
            </w:tcBorders>
          </w:tcPr>
          <w:p>
            <w:pPr>
              <w:rPr>
                <w:sz w:val="2"/>
                <w:szCs w:val="2"/>
              </w:rPr>
            </w:pP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jc w:val="center"/>
              <w:rPr>
                <w:b/>
                <w:sz w:val="22"/>
              </w:rPr>
            </w:pPr>
            <w:r>
              <w:rPr>
                <w:b/>
                <w:spacing w:val="-10"/>
                <w:sz w:val="22"/>
              </w:rPr>
              <w:t>7</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9"/>
              <w:ind w:left="100"/>
              <w:rPr>
                <w:sz w:val="22"/>
              </w:rPr>
            </w:pPr>
            <w:r>
              <w:rPr>
                <w:w w:val="80"/>
                <w:sz w:val="22"/>
              </w:rPr>
              <w:t>Part</w:t>
            </w:r>
            <w:r>
              <w:rPr>
                <w:spacing w:val="-3"/>
                <w:w w:val="80"/>
                <w:sz w:val="22"/>
              </w:rPr>
              <w:t> </w:t>
            </w:r>
            <w:r>
              <w:rPr>
                <w:w w:val="80"/>
                <w:sz w:val="22"/>
              </w:rPr>
              <w:t>du</w:t>
            </w:r>
            <w:r>
              <w:rPr>
                <w:spacing w:val="-3"/>
                <w:w w:val="80"/>
                <w:sz w:val="22"/>
              </w:rPr>
              <w:t> </w:t>
            </w:r>
            <w:r>
              <w:rPr>
                <w:w w:val="80"/>
                <w:sz w:val="22"/>
              </w:rPr>
              <w:t>secteur</w:t>
            </w:r>
            <w:r>
              <w:rPr>
                <w:spacing w:val="-2"/>
                <w:w w:val="80"/>
                <w:sz w:val="22"/>
              </w:rPr>
              <w:t> </w:t>
            </w:r>
            <w:r>
              <w:rPr>
                <w:w w:val="80"/>
                <w:sz w:val="22"/>
              </w:rPr>
              <w:t>Manufacturier</w:t>
            </w:r>
            <w:r>
              <w:rPr>
                <w:w w:val="95"/>
                <w:sz w:val="22"/>
              </w:rPr>
              <w:t> dans le PIB (%)</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48"/>
              <w:ind w:left="143" w:right="64"/>
              <w:jc w:val="center"/>
              <w:rPr>
                <w:sz w:val="22"/>
              </w:rPr>
            </w:pPr>
            <w:r>
              <w:rPr>
                <w:spacing w:val="-4"/>
                <w:sz w:val="22"/>
              </w:rPr>
              <w:t>6,44</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48"/>
              <w:ind w:left="133" w:right="60"/>
              <w:jc w:val="center"/>
              <w:rPr>
                <w:sz w:val="22"/>
              </w:rPr>
            </w:pPr>
            <w:r>
              <w:rPr>
                <w:spacing w:val="-2"/>
                <w:sz w:val="22"/>
              </w:rPr>
              <w:t>11,44</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48"/>
              <w:ind w:left="81"/>
              <w:jc w:val="center"/>
              <w:rPr>
                <w:sz w:val="22"/>
              </w:rPr>
            </w:pPr>
            <w:r>
              <w:rPr>
                <w:spacing w:val="-2"/>
                <w:sz w:val="22"/>
              </w:rPr>
              <w:t>16,44</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48"/>
              <w:ind w:left="78"/>
              <w:jc w:val="center"/>
              <w:rPr>
                <w:sz w:val="22"/>
              </w:rPr>
            </w:pPr>
            <w:r>
              <w:rPr>
                <w:spacing w:val="-2"/>
                <w:sz w:val="22"/>
              </w:rPr>
              <w:t>21,44</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48"/>
              <w:ind w:left="141" w:right="60"/>
              <w:jc w:val="center"/>
              <w:rPr>
                <w:sz w:val="22"/>
              </w:rPr>
            </w:pPr>
            <w:r>
              <w:rPr>
                <w:spacing w:val="-2"/>
                <w:sz w:val="22"/>
              </w:rPr>
              <w:t>26,44</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48"/>
              <w:ind w:left="383"/>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148"/>
              <w:ind w:left="457"/>
              <w:rPr>
                <w:sz w:val="22"/>
              </w:rPr>
            </w:pPr>
            <w:r>
              <w:rPr>
                <w:spacing w:val="-2"/>
                <w:sz w:val="22"/>
              </w:rPr>
              <w:t>INSTAT</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jc w:val="center"/>
              <w:rPr>
                <w:b/>
                <w:sz w:val="22"/>
              </w:rPr>
            </w:pPr>
            <w:r>
              <w:rPr>
                <w:b/>
                <w:spacing w:val="-10"/>
                <w:sz w:val="22"/>
              </w:rPr>
              <w:t>8</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43"/>
              <w:ind w:left="100"/>
              <w:rPr>
                <w:sz w:val="22"/>
              </w:rPr>
            </w:pPr>
            <w:r>
              <w:rPr>
                <w:w w:val="75"/>
                <w:sz w:val="22"/>
              </w:rPr>
              <w:t>Part</w:t>
            </w:r>
            <w:r>
              <w:rPr>
                <w:spacing w:val="5"/>
                <w:sz w:val="22"/>
              </w:rPr>
              <w:t> </w:t>
            </w:r>
            <w:r>
              <w:rPr>
                <w:w w:val="75"/>
                <w:sz w:val="22"/>
              </w:rPr>
              <w:t>de</w:t>
            </w:r>
            <w:r>
              <w:rPr>
                <w:spacing w:val="4"/>
                <w:sz w:val="22"/>
              </w:rPr>
              <w:t> </w:t>
            </w:r>
            <w:r>
              <w:rPr>
                <w:w w:val="75"/>
                <w:sz w:val="22"/>
              </w:rPr>
              <w:t>l’artisanat</w:t>
            </w:r>
            <w:r>
              <w:rPr>
                <w:spacing w:val="5"/>
                <w:sz w:val="22"/>
              </w:rPr>
              <w:t> </w:t>
            </w:r>
            <w:r>
              <w:rPr>
                <w:w w:val="75"/>
                <w:sz w:val="22"/>
              </w:rPr>
              <w:t>dans</w:t>
            </w:r>
            <w:r>
              <w:rPr>
                <w:spacing w:val="4"/>
                <w:sz w:val="22"/>
              </w:rPr>
              <w:t> </w:t>
            </w:r>
            <w:r>
              <w:rPr>
                <w:w w:val="75"/>
                <w:sz w:val="22"/>
              </w:rPr>
              <w:t>le</w:t>
            </w:r>
            <w:r>
              <w:rPr>
                <w:spacing w:val="10"/>
                <w:sz w:val="22"/>
              </w:rPr>
              <w:t> </w:t>
            </w:r>
            <w:r>
              <w:rPr>
                <w:spacing w:val="-5"/>
                <w:w w:val="75"/>
                <w:sz w:val="22"/>
              </w:rPr>
              <w:t>PIB</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82"/>
              <w:ind w:left="143" w:right="64"/>
              <w:jc w:val="center"/>
              <w:rPr>
                <w:sz w:val="22"/>
              </w:rPr>
            </w:pPr>
            <w:r>
              <w:rPr>
                <w:spacing w:val="-4"/>
                <w:sz w:val="22"/>
              </w:rPr>
              <w:t>24.2</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82"/>
              <w:ind w:left="133" w:right="60"/>
              <w:jc w:val="center"/>
              <w:rPr>
                <w:sz w:val="22"/>
              </w:rPr>
            </w:pPr>
            <w:r>
              <w:rPr>
                <w:spacing w:val="-4"/>
                <w:sz w:val="22"/>
              </w:rPr>
              <w:t>26.5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2"/>
              <w:ind w:left="77"/>
              <w:jc w:val="center"/>
              <w:rPr>
                <w:sz w:val="22"/>
              </w:rPr>
            </w:pPr>
            <w:r>
              <w:rPr>
                <w:spacing w:val="-5"/>
                <w:sz w:val="22"/>
              </w:rPr>
              <w:t>29</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2"/>
              <w:ind w:left="74"/>
              <w:jc w:val="center"/>
              <w:rPr>
                <w:sz w:val="22"/>
              </w:rPr>
            </w:pPr>
            <w:r>
              <w:rPr>
                <w:spacing w:val="-5"/>
                <w:sz w:val="22"/>
              </w:rPr>
              <w:t>32</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82"/>
              <w:ind w:left="141" w:right="65"/>
              <w:jc w:val="center"/>
              <w:rPr>
                <w:sz w:val="22"/>
              </w:rPr>
            </w:pPr>
            <w:r>
              <w:rPr>
                <w:spacing w:val="-5"/>
                <w:sz w:val="22"/>
              </w:rPr>
              <w:t>35</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82"/>
              <w:ind w:left="181"/>
              <w:rPr>
                <w:sz w:val="22"/>
              </w:rPr>
            </w:pPr>
            <w:r>
              <w:rPr>
                <w:w w:val="80"/>
                <w:sz w:val="22"/>
              </w:rPr>
              <w:t>Rapport</w:t>
            </w:r>
            <w:r>
              <w:rPr>
                <w:spacing w:val="-3"/>
                <w:w w:val="95"/>
                <w:sz w:val="22"/>
              </w:rPr>
              <w:t> </w:t>
            </w:r>
            <w:r>
              <w:rPr>
                <w:spacing w:val="-2"/>
                <w:w w:val="95"/>
                <w:sz w:val="22"/>
              </w:rPr>
              <w:t>Etude</w:t>
            </w:r>
          </w:p>
        </w:tc>
        <w:tc>
          <w:tcPr>
            <w:tcW w:w="1446" w:type="dxa"/>
            <w:tcBorders>
              <w:top w:val="single" w:sz="8" w:space="0" w:color="221F1F"/>
              <w:left w:val="single" w:sz="8" w:space="0" w:color="221F1F"/>
              <w:bottom w:val="single" w:sz="8" w:space="0" w:color="221F1F"/>
            </w:tcBorders>
          </w:tcPr>
          <w:p>
            <w:pPr>
              <w:pStyle w:val="TableParagraph"/>
              <w:spacing w:before="182"/>
              <w:ind w:right="135"/>
              <w:jc w:val="right"/>
              <w:rPr>
                <w:sz w:val="22"/>
              </w:rPr>
            </w:pPr>
            <w:r>
              <w:rPr>
                <w:w w:val="75"/>
                <w:sz w:val="22"/>
              </w:rPr>
              <w:t>CPS-</w:t>
            </w:r>
            <w:r>
              <w:rPr>
                <w:spacing w:val="-2"/>
                <w:w w:val="90"/>
                <w:sz w:val="22"/>
              </w:rPr>
              <w:t>SICAEPIP</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jc w:val="center"/>
              <w:rPr>
                <w:b/>
                <w:sz w:val="22"/>
              </w:rPr>
            </w:pPr>
            <w:r>
              <w:rPr>
                <w:b/>
                <w:spacing w:val="-10"/>
                <w:sz w:val="22"/>
              </w:rPr>
              <w:t>9</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16"/>
              <w:ind w:left="100"/>
              <w:rPr>
                <w:sz w:val="22"/>
              </w:rPr>
            </w:pPr>
            <w:r>
              <w:rPr>
                <w:w w:val="85"/>
                <w:sz w:val="22"/>
              </w:rPr>
              <w:t>Volume des transferts des migrants (Milliards de</w:t>
            </w:r>
            <w:r>
              <w:rPr>
                <w:sz w:val="22"/>
              </w:rPr>
              <w:t> </w:t>
            </w:r>
            <w:r>
              <w:rPr>
                <w:w w:val="85"/>
                <w:sz w:val="22"/>
              </w:rPr>
              <w:t>FCFA)</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45"/>
              <w:rPr>
                <w:b/>
                <w:sz w:val="22"/>
              </w:rPr>
            </w:pPr>
          </w:p>
          <w:p>
            <w:pPr>
              <w:pStyle w:val="TableParagraph"/>
              <w:ind w:left="143" w:right="64"/>
              <w:jc w:val="center"/>
              <w:rPr>
                <w:sz w:val="22"/>
              </w:rPr>
            </w:pPr>
            <w:r>
              <w:rPr>
                <w:spacing w:val="-2"/>
                <w:sz w:val="22"/>
              </w:rPr>
              <w:t>507.6</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45"/>
              <w:rPr>
                <w:b/>
                <w:sz w:val="22"/>
              </w:rPr>
            </w:pPr>
          </w:p>
          <w:p>
            <w:pPr>
              <w:pStyle w:val="TableParagraph"/>
              <w:ind w:left="133" w:right="65"/>
              <w:jc w:val="center"/>
              <w:rPr>
                <w:sz w:val="22"/>
              </w:rPr>
            </w:pPr>
            <w:r>
              <w:rPr>
                <w:spacing w:val="-2"/>
                <w:sz w:val="22"/>
              </w:rPr>
              <w:t>1015.2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45"/>
              <w:rPr>
                <w:b/>
                <w:sz w:val="22"/>
              </w:rPr>
            </w:pPr>
          </w:p>
          <w:p>
            <w:pPr>
              <w:pStyle w:val="TableParagraph"/>
              <w:ind w:left="76"/>
              <w:jc w:val="center"/>
              <w:rPr>
                <w:sz w:val="22"/>
              </w:rPr>
            </w:pPr>
            <w:r>
              <w:rPr>
                <w:spacing w:val="-2"/>
                <w:sz w:val="22"/>
              </w:rPr>
              <w:t>2030.4</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45"/>
              <w:rPr>
                <w:b/>
                <w:sz w:val="22"/>
              </w:rPr>
            </w:pPr>
          </w:p>
          <w:p>
            <w:pPr>
              <w:pStyle w:val="TableParagraph"/>
              <w:ind w:left="74"/>
              <w:jc w:val="center"/>
              <w:rPr>
                <w:sz w:val="22"/>
              </w:rPr>
            </w:pPr>
            <w:r>
              <w:rPr>
                <w:spacing w:val="-4"/>
                <w:sz w:val="22"/>
              </w:rPr>
              <w:t>1500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45"/>
              <w:rPr>
                <w:b/>
                <w:sz w:val="22"/>
              </w:rPr>
            </w:pPr>
          </w:p>
          <w:p>
            <w:pPr>
              <w:pStyle w:val="TableParagraph"/>
              <w:ind w:left="141" w:right="67"/>
              <w:jc w:val="center"/>
              <w:rPr>
                <w:sz w:val="22"/>
              </w:rPr>
            </w:pPr>
            <w:r>
              <w:rPr>
                <w:spacing w:val="-5"/>
                <w:sz w:val="22"/>
              </w:rPr>
              <w:t>900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45"/>
              <w:rPr>
                <w:b/>
                <w:sz w:val="22"/>
              </w:rPr>
            </w:pPr>
          </w:p>
          <w:p>
            <w:pPr>
              <w:pStyle w:val="TableParagraph"/>
              <w:ind w:left="383"/>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45"/>
              <w:rPr>
                <w:b/>
                <w:sz w:val="22"/>
              </w:rPr>
            </w:pPr>
          </w:p>
          <w:p>
            <w:pPr>
              <w:pStyle w:val="TableParagraph"/>
              <w:ind w:left="491"/>
              <w:rPr>
                <w:sz w:val="22"/>
              </w:rPr>
            </w:pPr>
            <w:r>
              <w:rPr>
                <w:w w:val="75"/>
                <w:sz w:val="22"/>
              </w:rPr>
              <w:t>CPS-</w:t>
            </w:r>
            <w:r>
              <w:rPr>
                <w:spacing w:val="-5"/>
                <w:w w:val="85"/>
                <w:sz w:val="22"/>
              </w:rPr>
              <w:t>CI</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10</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8" w:lineRule="auto" w:before="38"/>
              <w:ind w:left="100" w:right="350"/>
              <w:rPr>
                <w:sz w:val="22"/>
              </w:rPr>
            </w:pPr>
            <w:r>
              <w:rPr>
                <w:w w:val="80"/>
                <w:sz w:val="22"/>
              </w:rPr>
              <w:t>Crédit</w:t>
            </w:r>
            <w:r>
              <w:rPr>
                <w:spacing w:val="-3"/>
                <w:w w:val="80"/>
                <w:sz w:val="22"/>
              </w:rPr>
              <w:t> </w:t>
            </w:r>
            <w:r>
              <w:rPr>
                <w:w w:val="80"/>
                <w:sz w:val="22"/>
              </w:rPr>
              <w:t>à</w:t>
            </w:r>
            <w:r>
              <w:rPr>
                <w:spacing w:val="-3"/>
                <w:w w:val="80"/>
                <w:sz w:val="22"/>
              </w:rPr>
              <w:t> </w:t>
            </w:r>
            <w:r>
              <w:rPr>
                <w:w w:val="80"/>
                <w:sz w:val="22"/>
              </w:rPr>
              <w:t>l’économie</w:t>
            </w:r>
            <w:r>
              <w:rPr>
                <w:spacing w:val="-2"/>
                <w:w w:val="80"/>
                <w:sz w:val="22"/>
              </w:rPr>
              <w:t> </w:t>
            </w:r>
            <w:r>
              <w:rPr>
                <w:w w:val="80"/>
                <w:sz w:val="22"/>
              </w:rPr>
              <w:t>(en</w:t>
            </w:r>
            <w:r>
              <w:rPr>
                <w:spacing w:val="-3"/>
                <w:w w:val="80"/>
                <w:sz w:val="22"/>
              </w:rPr>
              <w:t> </w:t>
            </w:r>
            <w:r>
              <w:rPr>
                <w:w w:val="80"/>
                <w:sz w:val="22"/>
              </w:rPr>
              <w:t>%</w:t>
            </w:r>
            <w:r>
              <w:rPr>
                <w:spacing w:val="-2"/>
                <w:w w:val="80"/>
                <w:sz w:val="22"/>
              </w:rPr>
              <w:t> </w:t>
            </w:r>
            <w:r>
              <w:rPr>
                <w:w w:val="80"/>
                <w:sz w:val="22"/>
              </w:rPr>
              <w:t>du</w:t>
            </w:r>
            <w:r>
              <w:rPr>
                <w:w w:val="90"/>
                <w:sz w:val="22"/>
              </w:rPr>
              <w:t> </w:t>
            </w:r>
            <w:r>
              <w:rPr>
                <w:spacing w:val="-4"/>
                <w:w w:val="90"/>
                <w:sz w:val="22"/>
              </w:rPr>
              <w:t>PIB)</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77"/>
              <w:ind w:left="143" w:right="64"/>
              <w:jc w:val="center"/>
              <w:rPr>
                <w:sz w:val="22"/>
              </w:rPr>
            </w:pPr>
            <w:r>
              <w:rPr>
                <w:spacing w:val="-4"/>
                <w:sz w:val="22"/>
              </w:rPr>
              <w:t>31.7</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77"/>
              <w:ind w:left="133" w:right="60"/>
              <w:jc w:val="center"/>
              <w:rPr>
                <w:sz w:val="22"/>
              </w:rPr>
            </w:pPr>
            <w:r>
              <w:rPr>
                <w:spacing w:val="-4"/>
                <w:sz w:val="22"/>
              </w:rPr>
              <w:t>55.6</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77"/>
              <w:ind w:left="81"/>
              <w:jc w:val="center"/>
              <w:rPr>
                <w:sz w:val="22"/>
              </w:rPr>
            </w:pPr>
            <w:r>
              <w:rPr>
                <w:spacing w:val="-4"/>
                <w:sz w:val="22"/>
              </w:rPr>
              <w:t>69,2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77"/>
              <w:ind w:left="78"/>
              <w:jc w:val="center"/>
              <w:rPr>
                <w:sz w:val="22"/>
              </w:rPr>
            </w:pPr>
            <w:r>
              <w:rPr>
                <w:spacing w:val="-4"/>
                <w:sz w:val="22"/>
              </w:rPr>
              <w:t>70,4</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77"/>
              <w:ind w:left="141" w:right="60"/>
              <w:jc w:val="center"/>
              <w:rPr>
                <w:sz w:val="22"/>
              </w:rPr>
            </w:pPr>
            <w:r>
              <w:rPr>
                <w:spacing w:val="-4"/>
                <w:sz w:val="22"/>
              </w:rPr>
              <w:t>80,5</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77"/>
              <w:ind w:left="383"/>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177"/>
              <w:ind w:left="457"/>
              <w:rPr>
                <w:sz w:val="22"/>
              </w:rPr>
            </w:pPr>
            <w:r>
              <w:rPr>
                <w:spacing w:val="-2"/>
                <w:sz w:val="22"/>
              </w:rPr>
              <w:t>INSTAT</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11</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26" w:lineRule="exact"/>
              <w:ind w:left="100"/>
              <w:rPr>
                <w:sz w:val="22"/>
              </w:rPr>
            </w:pPr>
            <w:r>
              <w:rPr>
                <w:w w:val="80"/>
                <w:sz w:val="22"/>
              </w:rPr>
              <w:t>Recettes</w:t>
            </w:r>
            <w:r>
              <w:rPr>
                <w:spacing w:val="-7"/>
                <w:sz w:val="22"/>
              </w:rPr>
              <w:t> </w:t>
            </w:r>
            <w:r>
              <w:rPr>
                <w:w w:val="80"/>
                <w:sz w:val="22"/>
              </w:rPr>
              <w:t>touristiques</w:t>
            </w:r>
            <w:r>
              <w:rPr>
                <w:spacing w:val="-7"/>
                <w:sz w:val="22"/>
              </w:rPr>
              <w:t> </w:t>
            </w:r>
            <w:r>
              <w:rPr>
                <w:spacing w:val="-5"/>
                <w:w w:val="80"/>
                <w:sz w:val="22"/>
              </w:rPr>
              <w:t>(en</w:t>
            </w:r>
          </w:p>
          <w:p>
            <w:pPr>
              <w:pStyle w:val="TableParagraph"/>
              <w:spacing w:before="16"/>
              <w:ind w:left="100"/>
              <w:rPr>
                <w:sz w:val="22"/>
              </w:rPr>
            </w:pPr>
            <w:r>
              <w:rPr>
                <w:spacing w:val="-2"/>
                <w:sz w:val="22"/>
              </w:rPr>
              <w:t>millions)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10"/>
              <w:ind w:left="143" w:right="53"/>
              <w:jc w:val="center"/>
              <w:rPr>
                <w:sz w:val="22"/>
              </w:rPr>
            </w:pPr>
            <w:r>
              <w:rPr>
                <w:spacing w:val="-10"/>
                <w:sz w:val="22"/>
              </w:rPr>
              <w:t>-</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10"/>
              <w:ind w:left="133" w:right="67"/>
              <w:jc w:val="center"/>
              <w:rPr>
                <w:sz w:val="22"/>
              </w:rPr>
            </w:pPr>
            <w:r>
              <w:rPr>
                <w:spacing w:val="-5"/>
                <w:sz w:val="22"/>
              </w:rPr>
              <w:t>985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10"/>
              <w:ind w:left="77"/>
              <w:jc w:val="center"/>
              <w:rPr>
                <w:sz w:val="22"/>
              </w:rPr>
            </w:pPr>
            <w:r>
              <w:rPr>
                <w:w w:val="85"/>
                <w:sz w:val="22"/>
              </w:rPr>
              <w:t>1</w:t>
            </w:r>
            <w:r>
              <w:rPr>
                <w:spacing w:val="-7"/>
                <w:w w:val="85"/>
                <w:sz w:val="22"/>
              </w:rPr>
              <w:t> </w:t>
            </w:r>
            <w:r>
              <w:rPr>
                <w:spacing w:val="-5"/>
                <w:w w:val="95"/>
                <w:sz w:val="22"/>
              </w:rPr>
              <w:t>400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10"/>
              <w:ind w:left="74"/>
              <w:jc w:val="center"/>
              <w:rPr>
                <w:sz w:val="22"/>
              </w:rPr>
            </w:pPr>
            <w:r>
              <w:rPr>
                <w:w w:val="85"/>
                <w:sz w:val="22"/>
              </w:rPr>
              <w:t>2</w:t>
            </w:r>
            <w:r>
              <w:rPr>
                <w:spacing w:val="-7"/>
                <w:w w:val="85"/>
                <w:sz w:val="22"/>
              </w:rPr>
              <w:t> </w:t>
            </w:r>
            <w:r>
              <w:rPr>
                <w:spacing w:val="-5"/>
                <w:w w:val="95"/>
                <w:sz w:val="22"/>
              </w:rPr>
              <w:t>000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10"/>
              <w:ind w:left="141" w:right="65"/>
              <w:jc w:val="center"/>
              <w:rPr>
                <w:sz w:val="22"/>
              </w:rPr>
            </w:pPr>
            <w:r>
              <w:rPr>
                <w:w w:val="85"/>
                <w:sz w:val="22"/>
              </w:rPr>
              <w:t>3</w:t>
            </w:r>
            <w:r>
              <w:rPr>
                <w:spacing w:val="-7"/>
                <w:w w:val="85"/>
                <w:sz w:val="22"/>
              </w:rPr>
              <w:t> </w:t>
            </w:r>
            <w:r>
              <w:rPr>
                <w:spacing w:val="-5"/>
                <w:w w:val="95"/>
                <w:sz w:val="22"/>
              </w:rPr>
              <w:t>000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line="226" w:lineRule="exact"/>
              <w:ind w:left="304"/>
              <w:rPr>
                <w:sz w:val="22"/>
              </w:rPr>
            </w:pPr>
            <w:r>
              <w:rPr>
                <w:spacing w:val="-2"/>
                <w:sz w:val="22"/>
              </w:rPr>
              <w:t>Annuaire</w:t>
            </w:r>
          </w:p>
          <w:p>
            <w:pPr>
              <w:pStyle w:val="TableParagraph"/>
              <w:spacing w:before="16"/>
              <w:ind w:left="258"/>
              <w:rPr>
                <w:sz w:val="22"/>
              </w:rPr>
            </w:pPr>
            <w:r>
              <w:rPr>
                <w:spacing w:val="-2"/>
                <w:sz w:val="22"/>
              </w:rPr>
              <w:t>statistique</w:t>
            </w:r>
          </w:p>
        </w:tc>
        <w:tc>
          <w:tcPr>
            <w:tcW w:w="1446" w:type="dxa"/>
            <w:tcBorders>
              <w:top w:val="single" w:sz="8" w:space="0" w:color="221F1F"/>
              <w:left w:val="single" w:sz="8" w:space="0" w:color="221F1F"/>
              <w:bottom w:val="single" w:sz="8" w:space="0" w:color="221F1F"/>
            </w:tcBorders>
          </w:tcPr>
          <w:p>
            <w:pPr>
              <w:pStyle w:val="TableParagraph"/>
              <w:spacing w:before="110"/>
              <w:ind w:left="522"/>
              <w:rPr>
                <w:sz w:val="22"/>
              </w:rPr>
            </w:pPr>
            <w:r>
              <w:rPr>
                <w:spacing w:val="-4"/>
                <w:sz w:val="22"/>
              </w:rPr>
              <w:t>DNTH</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12</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28"/>
              <w:ind w:left="100"/>
              <w:rPr>
                <w:sz w:val="22"/>
              </w:rPr>
            </w:pPr>
            <w:r>
              <w:rPr>
                <w:w w:val="80"/>
                <w:sz w:val="22"/>
              </w:rPr>
              <w:t>Part</w:t>
            </w:r>
            <w:r>
              <w:rPr>
                <w:spacing w:val="-2"/>
                <w:w w:val="80"/>
                <w:sz w:val="22"/>
              </w:rPr>
              <w:t> </w:t>
            </w:r>
            <w:r>
              <w:rPr>
                <w:w w:val="80"/>
                <w:sz w:val="22"/>
              </w:rPr>
              <w:t>de</w:t>
            </w:r>
            <w:r>
              <w:rPr>
                <w:spacing w:val="-3"/>
                <w:w w:val="80"/>
                <w:sz w:val="22"/>
              </w:rPr>
              <w:t> </w:t>
            </w:r>
            <w:r>
              <w:rPr>
                <w:w w:val="80"/>
                <w:sz w:val="22"/>
              </w:rPr>
              <w:t>la</w:t>
            </w:r>
            <w:r>
              <w:rPr>
                <w:spacing w:val="-2"/>
                <w:w w:val="80"/>
                <w:sz w:val="22"/>
              </w:rPr>
              <w:t> </w:t>
            </w:r>
            <w:r>
              <w:rPr>
                <w:w w:val="80"/>
                <w:sz w:val="22"/>
              </w:rPr>
              <w:t>culture</w:t>
            </w:r>
            <w:r>
              <w:rPr>
                <w:spacing w:val="-3"/>
                <w:w w:val="80"/>
                <w:sz w:val="22"/>
              </w:rPr>
              <w:t> </w:t>
            </w:r>
            <w:r>
              <w:rPr>
                <w:w w:val="80"/>
                <w:sz w:val="22"/>
              </w:rPr>
              <w:t>dans</w:t>
            </w:r>
            <w:r>
              <w:rPr>
                <w:spacing w:val="-2"/>
                <w:w w:val="80"/>
                <w:sz w:val="22"/>
              </w:rPr>
              <w:t> </w:t>
            </w:r>
            <w:r>
              <w:rPr>
                <w:w w:val="80"/>
                <w:sz w:val="22"/>
              </w:rPr>
              <w:t>le</w:t>
            </w:r>
            <w:r>
              <w:rPr>
                <w:spacing w:val="-10"/>
                <w:sz w:val="22"/>
              </w:rPr>
              <w:t> </w:t>
            </w:r>
            <w:r>
              <w:rPr>
                <w:spacing w:val="-5"/>
                <w:w w:val="80"/>
                <w:sz w:val="22"/>
              </w:rPr>
              <w:t>PIB</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68"/>
              <w:ind w:left="143" w:right="61"/>
              <w:jc w:val="center"/>
              <w:rPr>
                <w:sz w:val="22"/>
              </w:rPr>
            </w:pPr>
            <w:r>
              <w:rPr>
                <w:spacing w:val="-5"/>
                <w:sz w:val="22"/>
              </w:rPr>
              <w:t>1,3</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68"/>
              <w:ind w:left="133" w:right="53"/>
              <w:jc w:val="center"/>
              <w:rPr>
                <w:sz w:val="22"/>
              </w:rPr>
            </w:pPr>
            <w:r>
              <w:rPr>
                <w:spacing w:val="-10"/>
                <w:sz w:val="22"/>
              </w:rPr>
              <w:t>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68"/>
              <w:ind w:left="81"/>
              <w:jc w:val="center"/>
              <w:rPr>
                <w:sz w:val="22"/>
              </w:rPr>
            </w:pPr>
            <w:r>
              <w:rPr>
                <w:spacing w:val="-4"/>
                <w:sz w:val="22"/>
              </w:rPr>
              <w:t>2,30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68"/>
              <w:ind w:left="86"/>
              <w:jc w:val="center"/>
              <w:rPr>
                <w:sz w:val="22"/>
              </w:rPr>
            </w:pPr>
            <w:r>
              <w:rPr>
                <w:spacing w:val="-10"/>
                <w:sz w:val="22"/>
              </w:rPr>
              <w:t>3</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68"/>
              <w:ind w:left="141" w:right="60"/>
              <w:jc w:val="center"/>
              <w:rPr>
                <w:sz w:val="22"/>
              </w:rPr>
            </w:pPr>
            <w:r>
              <w:rPr>
                <w:spacing w:val="-4"/>
                <w:sz w:val="22"/>
              </w:rPr>
              <w:t>3,60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line="268" w:lineRule="auto" w:before="28"/>
              <w:ind w:left="258" w:right="285" w:firstLine="45"/>
              <w:rPr>
                <w:sz w:val="22"/>
              </w:rPr>
            </w:pPr>
            <w:r>
              <w:rPr>
                <w:spacing w:val="-4"/>
                <w:w w:val="85"/>
                <w:sz w:val="22"/>
              </w:rPr>
              <w:t>Annuaire</w:t>
            </w:r>
            <w:r>
              <w:rPr>
                <w:spacing w:val="-2"/>
                <w:w w:val="85"/>
                <w:sz w:val="22"/>
              </w:rPr>
              <w:t> </w:t>
            </w:r>
            <w:r>
              <w:rPr>
                <w:spacing w:val="-2"/>
                <w:w w:val="80"/>
                <w:sz w:val="22"/>
              </w:rPr>
              <w:t>statistique</w:t>
            </w:r>
          </w:p>
        </w:tc>
        <w:tc>
          <w:tcPr>
            <w:tcW w:w="1446" w:type="dxa"/>
            <w:tcBorders>
              <w:top w:val="single" w:sz="8" w:space="0" w:color="221F1F"/>
              <w:left w:val="single" w:sz="8" w:space="0" w:color="221F1F"/>
              <w:bottom w:val="single" w:sz="8" w:space="0" w:color="221F1F"/>
            </w:tcBorders>
          </w:tcPr>
          <w:p>
            <w:pPr>
              <w:pStyle w:val="TableParagraph"/>
              <w:spacing w:before="168"/>
              <w:ind w:left="457"/>
              <w:rPr>
                <w:sz w:val="22"/>
              </w:rPr>
            </w:pPr>
            <w:r>
              <w:rPr>
                <w:spacing w:val="-2"/>
                <w:sz w:val="22"/>
              </w:rPr>
              <w:t>CPS/CJ</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8"/>
              <w:ind w:left="93" w:right="12"/>
              <w:jc w:val="center"/>
              <w:rPr>
                <w:b/>
                <w:sz w:val="22"/>
              </w:rPr>
            </w:pPr>
            <w:r>
              <w:rPr>
                <w:b/>
                <w:spacing w:val="-5"/>
                <w:sz w:val="22"/>
              </w:rPr>
              <w:t>13</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34"/>
              <w:ind w:left="100"/>
              <w:rPr>
                <w:sz w:val="22"/>
              </w:rPr>
            </w:pPr>
            <w:r>
              <w:rPr>
                <w:w w:val="75"/>
                <w:sz w:val="22"/>
              </w:rPr>
              <w:t>Taux</w:t>
            </w:r>
            <w:r>
              <w:rPr>
                <w:spacing w:val="-6"/>
                <w:w w:val="95"/>
                <w:sz w:val="22"/>
              </w:rPr>
              <w:t> </w:t>
            </w:r>
            <w:r>
              <w:rPr>
                <w:spacing w:val="-2"/>
                <w:w w:val="95"/>
                <w:sz w:val="22"/>
              </w:rPr>
              <w:t>d’endettement</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34"/>
              <w:ind w:left="143" w:right="64"/>
              <w:jc w:val="center"/>
              <w:rPr>
                <w:sz w:val="22"/>
              </w:rPr>
            </w:pPr>
            <w:r>
              <w:rPr>
                <w:spacing w:val="-4"/>
                <w:sz w:val="22"/>
              </w:rPr>
              <w:t>50,4</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34"/>
              <w:ind w:left="133" w:right="65"/>
              <w:jc w:val="center"/>
              <w:rPr>
                <w:sz w:val="22"/>
              </w:rPr>
            </w:pPr>
            <w:r>
              <w:rPr>
                <w:spacing w:val="-2"/>
                <w:sz w:val="22"/>
              </w:rPr>
              <w:t>53,4/65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34"/>
              <w:ind w:left="77"/>
              <w:jc w:val="center"/>
              <w:rPr>
                <w:sz w:val="22"/>
              </w:rPr>
            </w:pPr>
            <w:r>
              <w:rPr>
                <w:spacing w:val="-5"/>
                <w:sz w:val="22"/>
              </w:rPr>
              <w:t>70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34"/>
              <w:ind w:left="74"/>
              <w:jc w:val="center"/>
              <w:rPr>
                <w:sz w:val="22"/>
              </w:rPr>
            </w:pPr>
            <w:r>
              <w:rPr>
                <w:spacing w:val="-5"/>
                <w:sz w:val="22"/>
              </w:rPr>
              <w:t>65</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34"/>
              <w:ind w:left="141" w:right="65"/>
              <w:jc w:val="center"/>
              <w:rPr>
                <w:sz w:val="22"/>
              </w:rPr>
            </w:pPr>
            <w:r>
              <w:rPr>
                <w:spacing w:val="-5"/>
                <w:sz w:val="22"/>
              </w:rPr>
              <w:t>55</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34"/>
              <w:ind w:left="383"/>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34"/>
              <w:ind w:left="515"/>
              <w:rPr>
                <w:sz w:val="22"/>
              </w:rPr>
            </w:pPr>
            <w:r>
              <w:rPr>
                <w:spacing w:val="-4"/>
                <w:sz w:val="22"/>
              </w:rPr>
              <w:t>DGDP</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14</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19"/>
              <w:ind w:left="100" w:right="350"/>
              <w:rPr>
                <w:sz w:val="22"/>
              </w:rPr>
            </w:pPr>
            <w:r>
              <w:rPr>
                <w:w w:val="80"/>
                <w:sz w:val="22"/>
              </w:rPr>
              <w:t>Volume</w:t>
            </w:r>
            <w:r>
              <w:rPr>
                <w:spacing w:val="-5"/>
                <w:w w:val="80"/>
                <w:sz w:val="22"/>
              </w:rPr>
              <w:t> </w:t>
            </w:r>
            <w:r>
              <w:rPr>
                <w:w w:val="80"/>
                <w:sz w:val="22"/>
              </w:rPr>
              <w:t>des</w:t>
            </w:r>
            <w:r>
              <w:rPr>
                <w:spacing w:val="-3"/>
                <w:w w:val="80"/>
                <w:sz w:val="22"/>
              </w:rPr>
              <w:t> </w:t>
            </w:r>
            <w:r>
              <w:rPr>
                <w:w w:val="80"/>
                <w:sz w:val="22"/>
              </w:rPr>
              <w:t>IDE</w:t>
            </w:r>
            <w:r>
              <w:rPr>
                <w:spacing w:val="-2"/>
                <w:w w:val="80"/>
                <w:sz w:val="22"/>
              </w:rPr>
              <w:t> </w:t>
            </w:r>
            <w:r>
              <w:rPr>
                <w:w w:val="80"/>
                <w:sz w:val="22"/>
              </w:rPr>
              <w:t>(en</w:t>
            </w:r>
            <w:r>
              <w:rPr>
                <w:w w:val="95"/>
                <w:sz w:val="22"/>
              </w:rPr>
              <w:t> </w:t>
            </w:r>
            <w:r>
              <w:rPr>
                <w:spacing w:val="-2"/>
                <w:w w:val="95"/>
                <w:sz w:val="22"/>
              </w:rPr>
              <w:t>milliards)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58"/>
              <w:ind w:left="143" w:right="68"/>
              <w:jc w:val="center"/>
              <w:rPr>
                <w:sz w:val="22"/>
              </w:rPr>
            </w:pPr>
            <w:r>
              <w:rPr>
                <w:spacing w:val="-2"/>
                <w:sz w:val="22"/>
              </w:rPr>
              <w:t>290,1</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58"/>
              <w:ind w:left="133" w:right="60"/>
              <w:jc w:val="center"/>
              <w:rPr>
                <w:sz w:val="22"/>
              </w:rPr>
            </w:pPr>
            <w:r>
              <w:rPr>
                <w:spacing w:val="-2"/>
                <w:sz w:val="22"/>
              </w:rPr>
              <w:t>606,4</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58"/>
              <w:ind w:left="76"/>
              <w:jc w:val="center"/>
              <w:rPr>
                <w:sz w:val="22"/>
              </w:rPr>
            </w:pPr>
            <w:r>
              <w:rPr>
                <w:spacing w:val="-2"/>
                <w:sz w:val="22"/>
              </w:rPr>
              <w:t>1212,8</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58"/>
              <w:ind w:left="73"/>
              <w:jc w:val="center"/>
              <w:rPr>
                <w:sz w:val="22"/>
              </w:rPr>
            </w:pPr>
            <w:r>
              <w:rPr>
                <w:spacing w:val="-2"/>
                <w:sz w:val="22"/>
              </w:rPr>
              <w:t>2425,6</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58"/>
              <w:ind w:left="141" w:right="65"/>
              <w:jc w:val="center"/>
              <w:rPr>
                <w:sz w:val="22"/>
              </w:rPr>
            </w:pPr>
            <w:r>
              <w:rPr>
                <w:w w:val="85"/>
                <w:sz w:val="22"/>
              </w:rPr>
              <w:t>3</w:t>
            </w:r>
            <w:r>
              <w:rPr>
                <w:spacing w:val="-7"/>
                <w:w w:val="85"/>
                <w:sz w:val="22"/>
              </w:rPr>
              <w:t> </w:t>
            </w:r>
            <w:r>
              <w:rPr>
                <w:spacing w:val="-5"/>
                <w:w w:val="95"/>
                <w:sz w:val="22"/>
              </w:rPr>
              <w:t>032</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58"/>
              <w:ind w:left="383"/>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158"/>
              <w:ind w:left="476"/>
              <w:rPr>
                <w:sz w:val="22"/>
              </w:rPr>
            </w:pPr>
            <w:r>
              <w:rPr>
                <w:spacing w:val="-2"/>
                <w:sz w:val="22"/>
              </w:rPr>
              <w:t>CPS/CI</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15</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71" w:lineRule="auto"/>
              <w:ind w:left="100" w:right="350"/>
              <w:rPr>
                <w:sz w:val="22"/>
              </w:rPr>
            </w:pPr>
            <w:r>
              <w:rPr>
                <w:spacing w:val="-2"/>
                <w:w w:val="80"/>
                <w:sz w:val="22"/>
              </w:rPr>
              <w:t>Proportion</w:t>
            </w:r>
            <w:r>
              <w:rPr>
                <w:spacing w:val="-9"/>
                <w:sz w:val="22"/>
              </w:rPr>
              <w:t> </w:t>
            </w:r>
            <w:r>
              <w:rPr>
                <w:spacing w:val="-2"/>
                <w:w w:val="80"/>
                <w:sz w:val="22"/>
              </w:rPr>
              <w:t>du</w:t>
            </w:r>
            <w:r>
              <w:rPr>
                <w:spacing w:val="-10"/>
                <w:sz w:val="22"/>
              </w:rPr>
              <w:t> </w:t>
            </w:r>
            <w:r>
              <w:rPr>
                <w:spacing w:val="-2"/>
                <w:w w:val="80"/>
                <w:sz w:val="22"/>
              </w:rPr>
              <w:t>réseau</w:t>
            </w:r>
            <w:r>
              <w:rPr>
                <w:spacing w:val="-9"/>
                <w:sz w:val="22"/>
              </w:rPr>
              <w:t> </w:t>
            </w:r>
            <w:r>
              <w:rPr>
                <w:spacing w:val="-2"/>
                <w:w w:val="80"/>
                <w:sz w:val="22"/>
              </w:rPr>
              <w:t>routier</w:t>
            </w:r>
            <w:r>
              <w:rPr>
                <w:spacing w:val="-2"/>
                <w:w w:val="90"/>
                <w:sz w:val="22"/>
              </w:rPr>
              <w:t> </w:t>
            </w:r>
            <w:r>
              <w:rPr>
                <w:w w:val="90"/>
                <w:sz w:val="22"/>
              </w:rPr>
              <w:t>bitumé (%)</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39"/>
              <w:ind w:left="143" w:right="64"/>
              <w:jc w:val="center"/>
              <w:rPr>
                <w:sz w:val="22"/>
              </w:rPr>
            </w:pPr>
            <w:r>
              <w:rPr>
                <w:spacing w:val="-4"/>
                <w:sz w:val="22"/>
              </w:rPr>
              <w:t>4.02</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39"/>
              <w:ind w:left="133" w:right="62"/>
              <w:jc w:val="center"/>
              <w:rPr>
                <w:sz w:val="22"/>
              </w:rPr>
            </w:pPr>
            <w:r>
              <w:rPr>
                <w:spacing w:val="-5"/>
                <w:sz w:val="22"/>
              </w:rPr>
              <w:t>8.5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39"/>
              <w:ind w:left="77"/>
              <w:jc w:val="center"/>
              <w:rPr>
                <w:sz w:val="22"/>
              </w:rPr>
            </w:pPr>
            <w:r>
              <w:rPr>
                <w:spacing w:val="-5"/>
                <w:sz w:val="22"/>
              </w:rPr>
              <w:t>16</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39"/>
              <w:ind w:left="74"/>
              <w:jc w:val="center"/>
              <w:rPr>
                <w:sz w:val="22"/>
              </w:rPr>
            </w:pPr>
            <w:r>
              <w:rPr>
                <w:spacing w:val="-5"/>
                <w:sz w:val="22"/>
              </w:rPr>
              <w:t>32</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39"/>
              <w:ind w:left="141" w:right="65"/>
              <w:jc w:val="center"/>
              <w:rPr>
                <w:sz w:val="22"/>
              </w:rPr>
            </w:pPr>
            <w:r>
              <w:rPr>
                <w:spacing w:val="-5"/>
                <w:sz w:val="22"/>
              </w:rPr>
              <w:t>64</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39"/>
              <w:ind w:left="210"/>
              <w:rPr>
                <w:sz w:val="22"/>
              </w:rPr>
            </w:pPr>
            <w:r>
              <w:rPr>
                <w:w w:val="80"/>
                <w:sz w:val="22"/>
              </w:rPr>
              <w:t>Rapport</w:t>
            </w:r>
            <w:r>
              <w:rPr>
                <w:spacing w:val="-1"/>
                <w:w w:val="90"/>
                <w:sz w:val="22"/>
              </w:rPr>
              <w:t> </w:t>
            </w:r>
            <w:r>
              <w:rPr>
                <w:spacing w:val="-5"/>
                <w:w w:val="90"/>
                <w:sz w:val="22"/>
              </w:rPr>
              <w:t>DGR</w:t>
            </w:r>
          </w:p>
        </w:tc>
        <w:tc>
          <w:tcPr>
            <w:tcW w:w="1446" w:type="dxa"/>
            <w:tcBorders>
              <w:top w:val="single" w:sz="8" w:space="0" w:color="221F1F"/>
              <w:left w:val="single" w:sz="8" w:space="0" w:color="221F1F"/>
              <w:bottom w:val="single" w:sz="8" w:space="0" w:color="221F1F"/>
            </w:tcBorders>
          </w:tcPr>
          <w:p>
            <w:pPr>
              <w:pStyle w:val="TableParagraph"/>
              <w:spacing w:before="139"/>
              <w:ind w:right="129"/>
              <w:jc w:val="right"/>
              <w:rPr>
                <w:sz w:val="22"/>
              </w:rPr>
            </w:pPr>
            <w:r>
              <w:rPr>
                <w:spacing w:val="-2"/>
                <w:sz w:val="22"/>
              </w:rPr>
              <w:t>DGR/CPS/ETC</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16</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37" w:lineRule="auto"/>
              <w:ind w:left="100"/>
              <w:rPr>
                <w:sz w:val="22"/>
              </w:rPr>
            </w:pPr>
            <w:r>
              <w:rPr>
                <w:spacing w:val="-2"/>
                <w:w w:val="80"/>
                <w:sz w:val="22"/>
              </w:rPr>
              <w:t>Linéaire</w:t>
            </w:r>
            <w:r>
              <w:rPr>
                <w:spacing w:val="-7"/>
                <w:sz w:val="22"/>
              </w:rPr>
              <w:t> </w:t>
            </w:r>
            <w:r>
              <w:rPr>
                <w:spacing w:val="-2"/>
                <w:w w:val="80"/>
                <w:sz w:val="22"/>
              </w:rPr>
              <w:t>additionnel</w:t>
            </w:r>
            <w:r>
              <w:rPr>
                <w:spacing w:val="-8"/>
                <w:sz w:val="22"/>
              </w:rPr>
              <w:t> </w:t>
            </w:r>
            <w:r>
              <w:rPr>
                <w:spacing w:val="-2"/>
                <w:w w:val="80"/>
                <w:sz w:val="22"/>
              </w:rPr>
              <w:t>de</w:t>
            </w:r>
            <w:r>
              <w:rPr>
                <w:spacing w:val="-7"/>
                <w:sz w:val="22"/>
              </w:rPr>
              <w:t> </w:t>
            </w:r>
            <w:r>
              <w:rPr>
                <w:spacing w:val="-2"/>
                <w:w w:val="80"/>
                <w:sz w:val="22"/>
              </w:rPr>
              <w:t>routes</w:t>
            </w:r>
            <w:r>
              <w:rPr>
                <w:spacing w:val="-2"/>
                <w:w w:val="90"/>
                <w:sz w:val="22"/>
              </w:rPr>
              <w:t> </w:t>
            </w:r>
            <w:r>
              <w:rPr>
                <w:w w:val="90"/>
                <w:sz w:val="22"/>
              </w:rPr>
              <w:t>bitumées (en KM)</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39"/>
              <w:ind w:left="143" w:right="63"/>
              <w:jc w:val="center"/>
              <w:rPr>
                <w:sz w:val="22"/>
              </w:rPr>
            </w:pPr>
            <w:r>
              <w:rPr>
                <w:spacing w:val="-5"/>
                <w:sz w:val="22"/>
              </w:rPr>
              <w:t>40</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39"/>
              <w:ind w:left="133" w:right="62"/>
              <w:jc w:val="center"/>
              <w:rPr>
                <w:sz w:val="22"/>
              </w:rPr>
            </w:pPr>
            <w:r>
              <w:rPr>
                <w:spacing w:val="-4"/>
                <w:sz w:val="22"/>
              </w:rPr>
              <w:t>1000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39"/>
              <w:ind w:left="79"/>
              <w:jc w:val="center"/>
              <w:rPr>
                <w:sz w:val="22"/>
              </w:rPr>
            </w:pPr>
            <w:r>
              <w:rPr>
                <w:spacing w:val="-4"/>
                <w:sz w:val="22"/>
              </w:rPr>
              <w:t>1000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39"/>
              <w:ind w:left="76"/>
              <w:jc w:val="center"/>
              <w:rPr>
                <w:sz w:val="22"/>
              </w:rPr>
            </w:pPr>
            <w:r>
              <w:rPr>
                <w:spacing w:val="-4"/>
                <w:sz w:val="22"/>
              </w:rPr>
              <w:t>1000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39"/>
              <w:ind w:left="141" w:right="63"/>
              <w:jc w:val="center"/>
              <w:rPr>
                <w:sz w:val="22"/>
              </w:rPr>
            </w:pPr>
            <w:r>
              <w:rPr>
                <w:spacing w:val="-4"/>
                <w:sz w:val="22"/>
              </w:rPr>
              <w:t>1000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39"/>
              <w:ind w:left="210"/>
              <w:rPr>
                <w:sz w:val="22"/>
              </w:rPr>
            </w:pPr>
            <w:r>
              <w:rPr>
                <w:w w:val="80"/>
                <w:sz w:val="22"/>
              </w:rPr>
              <w:t>Rapport</w:t>
            </w:r>
            <w:r>
              <w:rPr>
                <w:spacing w:val="-1"/>
                <w:w w:val="90"/>
                <w:sz w:val="22"/>
              </w:rPr>
              <w:t> </w:t>
            </w:r>
            <w:r>
              <w:rPr>
                <w:spacing w:val="-5"/>
                <w:w w:val="90"/>
                <w:sz w:val="22"/>
              </w:rPr>
              <w:t>DGR</w:t>
            </w:r>
          </w:p>
        </w:tc>
        <w:tc>
          <w:tcPr>
            <w:tcW w:w="1446" w:type="dxa"/>
            <w:tcBorders>
              <w:top w:val="single" w:sz="8" w:space="0" w:color="221F1F"/>
              <w:left w:val="single" w:sz="8" w:space="0" w:color="221F1F"/>
              <w:bottom w:val="single" w:sz="8" w:space="0" w:color="221F1F"/>
            </w:tcBorders>
          </w:tcPr>
          <w:p>
            <w:pPr>
              <w:pStyle w:val="TableParagraph"/>
              <w:spacing w:before="139"/>
              <w:ind w:right="129"/>
              <w:jc w:val="right"/>
              <w:rPr>
                <w:sz w:val="22"/>
              </w:rPr>
            </w:pPr>
            <w:r>
              <w:rPr>
                <w:spacing w:val="-2"/>
                <w:sz w:val="22"/>
              </w:rPr>
              <w:t>DGR/CPS/ETC</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17</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71" w:lineRule="auto"/>
              <w:ind w:left="100"/>
              <w:rPr>
                <w:sz w:val="22"/>
              </w:rPr>
            </w:pPr>
            <w:r>
              <w:rPr>
                <w:spacing w:val="-2"/>
                <w:w w:val="80"/>
                <w:sz w:val="22"/>
              </w:rPr>
              <w:t>Linéaire</w:t>
            </w:r>
            <w:r>
              <w:rPr>
                <w:spacing w:val="-11"/>
                <w:sz w:val="22"/>
              </w:rPr>
              <w:t> </w:t>
            </w:r>
            <w:r>
              <w:rPr>
                <w:spacing w:val="-2"/>
                <w:w w:val="80"/>
                <w:sz w:val="22"/>
              </w:rPr>
              <w:t>de</w:t>
            </w:r>
            <w:r>
              <w:rPr>
                <w:spacing w:val="-11"/>
                <w:sz w:val="22"/>
              </w:rPr>
              <w:t> </w:t>
            </w:r>
            <w:r>
              <w:rPr>
                <w:spacing w:val="-2"/>
                <w:w w:val="80"/>
                <w:sz w:val="22"/>
              </w:rPr>
              <w:t>voies</w:t>
            </w:r>
            <w:r>
              <w:rPr>
                <w:spacing w:val="-10"/>
                <w:sz w:val="22"/>
              </w:rPr>
              <w:t> </w:t>
            </w:r>
            <w:r>
              <w:rPr>
                <w:spacing w:val="-2"/>
                <w:w w:val="80"/>
                <w:sz w:val="22"/>
              </w:rPr>
              <w:t>ferrées</w:t>
            </w:r>
            <w:r>
              <w:rPr>
                <w:spacing w:val="-2"/>
                <w:w w:val="90"/>
                <w:sz w:val="22"/>
              </w:rPr>
              <w:t> </w:t>
            </w:r>
            <w:r>
              <w:rPr>
                <w:w w:val="90"/>
                <w:sz w:val="22"/>
              </w:rPr>
              <w:t>construites (km)</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39"/>
              <w:ind w:left="143" w:right="65"/>
              <w:jc w:val="center"/>
              <w:rPr>
                <w:sz w:val="22"/>
              </w:rPr>
            </w:pPr>
            <w:r>
              <w:rPr>
                <w:spacing w:val="-5"/>
                <w:sz w:val="22"/>
              </w:rPr>
              <w:t>643</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39"/>
              <w:ind w:left="133" w:right="64"/>
              <w:jc w:val="center"/>
              <w:rPr>
                <w:sz w:val="22"/>
              </w:rPr>
            </w:pPr>
            <w:r>
              <w:rPr>
                <w:spacing w:val="-4"/>
                <w:sz w:val="22"/>
              </w:rPr>
              <w:t>1200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39"/>
              <w:ind w:left="77"/>
              <w:jc w:val="center"/>
              <w:rPr>
                <w:sz w:val="22"/>
              </w:rPr>
            </w:pPr>
            <w:r>
              <w:rPr>
                <w:spacing w:val="-4"/>
                <w:sz w:val="22"/>
              </w:rPr>
              <w:t>1800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39"/>
              <w:ind w:left="74"/>
              <w:jc w:val="center"/>
              <w:rPr>
                <w:sz w:val="22"/>
              </w:rPr>
            </w:pPr>
            <w:r>
              <w:rPr>
                <w:spacing w:val="-4"/>
                <w:sz w:val="22"/>
              </w:rPr>
              <w:t>2100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39"/>
              <w:ind w:left="141" w:right="65"/>
              <w:jc w:val="center"/>
              <w:rPr>
                <w:sz w:val="22"/>
              </w:rPr>
            </w:pPr>
            <w:r>
              <w:rPr>
                <w:spacing w:val="-4"/>
                <w:sz w:val="22"/>
              </w:rPr>
              <w:t>3000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line="271" w:lineRule="auto"/>
              <w:ind w:left="241" w:firstLine="103"/>
              <w:rPr>
                <w:sz w:val="22"/>
              </w:rPr>
            </w:pPr>
            <w:r>
              <w:rPr>
                <w:spacing w:val="-2"/>
                <w:sz w:val="22"/>
              </w:rPr>
              <w:t>Rapport </w:t>
            </w:r>
            <w:r>
              <w:rPr>
                <w:spacing w:val="-2"/>
                <w:w w:val="85"/>
                <w:sz w:val="22"/>
              </w:rPr>
              <w:t>SOPAFER</w:t>
            </w:r>
          </w:p>
        </w:tc>
        <w:tc>
          <w:tcPr>
            <w:tcW w:w="1446" w:type="dxa"/>
            <w:tcBorders>
              <w:top w:val="single" w:sz="8" w:space="0" w:color="221F1F"/>
              <w:left w:val="single" w:sz="8" w:space="0" w:color="221F1F"/>
              <w:bottom w:val="single" w:sz="8" w:space="0" w:color="221F1F"/>
            </w:tcBorders>
          </w:tcPr>
          <w:p>
            <w:pPr>
              <w:pStyle w:val="TableParagraph"/>
              <w:spacing w:before="139"/>
              <w:ind w:right="142"/>
              <w:jc w:val="right"/>
              <w:rPr>
                <w:sz w:val="22"/>
              </w:rPr>
            </w:pPr>
            <w:r>
              <w:rPr>
                <w:spacing w:val="-2"/>
                <w:w w:val="95"/>
                <w:sz w:val="22"/>
              </w:rPr>
              <w:t>SOPAFER/ETC</w:t>
            </w:r>
          </w:p>
        </w:tc>
      </w:tr>
    </w:tbl>
    <w:p>
      <w:pPr>
        <w:pStyle w:val="TableParagraph"/>
        <w:spacing w:after="0"/>
        <w:jc w:val="right"/>
        <w:rPr>
          <w:sz w:val="22"/>
        </w:rPr>
        <w:sectPr>
          <w:pgSz w:w="11910" w:h="16840"/>
          <w:pgMar w:header="0" w:footer="680" w:top="1320" w:bottom="1763" w:left="283" w:right="141"/>
        </w:sectPr>
      </w:pPr>
    </w:p>
    <w:tbl>
      <w:tblPr>
        <w:tblW w:w="0" w:type="auto"/>
        <w:jc w:val="left"/>
        <w:tblInd w:w="1132" w:type="dxa"/>
        <w:tblBorders>
          <w:top w:val="single" w:sz="18" w:space="0" w:color="221F1F"/>
          <w:left w:val="single" w:sz="18" w:space="0" w:color="221F1F"/>
          <w:bottom w:val="single" w:sz="18" w:space="0" w:color="221F1F"/>
          <w:right w:val="single" w:sz="18" w:space="0" w:color="221F1F"/>
          <w:insideH w:val="single" w:sz="18" w:space="0" w:color="221F1F"/>
          <w:insideV w:val="single" w:sz="18" w:space="0" w:color="221F1F"/>
        </w:tblBorders>
        <w:tblLayout w:type="fixed"/>
        <w:tblCellMar>
          <w:top w:w="0" w:type="dxa"/>
          <w:left w:w="0" w:type="dxa"/>
          <w:bottom w:w="0" w:type="dxa"/>
          <w:right w:w="0" w:type="dxa"/>
        </w:tblCellMar>
        <w:tblLook w:val="01E0"/>
      </w:tblPr>
      <w:tblGrid>
        <w:gridCol w:w="420"/>
        <w:gridCol w:w="1181"/>
        <w:gridCol w:w="1179"/>
        <w:gridCol w:w="1214"/>
        <w:gridCol w:w="917"/>
        <w:gridCol w:w="773"/>
        <w:gridCol w:w="773"/>
        <w:gridCol w:w="1018"/>
        <w:gridCol w:w="1269"/>
        <w:gridCol w:w="1445"/>
      </w:tblGrid>
      <w:tr>
        <w:trPr>
          <w:trHeight w:val="524" w:hRule="atLeast"/>
        </w:trPr>
        <w:tc>
          <w:tcPr>
            <w:tcW w:w="420" w:type="dxa"/>
            <w:vMerge w:val="restart"/>
            <w:tcBorders>
              <w:bottom w:val="single" w:sz="8" w:space="0" w:color="221F1F"/>
              <w:right w:val="single" w:sz="8" w:space="0" w:color="221F1F"/>
            </w:tcBorders>
            <w:shd w:val="clear" w:color="auto" w:fill="BED7EB"/>
          </w:tcPr>
          <w:p>
            <w:pPr>
              <w:pStyle w:val="TableParagraph"/>
              <w:spacing w:before="150"/>
              <w:rPr>
                <w:b/>
                <w:sz w:val="22"/>
              </w:rPr>
            </w:pPr>
          </w:p>
          <w:p>
            <w:pPr>
              <w:pStyle w:val="TableParagraph"/>
              <w:ind w:left="126"/>
              <w:rPr>
                <w:b/>
                <w:sz w:val="22"/>
              </w:rPr>
            </w:pPr>
            <w:r>
              <w:rPr>
                <w:b/>
                <w:spacing w:val="-5"/>
                <w:sz w:val="22"/>
              </w:rPr>
              <w:t>N°</w:t>
            </w:r>
          </w:p>
        </w:tc>
        <w:tc>
          <w:tcPr>
            <w:tcW w:w="2360" w:type="dxa"/>
            <w:gridSpan w:val="2"/>
            <w:vMerge w:val="restart"/>
            <w:tcBorders>
              <w:left w:val="single" w:sz="8" w:space="0" w:color="221F1F"/>
              <w:bottom w:val="single" w:sz="8" w:space="0" w:color="221F1F"/>
              <w:right w:val="single" w:sz="8" w:space="0" w:color="221F1F"/>
            </w:tcBorders>
            <w:shd w:val="clear" w:color="auto" w:fill="0066B3"/>
          </w:tcPr>
          <w:p>
            <w:pPr>
              <w:pStyle w:val="TableParagraph"/>
              <w:spacing w:before="150"/>
              <w:rPr>
                <w:b/>
                <w:sz w:val="22"/>
              </w:rPr>
            </w:pPr>
          </w:p>
          <w:p>
            <w:pPr>
              <w:pStyle w:val="TableParagraph"/>
              <w:ind w:left="280"/>
              <w:rPr>
                <w:b/>
                <w:sz w:val="22"/>
              </w:rPr>
            </w:pPr>
            <w:r>
              <w:rPr>
                <w:b/>
                <w:w w:val="80"/>
                <w:sz w:val="22"/>
              </w:rPr>
              <w:t>Intitulé</w:t>
            </w:r>
            <w:r>
              <w:rPr>
                <w:b/>
                <w:spacing w:val="-9"/>
                <w:sz w:val="22"/>
              </w:rPr>
              <w:t> </w:t>
            </w:r>
            <w:r>
              <w:rPr>
                <w:b/>
                <w:w w:val="80"/>
                <w:sz w:val="22"/>
              </w:rPr>
              <w:t>de</w:t>
            </w:r>
            <w:r>
              <w:rPr>
                <w:b/>
                <w:spacing w:val="-9"/>
                <w:sz w:val="22"/>
              </w:rPr>
              <w:t> </w:t>
            </w:r>
            <w:r>
              <w:rPr>
                <w:b/>
                <w:spacing w:val="-2"/>
                <w:w w:val="80"/>
                <w:sz w:val="22"/>
              </w:rPr>
              <w:t>l’indicateur</w:t>
            </w:r>
          </w:p>
        </w:tc>
        <w:tc>
          <w:tcPr>
            <w:tcW w:w="1214"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b/>
                <w:sz w:val="22"/>
              </w:rPr>
            </w:pPr>
          </w:p>
          <w:p>
            <w:pPr>
              <w:pStyle w:val="TableParagraph"/>
              <w:spacing w:line="254" w:lineRule="auto"/>
              <w:ind w:left="114" w:right="75" w:firstLine="228"/>
              <w:rPr>
                <w:b/>
                <w:sz w:val="22"/>
              </w:rPr>
            </w:pPr>
            <w:r>
              <w:rPr>
                <w:b/>
                <w:w w:val="90"/>
                <w:sz w:val="22"/>
              </w:rPr>
              <w:t>Valeur de </w:t>
            </w:r>
            <w:r>
              <w:rPr>
                <w:b/>
                <w:w w:val="75"/>
                <w:sz w:val="22"/>
              </w:rPr>
              <w:t>référence</w:t>
            </w:r>
            <w:r>
              <w:rPr>
                <w:b/>
                <w:spacing w:val="21"/>
                <w:sz w:val="22"/>
              </w:rPr>
              <w:t> </w:t>
            </w:r>
            <w:r>
              <w:rPr>
                <w:b/>
                <w:spacing w:val="-4"/>
                <w:w w:val="80"/>
                <w:sz w:val="22"/>
              </w:rPr>
              <w:t>2023</w:t>
            </w:r>
          </w:p>
        </w:tc>
        <w:tc>
          <w:tcPr>
            <w:tcW w:w="3481" w:type="dxa"/>
            <w:gridSpan w:val="4"/>
            <w:tcBorders>
              <w:left w:val="single" w:sz="8" w:space="0" w:color="221F1F"/>
              <w:bottom w:val="single" w:sz="8" w:space="0" w:color="221F1F"/>
              <w:right w:val="single" w:sz="8" w:space="0" w:color="221F1F"/>
            </w:tcBorders>
            <w:shd w:val="clear" w:color="auto" w:fill="0066B3"/>
          </w:tcPr>
          <w:p>
            <w:pPr>
              <w:pStyle w:val="TableParagraph"/>
              <w:spacing w:before="191"/>
              <w:ind w:left="1022"/>
              <w:rPr>
                <w:b/>
                <w:sz w:val="22"/>
              </w:rPr>
            </w:pPr>
            <w:r>
              <w:rPr>
                <w:b/>
                <w:w w:val="75"/>
                <w:sz w:val="22"/>
              </w:rPr>
              <w:t>Valeur</w:t>
            </w:r>
            <w:r>
              <w:rPr>
                <w:b/>
                <w:spacing w:val="14"/>
                <w:sz w:val="22"/>
              </w:rPr>
              <w:t> </w:t>
            </w:r>
            <w:r>
              <w:rPr>
                <w:b/>
                <w:spacing w:val="-4"/>
                <w:w w:val="95"/>
                <w:sz w:val="22"/>
              </w:rPr>
              <w:t>cible</w:t>
            </w:r>
          </w:p>
        </w:tc>
        <w:tc>
          <w:tcPr>
            <w:tcW w:w="1269"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b/>
                <w:sz w:val="22"/>
              </w:rPr>
            </w:pPr>
          </w:p>
          <w:p>
            <w:pPr>
              <w:pStyle w:val="TableParagraph"/>
              <w:spacing w:line="254" w:lineRule="auto"/>
              <w:ind w:left="174" w:right="285" w:firstLine="55"/>
              <w:rPr>
                <w:b/>
                <w:sz w:val="22"/>
              </w:rPr>
            </w:pPr>
            <w:r>
              <w:rPr>
                <w:b/>
                <w:spacing w:val="-2"/>
                <w:w w:val="85"/>
                <w:sz w:val="22"/>
              </w:rPr>
              <w:t>Source</w:t>
            </w:r>
            <w:r>
              <w:rPr>
                <w:b/>
                <w:spacing w:val="-5"/>
                <w:w w:val="85"/>
                <w:sz w:val="22"/>
              </w:rPr>
              <w:t> </w:t>
            </w:r>
            <w:r>
              <w:rPr>
                <w:b/>
                <w:spacing w:val="-2"/>
                <w:w w:val="85"/>
                <w:sz w:val="22"/>
              </w:rPr>
              <w:t>de </w:t>
            </w:r>
            <w:r>
              <w:rPr>
                <w:b/>
                <w:spacing w:val="-2"/>
                <w:w w:val="80"/>
                <w:sz w:val="22"/>
              </w:rPr>
              <w:t>Vérification</w:t>
            </w:r>
          </w:p>
        </w:tc>
        <w:tc>
          <w:tcPr>
            <w:tcW w:w="1445" w:type="dxa"/>
            <w:vMerge w:val="restart"/>
            <w:tcBorders>
              <w:left w:val="single" w:sz="8" w:space="0" w:color="221F1F"/>
              <w:bottom w:val="single" w:sz="8" w:space="0" w:color="221F1F"/>
            </w:tcBorders>
            <w:shd w:val="clear" w:color="auto" w:fill="0066B3"/>
          </w:tcPr>
          <w:p>
            <w:pPr>
              <w:pStyle w:val="TableParagraph"/>
              <w:spacing w:before="16"/>
              <w:rPr>
                <w:b/>
                <w:sz w:val="22"/>
              </w:rPr>
            </w:pPr>
          </w:p>
          <w:p>
            <w:pPr>
              <w:pStyle w:val="TableParagraph"/>
              <w:spacing w:line="254" w:lineRule="auto"/>
              <w:ind w:left="213" w:firstLine="129"/>
              <w:rPr>
                <w:b/>
                <w:sz w:val="22"/>
              </w:rPr>
            </w:pPr>
            <w:r>
              <w:rPr>
                <w:b/>
                <w:spacing w:val="-4"/>
                <w:w w:val="90"/>
                <w:sz w:val="22"/>
              </w:rPr>
              <w:t>Structure </w:t>
            </w:r>
            <w:r>
              <w:rPr>
                <w:b/>
                <w:spacing w:val="-2"/>
                <w:w w:val="75"/>
                <w:sz w:val="22"/>
              </w:rPr>
              <w:t>responsable</w:t>
            </w:r>
          </w:p>
        </w:tc>
      </w:tr>
      <w:tr>
        <w:trPr>
          <w:trHeight w:val="402" w:hRule="atLeast"/>
        </w:trPr>
        <w:tc>
          <w:tcPr>
            <w:tcW w:w="420" w:type="dxa"/>
            <w:vMerge/>
            <w:tcBorders>
              <w:top w:val="nil"/>
              <w:bottom w:val="single" w:sz="8" w:space="0" w:color="221F1F"/>
              <w:right w:val="single" w:sz="8" w:space="0" w:color="221F1F"/>
            </w:tcBorders>
            <w:shd w:val="clear" w:color="auto" w:fill="BED7EB"/>
          </w:tcPr>
          <w:p>
            <w:pPr>
              <w:rPr>
                <w:sz w:val="2"/>
                <w:szCs w:val="2"/>
              </w:rPr>
            </w:pPr>
          </w:p>
        </w:tc>
        <w:tc>
          <w:tcPr>
            <w:tcW w:w="2360" w:type="dxa"/>
            <w:gridSpan w:val="2"/>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214"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917"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311"/>
              <w:rPr>
                <w:b/>
                <w:sz w:val="22"/>
              </w:rPr>
            </w:pPr>
            <w:r>
              <w:rPr>
                <w:b/>
                <w:spacing w:val="-4"/>
                <w:sz w:val="22"/>
              </w:rPr>
              <w:t>2033</w:t>
            </w:r>
          </w:p>
        </w:tc>
        <w:tc>
          <w:tcPr>
            <w:tcW w:w="773"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244"/>
              <w:rPr>
                <w:b/>
                <w:sz w:val="22"/>
              </w:rPr>
            </w:pPr>
            <w:r>
              <w:rPr>
                <w:b/>
                <w:spacing w:val="-4"/>
                <w:sz w:val="22"/>
              </w:rPr>
              <w:t>2043</w:t>
            </w:r>
          </w:p>
        </w:tc>
        <w:tc>
          <w:tcPr>
            <w:tcW w:w="773"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244"/>
              <w:rPr>
                <w:b/>
                <w:sz w:val="22"/>
              </w:rPr>
            </w:pPr>
            <w:r>
              <w:rPr>
                <w:b/>
                <w:spacing w:val="-4"/>
                <w:sz w:val="22"/>
              </w:rPr>
              <w:t>2053</w:t>
            </w:r>
          </w:p>
        </w:tc>
        <w:tc>
          <w:tcPr>
            <w:tcW w:w="1018"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366"/>
              <w:rPr>
                <w:b/>
                <w:sz w:val="22"/>
              </w:rPr>
            </w:pPr>
            <w:r>
              <w:rPr>
                <w:b/>
                <w:spacing w:val="-4"/>
                <w:sz w:val="22"/>
              </w:rPr>
              <w:t>2063</w:t>
            </w:r>
          </w:p>
        </w:tc>
        <w:tc>
          <w:tcPr>
            <w:tcW w:w="1269"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445" w:type="dxa"/>
            <w:vMerge/>
            <w:tcBorders>
              <w:top w:val="nil"/>
              <w:left w:val="single" w:sz="8" w:space="0" w:color="221F1F"/>
              <w:bottom w:val="single" w:sz="8" w:space="0" w:color="221F1F"/>
            </w:tcBorders>
            <w:shd w:val="clear" w:color="auto" w:fill="0066B3"/>
          </w:tcPr>
          <w:p>
            <w:pPr>
              <w:rPr>
                <w:sz w:val="2"/>
                <w:szCs w:val="2"/>
              </w:rPr>
            </w:pP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18</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line="268" w:lineRule="auto"/>
              <w:ind w:left="100" w:right="350"/>
              <w:rPr>
                <w:sz w:val="22"/>
              </w:rPr>
            </w:pPr>
            <w:r>
              <w:rPr>
                <w:spacing w:val="-2"/>
                <w:w w:val="80"/>
                <w:sz w:val="22"/>
              </w:rPr>
              <w:t>Linéaire</w:t>
            </w:r>
            <w:r>
              <w:rPr>
                <w:spacing w:val="-11"/>
                <w:sz w:val="22"/>
              </w:rPr>
              <w:t> </w:t>
            </w:r>
            <w:r>
              <w:rPr>
                <w:spacing w:val="-2"/>
                <w:w w:val="80"/>
                <w:sz w:val="22"/>
              </w:rPr>
              <w:t>de</w:t>
            </w:r>
            <w:r>
              <w:rPr>
                <w:spacing w:val="-11"/>
                <w:sz w:val="22"/>
              </w:rPr>
              <w:t> </w:t>
            </w:r>
            <w:r>
              <w:rPr>
                <w:spacing w:val="-2"/>
                <w:w w:val="80"/>
                <w:sz w:val="22"/>
              </w:rPr>
              <w:t>voies</w:t>
            </w:r>
            <w:r>
              <w:rPr>
                <w:spacing w:val="-10"/>
                <w:sz w:val="22"/>
              </w:rPr>
              <w:t> </w:t>
            </w:r>
            <w:r>
              <w:rPr>
                <w:spacing w:val="-2"/>
                <w:w w:val="80"/>
                <w:sz w:val="22"/>
              </w:rPr>
              <w:t>navigables</w:t>
            </w:r>
            <w:r>
              <w:rPr>
                <w:spacing w:val="-2"/>
                <w:w w:val="90"/>
                <w:sz w:val="22"/>
              </w:rPr>
              <w:t> </w:t>
            </w:r>
            <w:r>
              <w:rPr>
                <w:spacing w:val="-4"/>
                <w:w w:val="90"/>
                <w:sz w:val="22"/>
              </w:rPr>
              <w:t>(km)</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spacing w:before="134"/>
              <w:ind w:left="464"/>
              <w:rPr>
                <w:sz w:val="22"/>
              </w:rPr>
            </w:pPr>
            <w:r>
              <w:rPr>
                <w:spacing w:val="-4"/>
                <w:sz w:val="22"/>
              </w:rPr>
              <w:t>1308</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134"/>
              <w:ind w:left="311"/>
              <w:rPr>
                <w:sz w:val="22"/>
              </w:rPr>
            </w:pPr>
            <w:r>
              <w:rPr>
                <w:spacing w:val="-4"/>
                <w:sz w:val="22"/>
              </w:rPr>
              <w:t>1600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134"/>
              <w:ind w:left="244"/>
              <w:rPr>
                <w:sz w:val="22"/>
              </w:rPr>
            </w:pPr>
            <w:r>
              <w:rPr>
                <w:spacing w:val="-4"/>
                <w:sz w:val="22"/>
              </w:rPr>
              <w:t>1800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134"/>
              <w:ind w:left="244"/>
              <w:rPr>
                <w:sz w:val="22"/>
              </w:rPr>
            </w:pPr>
            <w:r>
              <w:rPr>
                <w:spacing w:val="-4"/>
                <w:sz w:val="22"/>
              </w:rPr>
              <w:t>2000</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134"/>
              <w:ind w:left="369"/>
              <w:rPr>
                <w:sz w:val="22"/>
              </w:rPr>
            </w:pPr>
            <w:r>
              <w:rPr>
                <w:spacing w:val="-4"/>
                <w:sz w:val="22"/>
              </w:rPr>
              <w:t>2334</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line="268" w:lineRule="auto"/>
              <w:ind w:left="270" w:firstLine="117"/>
              <w:rPr>
                <w:sz w:val="22"/>
              </w:rPr>
            </w:pPr>
            <w:r>
              <w:rPr>
                <w:spacing w:val="-2"/>
                <w:sz w:val="22"/>
              </w:rPr>
              <w:t>Rapport </w:t>
            </w:r>
            <w:r>
              <w:rPr>
                <w:spacing w:val="-2"/>
                <w:w w:val="85"/>
                <w:sz w:val="22"/>
              </w:rPr>
              <w:t>COMANAF</w:t>
            </w:r>
          </w:p>
        </w:tc>
        <w:tc>
          <w:tcPr>
            <w:tcW w:w="1445" w:type="dxa"/>
            <w:tcBorders>
              <w:top w:val="single" w:sz="8" w:space="0" w:color="221F1F"/>
              <w:left w:val="single" w:sz="8" w:space="0" w:color="221F1F"/>
              <w:bottom w:val="single" w:sz="8" w:space="0" w:color="221F1F"/>
            </w:tcBorders>
          </w:tcPr>
          <w:p>
            <w:pPr>
              <w:pStyle w:val="TableParagraph"/>
              <w:spacing w:before="134"/>
              <w:ind w:left="85" w:right="6"/>
              <w:jc w:val="center"/>
              <w:rPr>
                <w:sz w:val="22"/>
              </w:rPr>
            </w:pPr>
            <w:r>
              <w:rPr>
                <w:spacing w:val="-2"/>
                <w:w w:val="95"/>
                <w:sz w:val="22"/>
              </w:rPr>
              <w:t>COMANAF/ETC</w:t>
            </w:r>
          </w:p>
        </w:tc>
      </w:tr>
      <w:tr>
        <w:trPr>
          <w:trHeight w:val="781"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19</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line="245" w:lineRule="exact"/>
              <w:ind w:left="100"/>
              <w:rPr>
                <w:sz w:val="22"/>
              </w:rPr>
            </w:pPr>
            <w:r>
              <w:rPr>
                <w:w w:val="75"/>
                <w:sz w:val="22"/>
              </w:rPr>
              <w:t>Nombre</w:t>
            </w:r>
            <w:r>
              <w:rPr>
                <w:spacing w:val="19"/>
                <w:sz w:val="22"/>
              </w:rPr>
              <w:t> </w:t>
            </w:r>
            <w:r>
              <w:rPr>
                <w:spacing w:val="-2"/>
                <w:w w:val="90"/>
                <w:sz w:val="22"/>
              </w:rPr>
              <w:t>d’exploitations</w:t>
            </w:r>
          </w:p>
          <w:p>
            <w:pPr>
              <w:pStyle w:val="TableParagraph"/>
              <w:spacing w:line="252" w:lineRule="exact" w:before="12"/>
              <w:ind w:left="100" w:right="449"/>
              <w:rPr>
                <w:sz w:val="22"/>
              </w:rPr>
            </w:pPr>
            <w:r>
              <w:rPr>
                <w:w w:val="85"/>
                <w:sz w:val="22"/>
              </w:rPr>
              <w:t>équipées</w:t>
            </w:r>
            <w:r>
              <w:rPr>
                <w:spacing w:val="-6"/>
                <w:w w:val="85"/>
                <w:sz w:val="22"/>
              </w:rPr>
              <w:t> </w:t>
            </w:r>
            <w:r>
              <w:rPr>
                <w:w w:val="85"/>
                <w:sz w:val="22"/>
              </w:rPr>
              <w:t>(motorisées)</w:t>
            </w:r>
            <w:r>
              <w:rPr>
                <w:spacing w:val="-5"/>
                <w:w w:val="85"/>
                <w:sz w:val="22"/>
              </w:rPr>
              <w:t> </w:t>
            </w:r>
            <w:r>
              <w:rPr>
                <w:w w:val="85"/>
                <w:sz w:val="22"/>
              </w:rPr>
              <w:t>(en </w:t>
            </w:r>
            <w:r>
              <w:rPr>
                <w:spacing w:val="-2"/>
                <w:w w:val="95"/>
                <w:sz w:val="22"/>
              </w:rPr>
              <w:t>milliers)</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spacing w:before="139"/>
              <w:ind w:left="472"/>
              <w:rPr>
                <w:sz w:val="22"/>
              </w:rPr>
            </w:pPr>
            <w:r>
              <w:rPr>
                <w:w w:val="80"/>
                <w:sz w:val="22"/>
              </w:rPr>
              <w:t>69,</w:t>
            </w:r>
            <w:r>
              <w:rPr>
                <w:spacing w:val="-1"/>
                <w:w w:val="80"/>
                <w:sz w:val="22"/>
              </w:rPr>
              <w:t> </w:t>
            </w:r>
            <w:r>
              <w:rPr>
                <w:spacing w:val="-10"/>
                <w:w w:val="90"/>
                <w:sz w:val="22"/>
              </w:rPr>
              <w:t>1</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139"/>
              <w:ind w:left="299"/>
              <w:rPr>
                <w:sz w:val="22"/>
              </w:rPr>
            </w:pPr>
            <w:r>
              <w:rPr>
                <w:spacing w:val="-4"/>
                <w:w w:val="75"/>
                <w:sz w:val="22"/>
              </w:rPr>
              <w:t>111,</w:t>
            </w:r>
            <w:r>
              <w:rPr>
                <w:spacing w:val="-5"/>
                <w:w w:val="75"/>
                <w:sz w:val="22"/>
              </w:rPr>
              <w:t> </w:t>
            </w:r>
            <w:r>
              <w:rPr>
                <w:spacing w:val="-10"/>
                <w:w w:val="85"/>
                <w:sz w:val="22"/>
              </w:rPr>
              <w:t>8</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139"/>
              <w:ind w:left="220"/>
              <w:rPr>
                <w:sz w:val="22"/>
              </w:rPr>
            </w:pPr>
            <w:r>
              <w:rPr>
                <w:spacing w:val="-2"/>
                <w:sz w:val="22"/>
              </w:rPr>
              <w:t>184,2</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139"/>
              <w:ind w:right="135"/>
              <w:jc w:val="right"/>
              <w:rPr>
                <w:sz w:val="22"/>
              </w:rPr>
            </w:pPr>
            <w:r>
              <w:rPr>
                <w:spacing w:val="-2"/>
                <w:sz w:val="22"/>
              </w:rPr>
              <w:t>303,9</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139"/>
              <w:ind w:left="366"/>
              <w:rPr>
                <w:sz w:val="22"/>
              </w:rPr>
            </w:pPr>
            <w:r>
              <w:rPr>
                <w:spacing w:val="-2"/>
                <w:w w:val="90"/>
                <w:sz w:val="22"/>
              </w:rPr>
              <w:t>501,5</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line="271" w:lineRule="auto"/>
              <w:ind w:left="405" w:right="325" w:hanging="56"/>
              <w:rPr>
                <w:sz w:val="22"/>
              </w:rPr>
            </w:pPr>
            <w:r>
              <w:rPr>
                <w:spacing w:val="-2"/>
                <w:w w:val="85"/>
                <w:sz w:val="22"/>
              </w:rPr>
              <w:t>Rapport </w:t>
            </w:r>
            <w:r>
              <w:rPr>
                <w:spacing w:val="-8"/>
                <w:sz w:val="22"/>
              </w:rPr>
              <w:t>DNGR</w:t>
            </w:r>
          </w:p>
        </w:tc>
        <w:tc>
          <w:tcPr>
            <w:tcW w:w="1445" w:type="dxa"/>
            <w:tcBorders>
              <w:top w:val="single" w:sz="8" w:space="0" w:color="221F1F"/>
              <w:left w:val="single" w:sz="8" w:space="0" w:color="221F1F"/>
              <w:bottom w:val="single" w:sz="8" w:space="0" w:color="221F1F"/>
            </w:tcBorders>
          </w:tcPr>
          <w:p>
            <w:pPr>
              <w:pStyle w:val="TableParagraph"/>
              <w:spacing w:before="139"/>
              <w:ind w:left="85" w:right="3"/>
              <w:jc w:val="center"/>
              <w:rPr>
                <w:sz w:val="22"/>
              </w:rPr>
            </w:pPr>
            <w:r>
              <w:rPr>
                <w:spacing w:val="-4"/>
                <w:sz w:val="22"/>
              </w:rPr>
              <w:t>DNGR</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20</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line="264" w:lineRule="auto" w:before="21"/>
              <w:ind w:left="100"/>
              <w:rPr>
                <w:sz w:val="22"/>
              </w:rPr>
            </w:pPr>
            <w:r>
              <w:rPr>
                <w:w w:val="80"/>
                <w:sz w:val="22"/>
              </w:rPr>
              <w:t>Quantité de production céréalière</w:t>
            </w:r>
            <w:r>
              <w:rPr>
                <w:w w:val="95"/>
                <w:sz w:val="22"/>
              </w:rPr>
              <w:t> (en millions tonnes)</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spacing w:before="19"/>
              <w:ind w:left="136"/>
              <w:rPr>
                <w:sz w:val="22"/>
              </w:rPr>
            </w:pPr>
            <w:r>
              <w:rPr>
                <w:spacing w:val="-4"/>
                <w:w w:val="90"/>
                <w:sz w:val="22"/>
              </w:rPr>
              <w:t>10,2</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19"/>
              <w:ind w:left="134"/>
              <w:rPr>
                <w:sz w:val="22"/>
              </w:rPr>
            </w:pPr>
            <w:r>
              <w:rPr>
                <w:spacing w:val="-4"/>
                <w:w w:val="90"/>
                <w:sz w:val="22"/>
              </w:rPr>
              <w:t>15,5</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19"/>
              <w:ind w:left="141"/>
              <w:rPr>
                <w:sz w:val="22"/>
              </w:rPr>
            </w:pPr>
            <w:r>
              <w:rPr>
                <w:spacing w:val="-4"/>
                <w:w w:val="90"/>
                <w:sz w:val="22"/>
              </w:rPr>
              <w:t>23,4</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19"/>
              <w:ind w:left="141"/>
              <w:rPr>
                <w:sz w:val="22"/>
              </w:rPr>
            </w:pPr>
            <w:r>
              <w:rPr>
                <w:spacing w:val="-4"/>
                <w:w w:val="90"/>
                <w:sz w:val="22"/>
              </w:rPr>
              <w:t>35,3</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19"/>
              <w:ind w:left="93"/>
              <w:rPr>
                <w:sz w:val="22"/>
              </w:rPr>
            </w:pPr>
            <w:r>
              <w:rPr>
                <w:spacing w:val="-4"/>
                <w:w w:val="90"/>
                <w:sz w:val="22"/>
              </w:rPr>
              <w:t>53,3</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158"/>
              <w:ind w:left="230"/>
              <w:rPr>
                <w:sz w:val="22"/>
              </w:rPr>
            </w:pPr>
            <w:r>
              <w:rPr>
                <w:w w:val="80"/>
                <w:sz w:val="22"/>
              </w:rPr>
              <w:t>Rapport</w:t>
            </w:r>
            <w:r>
              <w:rPr>
                <w:spacing w:val="-1"/>
                <w:w w:val="90"/>
                <w:sz w:val="22"/>
              </w:rPr>
              <w:t> </w:t>
            </w:r>
            <w:r>
              <w:rPr>
                <w:spacing w:val="-5"/>
                <w:w w:val="90"/>
                <w:sz w:val="22"/>
              </w:rPr>
              <w:t>EAC</w:t>
            </w:r>
          </w:p>
        </w:tc>
        <w:tc>
          <w:tcPr>
            <w:tcW w:w="1445" w:type="dxa"/>
            <w:tcBorders>
              <w:top w:val="single" w:sz="8" w:space="0" w:color="221F1F"/>
              <w:left w:val="single" w:sz="8" w:space="0" w:color="221F1F"/>
              <w:bottom w:val="single" w:sz="8" w:space="0" w:color="221F1F"/>
            </w:tcBorders>
          </w:tcPr>
          <w:p>
            <w:pPr>
              <w:pStyle w:val="TableParagraph"/>
              <w:spacing w:before="158"/>
              <w:ind w:left="85" w:right="4"/>
              <w:jc w:val="center"/>
              <w:rPr>
                <w:sz w:val="22"/>
              </w:rPr>
            </w:pPr>
            <w:r>
              <w:rPr>
                <w:spacing w:val="-2"/>
                <w:sz w:val="22"/>
              </w:rPr>
              <w:t>CPS/DNA</w:t>
            </w:r>
          </w:p>
        </w:tc>
      </w:tr>
      <w:tr>
        <w:trPr>
          <w:trHeight w:val="849"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8"/>
              <w:ind w:left="93" w:right="12"/>
              <w:jc w:val="center"/>
              <w:rPr>
                <w:b/>
                <w:sz w:val="22"/>
              </w:rPr>
            </w:pPr>
            <w:r>
              <w:rPr>
                <w:b/>
                <w:spacing w:val="-5"/>
                <w:sz w:val="22"/>
              </w:rPr>
              <w:t>21</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before="12"/>
              <w:ind w:left="100"/>
              <w:rPr>
                <w:sz w:val="22"/>
              </w:rPr>
            </w:pPr>
            <w:r>
              <w:rPr>
                <w:w w:val="75"/>
                <w:sz w:val="22"/>
              </w:rPr>
              <w:t>%</w:t>
            </w:r>
            <w:r>
              <w:rPr>
                <w:spacing w:val="5"/>
                <w:sz w:val="22"/>
              </w:rPr>
              <w:t> </w:t>
            </w:r>
            <w:r>
              <w:rPr>
                <w:w w:val="75"/>
                <w:sz w:val="22"/>
              </w:rPr>
              <w:t>des</w:t>
            </w:r>
            <w:r>
              <w:rPr>
                <w:spacing w:val="5"/>
                <w:sz w:val="22"/>
              </w:rPr>
              <w:t> </w:t>
            </w:r>
            <w:r>
              <w:rPr>
                <w:w w:val="75"/>
                <w:sz w:val="22"/>
              </w:rPr>
              <w:t>technologies</w:t>
            </w:r>
            <w:r>
              <w:rPr>
                <w:spacing w:val="5"/>
                <w:sz w:val="22"/>
              </w:rPr>
              <w:t> </w:t>
            </w:r>
            <w:r>
              <w:rPr>
                <w:w w:val="75"/>
                <w:sz w:val="22"/>
              </w:rPr>
              <w:t>et</w:t>
            </w:r>
            <w:r>
              <w:rPr>
                <w:spacing w:val="7"/>
                <w:sz w:val="22"/>
              </w:rPr>
              <w:t> </w:t>
            </w:r>
            <w:r>
              <w:rPr>
                <w:spacing w:val="-4"/>
                <w:w w:val="75"/>
                <w:sz w:val="22"/>
              </w:rPr>
              <w:t>inno-</w:t>
            </w:r>
          </w:p>
          <w:p>
            <w:pPr>
              <w:pStyle w:val="TableParagraph"/>
              <w:spacing w:line="280" w:lineRule="atLeast" w:before="1"/>
              <w:ind w:left="100"/>
              <w:rPr>
                <w:sz w:val="22"/>
              </w:rPr>
            </w:pPr>
            <w:r>
              <w:rPr>
                <w:w w:val="85"/>
                <w:sz w:val="22"/>
              </w:rPr>
              <w:t>vations</w:t>
            </w:r>
            <w:r>
              <w:rPr>
                <w:spacing w:val="-5"/>
                <w:w w:val="85"/>
                <w:sz w:val="22"/>
              </w:rPr>
              <w:t> </w:t>
            </w:r>
            <w:r>
              <w:rPr>
                <w:w w:val="85"/>
                <w:sz w:val="22"/>
              </w:rPr>
              <w:t>adopté</w:t>
            </w:r>
            <w:r>
              <w:rPr>
                <w:spacing w:val="-1"/>
                <w:w w:val="85"/>
                <w:sz w:val="22"/>
              </w:rPr>
              <w:t> </w:t>
            </w:r>
            <w:r>
              <w:rPr>
                <w:w w:val="85"/>
                <w:sz w:val="22"/>
              </w:rPr>
              <w:t>par</w:t>
            </w:r>
            <w:r>
              <w:rPr>
                <w:spacing w:val="-5"/>
                <w:w w:val="85"/>
                <w:sz w:val="22"/>
              </w:rPr>
              <w:t> </w:t>
            </w:r>
            <w:r>
              <w:rPr>
                <w:w w:val="85"/>
                <w:sz w:val="22"/>
              </w:rPr>
              <w:t>les</w:t>
            </w:r>
            <w:r>
              <w:rPr>
                <w:spacing w:val="-2"/>
                <w:w w:val="85"/>
                <w:sz w:val="22"/>
              </w:rPr>
              <w:t> </w:t>
            </w:r>
            <w:r>
              <w:rPr>
                <w:w w:val="85"/>
                <w:sz w:val="22"/>
              </w:rPr>
              <w:t>ex- </w:t>
            </w:r>
            <w:r>
              <w:rPr>
                <w:sz w:val="22"/>
              </w:rPr>
              <w:t>ploitants</w:t>
            </w:r>
            <w:r>
              <w:rPr>
                <w:spacing w:val="-3"/>
                <w:sz w:val="22"/>
              </w:rPr>
              <w:t> </w:t>
            </w:r>
            <w:r>
              <w:rPr>
                <w:sz w:val="22"/>
              </w:rPr>
              <w:t>agricoles</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spacing w:before="40"/>
              <w:rPr>
                <w:b/>
                <w:sz w:val="22"/>
              </w:rPr>
            </w:pPr>
          </w:p>
          <w:p>
            <w:pPr>
              <w:pStyle w:val="TableParagraph"/>
              <w:spacing w:before="1"/>
              <w:ind w:left="79" w:right="3"/>
              <w:jc w:val="center"/>
              <w:rPr>
                <w:sz w:val="22"/>
              </w:rPr>
            </w:pPr>
            <w:r>
              <w:rPr>
                <w:spacing w:val="-5"/>
                <w:sz w:val="22"/>
              </w:rPr>
              <w:t>30</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40"/>
              <w:rPr>
                <w:b/>
                <w:sz w:val="22"/>
              </w:rPr>
            </w:pPr>
          </w:p>
          <w:p>
            <w:pPr>
              <w:pStyle w:val="TableParagraph"/>
              <w:spacing w:before="1"/>
              <w:ind w:left="72"/>
              <w:jc w:val="center"/>
              <w:rPr>
                <w:sz w:val="22"/>
              </w:rPr>
            </w:pPr>
            <w:r>
              <w:rPr>
                <w:spacing w:val="-5"/>
                <w:sz w:val="22"/>
              </w:rPr>
              <w:t>80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40"/>
              <w:rPr>
                <w:b/>
                <w:sz w:val="22"/>
              </w:rPr>
            </w:pPr>
          </w:p>
          <w:p>
            <w:pPr>
              <w:pStyle w:val="TableParagraph"/>
              <w:spacing w:before="1"/>
              <w:ind w:left="290"/>
              <w:rPr>
                <w:sz w:val="22"/>
              </w:rPr>
            </w:pPr>
            <w:r>
              <w:rPr>
                <w:spacing w:val="-5"/>
                <w:sz w:val="22"/>
              </w:rPr>
              <w:t>100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40"/>
              <w:rPr>
                <w:b/>
                <w:sz w:val="22"/>
              </w:rPr>
            </w:pPr>
          </w:p>
          <w:p>
            <w:pPr>
              <w:pStyle w:val="TableParagraph"/>
              <w:spacing w:before="1"/>
              <w:ind w:left="290"/>
              <w:rPr>
                <w:sz w:val="22"/>
              </w:rPr>
            </w:pPr>
            <w:r>
              <w:rPr>
                <w:spacing w:val="-5"/>
                <w:sz w:val="22"/>
              </w:rPr>
              <w:t>100</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40"/>
              <w:rPr>
                <w:b/>
                <w:sz w:val="22"/>
              </w:rPr>
            </w:pPr>
          </w:p>
          <w:p>
            <w:pPr>
              <w:pStyle w:val="TableParagraph"/>
              <w:spacing w:before="1"/>
              <w:ind w:left="414"/>
              <w:rPr>
                <w:sz w:val="22"/>
              </w:rPr>
            </w:pPr>
            <w:r>
              <w:rPr>
                <w:spacing w:val="-5"/>
                <w:sz w:val="22"/>
              </w:rPr>
              <w:t>100</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40"/>
              <w:rPr>
                <w:b/>
                <w:sz w:val="22"/>
              </w:rPr>
            </w:pPr>
          </w:p>
          <w:p>
            <w:pPr>
              <w:pStyle w:val="TableParagraph"/>
              <w:spacing w:before="1"/>
              <w:ind w:left="261"/>
              <w:rPr>
                <w:sz w:val="22"/>
              </w:rPr>
            </w:pPr>
            <w:r>
              <w:rPr>
                <w:w w:val="80"/>
                <w:sz w:val="22"/>
              </w:rPr>
              <w:t>Rapport</w:t>
            </w:r>
            <w:r>
              <w:rPr>
                <w:spacing w:val="-1"/>
                <w:w w:val="90"/>
                <w:sz w:val="22"/>
              </w:rPr>
              <w:t> </w:t>
            </w:r>
            <w:r>
              <w:rPr>
                <w:spacing w:val="-5"/>
                <w:w w:val="90"/>
                <w:sz w:val="22"/>
              </w:rPr>
              <w:t>IER</w:t>
            </w:r>
          </w:p>
        </w:tc>
        <w:tc>
          <w:tcPr>
            <w:tcW w:w="1445" w:type="dxa"/>
            <w:tcBorders>
              <w:top w:val="single" w:sz="8" w:space="0" w:color="221F1F"/>
              <w:left w:val="single" w:sz="8" w:space="0" w:color="221F1F"/>
              <w:bottom w:val="single" w:sz="8" w:space="0" w:color="221F1F"/>
            </w:tcBorders>
          </w:tcPr>
          <w:p>
            <w:pPr>
              <w:pStyle w:val="TableParagraph"/>
              <w:spacing w:before="40"/>
              <w:rPr>
                <w:b/>
                <w:sz w:val="22"/>
              </w:rPr>
            </w:pPr>
          </w:p>
          <w:p>
            <w:pPr>
              <w:pStyle w:val="TableParagraph"/>
              <w:spacing w:before="1"/>
              <w:ind w:left="85"/>
              <w:jc w:val="center"/>
              <w:rPr>
                <w:sz w:val="22"/>
              </w:rPr>
            </w:pPr>
            <w:r>
              <w:rPr>
                <w:spacing w:val="-5"/>
                <w:sz w:val="22"/>
              </w:rPr>
              <w:t>IER</w:t>
            </w:r>
          </w:p>
        </w:tc>
      </w:tr>
      <w:tr>
        <w:trPr>
          <w:trHeight w:val="868"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22</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before="31"/>
              <w:ind w:left="100"/>
              <w:rPr>
                <w:sz w:val="22"/>
              </w:rPr>
            </w:pPr>
            <w:r>
              <w:rPr>
                <w:w w:val="75"/>
                <w:sz w:val="22"/>
              </w:rPr>
              <w:t>Quantités</w:t>
            </w:r>
            <w:r>
              <w:rPr>
                <w:spacing w:val="9"/>
                <w:sz w:val="22"/>
              </w:rPr>
              <w:t> </w:t>
            </w:r>
            <w:r>
              <w:rPr>
                <w:w w:val="75"/>
                <w:sz w:val="22"/>
              </w:rPr>
              <w:t>de</w:t>
            </w:r>
            <w:r>
              <w:rPr>
                <w:spacing w:val="10"/>
                <w:sz w:val="22"/>
              </w:rPr>
              <w:t> </w:t>
            </w:r>
            <w:r>
              <w:rPr>
                <w:w w:val="75"/>
                <w:sz w:val="22"/>
              </w:rPr>
              <w:t>coton</w:t>
            </w:r>
            <w:r>
              <w:rPr>
                <w:spacing w:val="9"/>
                <w:sz w:val="22"/>
              </w:rPr>
              <w:t> </w:t>
            </w:r>
            <w:r>
              <w:rPr>
                <w:spacing w:val="-2"/>
                <w:w w:val="75"/>
                <w:sz w:val="22"/>
              </w:rPr>
              <w:t>graines</w:t>
            </w:r>
          </w:p>
          <w:p>
            <w:pPr>
              <w:pStyle w:val="TableParagraph"/>
              <w:spacing w:line="280" w:lineRule="atLeast" w:before="1"/>
              <w:ind w:left="100" w:right="519"/>
              <w:rPr>
                <w:sz w:val="22"/>
              </w:rPr>
            </w:pPr>
            <w:r>
              <w:rPr>
                <w:w w:val="90"/>
                <w:sz w:val="22"/>
              </w:rPr>
              <w:t>produites</w:t>
            </w:r>
            <w:r>
              <w:rPr>
                <w:spacing w:val="-8"/>
                <w:w w:val="90"/>
                <w:sz w:val="22"/>
              </w:rPr>
              <w:t> </w:t>
            </w:r>
            <w:r>
              <w:rPr>
                <w:w w:val="90"/>
                <w:sz w:val="22"/>
              </w:rPr>
              <w:t>(en</w:t>
            </w:r>
            <w:r>
              <w:rPr>
                <w:spacing w:val="-8"/>
                <w:w w:val="90"/>
                <w:sz w:val="22"/>
              </w:rPr>
              <w:t> </w:t>
            </w:r>
            <w:r>
              <w:rPr>
                <w:w w:val="90"/>
                <w:sz w:val="22"/>
              </w:rPr>
              <w:t>milliers</w:t>
            </w:r>
            <w:r>
              <w:rPr>
                <w:spacing w:val="-7"/>
                <w:w w:val="90"/>
                <w:sz w:val="22"/>
              </w:rPr>
              <w:t> </w:t>
            </w:r>
            <w:r>
              <w:rPr>
                <w:w w:val="90"/>
                <w:sz w:val="22"/>
              </w:rPr>
              <w:t>de </w:t>
            </w:r>
            <w:r>
              <w:rPr>
                <w:spacing w:val="-2"/>
                <w:sz w:val="22"/>
              </w:rPr>
              <w:t>tonnes)</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spacing w:before="2"/>
              <w:ind w:left="79"/>
              <w:jc w:val="center"/>
              <w:rPr>
                <w:sz w:val="22"/>
              </w:rPr>
            </w:pPr>
            <w:r>
              <w:rPr>
                <w:spacing w:val="-5"/>
                <w:w w:val="90"/>
                <w:sz w:val="22"/>
              </w:rPr>
              <w:t>690</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28"/>
              <w:ind w:left="210"/>
              <w:rPr>
                <w:sz w:val="22"/>
              </w:rPr>
            </w:pPr>
            <w:r>
              <w:rPr>
                <w:w w:val="85"/>
                <w:sz w:val="22"/>
              </w:rPr>
              <w:t>1</w:t>
            </w:r>
            <w:r>
              <w:rPr>
                <w:spacing w:val="-2"/>
                <w:w w:val="85"/>
                <w:sz w:val="22"/>
              </w:rPr>
              <w:t> </w:t>
            </w:r>
            <w:r>
              <w:rPr>
                <w:spacing w:val="-5"/>
                <w:sz w:val="22"/>
              </w:rPr>
              <w:t>570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8"/>
              <w:ind w:left="191"/>
              <w:rPr>
                <w:sz w:val="22"/>
              </w:rPr>
            </w:pPr>
            <w:r>
              <w:rPr>
                <w:w w:val="85"/>
                <w:sz w:val="22"/>
              </w:rPr>
              <w:t>1</w:t>
            </w:r>
            <w:r>
              <w:rPr>
                <w:spacing w:val="-7"/>
                <w:w w:val="85"/>
                <w:sz w:val="22"/>
              </w:rPr>
              <w:t> </w:t>
            </w:r>
            <w:r>
              <w:rPr>
                <w:spacing w:val="-5"/>
                <w:w w:val="95"/>
                <w:sz w:val="22"/>
              </w:rPr>
              <w:t>670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
              <w:ind w:left="261"/>
              <w:rPr>
                <w:sz w:val="22"/>
              </w:rPr>
            </w:pPr>
            <w:r>
              <w:rPr>
                <w:spacing w:val="-4"/>
                <w:w w:val="90"/>
                <w:sz w:val="22"/>
              </w:rPr>
              <w:t>1850</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28"/>
              <w:ind w:left="167"/>
              <w:rPr>
                <w:sz w:val="22"/>
              </w:rPr>
            </w:pPr>
            <w:r>
              <w:rPr>
                <w:spacing w:val="-4"/>
                <w:sz w:val="22"/>
              </w:rPr>
              <w:t>2000</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31"/>
              <w:ind w:left="405" w:hanging="56"/>
              <w:rPr>
                <w:sz w:val="22"/>
              </w:rPr>
            </w:pPr>
            <w:r>
              <w:rPr>
                <w:spacing w:val="-2"/>
                <w:w w:val="80"/>
                <w:sz w:val="22"/>
              </w:rPr>
              <w:t>Rapport</w:t>
            </w:r>
            <w:r>
              <w:rPr>
                <w:spacing w:val="-2"/>
                <w:w w:val="85"/>
                <w:sz w:val="22"/>
              </w:rPr>
              <w:t> </w:t>
            </w:r>
            <w:r>
              <w:rPr>
                <w:spacing w:val="-4"/>
                <w:w w:val="85"/>
                <w:sz w:val="22"/>
              </w:rPr>
              <w:t>DNGR</w:t>
            </w:r>
          </w:p>
        </w:tc>
        <w:tc>
          <w:tcPr>
            <w:tcW w:w="1445" w:type="dxa"/>
            <w:tcBorders>
              <w:top w:val="single" w:sz="8" w:space="0" w:color="221F1F"/>
              <w:left w:val="single" w:sz="8" w:space="0" w:color="221F1F"/>
              <w:bottom w:val="single" w:sz="8" w:space="0" w:color="221F1F"/>
            </w:tcBorders>
          </w:tcPr>
          <w:p>
            <w:pPr>
              <w:pStyle w:val="TableParagraph"/>
              <w:spacing w:before="170"/>
              <w:ind w:left="85" w:right="3"/>
              <w:jc w:val="center"/>
              <w:rPr>
                <w:sz w:val="22"/>
              </w:rPr>
            </w:pPr>
            <w:r>
              <w:rPr>
                <w:spacing w:val="-4"/>
                <w:sz w:val="22"/>
              </w:rPr>
              <w:t>DNGR</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23</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line="268" w:lineRule="auto" w:before="28"/>
              <w:ind w:left="100"/>
              <w:rPr>
                <w:sz w:val="22"/>
              </w:rPr>
            </w:pPr>
            <w:r>
              <w:rPr>
                <w:spacing w:val="-2"/>
                <w:w w:val="80"/>
                <w:sz w:val="22"/>
              </w:rPr>
              <w:t>Poduction</w:t>
            </w:r>
            <w:r>
              <w:rPr>
                <w:spacing w:val="-8"/>
                <w:sz w:val="22"/>
              </w:rPr>
              <w:t> </w:t>
            </w:r>
            <w:r>
              <w:rPr>
                <w:spacing w:val="-2"/>
                <w:w w:val="80"/>
                <w:sz w:val="22"/>
              </w:rPr>
              <w:t>de</w:t>
            </w:r>
            <w:r>
              <w:rPr>
                <w:spacing w:val="-8"/>
                <w:sz w:val="22"/>
              </w:rPr>
              <w:t> </w:t>
            </w:r>
            <w:r>
              <w:rPr>
                <w:spacing w:val="-2"/>
                <w:w w:val="80"/>
                <w:sz w:val="22"/>
              </w:rPr>
              <w:t>viande</w:t>
            </w:r>
            <w:r>
              <w:rPr>
                <w:spacing w:val="-8"/>
                <w:sz w:val="22"/>
              </w:rPr>
              <w:t> </w:t>
            </w:r>
            <w:r>
              <w:rPr>
                <w:spacing w:val="-2"/>
                <w:w w:val="80"/>
                <w:sz w:val="22"/>
              </w:rPr>
              <w:t>(en</w:t>
            </w:r>
            <w:r>
              <w:rPr>
                <w:spacing w:val="-8"/>
                <w:sz w:val="22"/>
              </w:rPr>
              <w:t> </w:t>
            </w:r>
            <w:r>
              <w:rPr>
                <w:spacing w:val="-2"/>
                <w:w w:val="80"/>
                <w:sz w:val="22"/>
              </w:rPr>
              <w:t>milliers</w:t>
            </w:r>
            <w:r>
              <w:rPr>
                <w:spacing w:val="-7"/>
                <w:sz w:val="22"/>
              </w:rPr>
              <w:t> </w:t>
            </w:r>
            <w:r>
              <w:rPr>
                <w:spacing w:val="-2"/>
                <w:w w:val="80"/>
                <w:sz w:val="22"/>
              </w:rPr>
              <w:t>de</w:t>
            </w:r>
            <w:r>
              <w:rPr>
                <w:spacing w:val="-2"/>
                <w:w w:val="90"/>
                <w:sz w:val="22"/>
              </w:rPr>
              <w:t> tonnes)</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ind w:left="212"/>
              <w:rPr>
                <w:sz w:val="22"/>
              </w:rPr>
            </w:pPr>
            <w:r>
              <w:rPr>
                <w:spacing w:val="-4"/>
                <w:sz w:val="22"/>
              </w:rPr>
              <w:t>99,7</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28"/>
              <w:ind w:left="210"/>
              <w:rPr>
                <w:sz w:val="22"/>
              </w:rPr>
            </w:pPr>
            <w:r>
              <w:rPr>
                <w:w w:val="85"/>
                <w:sz w:val="22"/>
              </w:rPr>
              <w:t>275,</w:t>
            </w:r>
            <w:r>
              <w:rPr>
                <w:spacing w:val="-4"/>
                <w:w w:val="85"/>
                <w:sz w:val="22"/>
              </w:rPr>
              <w:t> </w:t>
            </w:r>
            <w:r>
              <w:rPr>
                <w:spacing w:val="-10"/>
                <w:sz w:val="22"/>
              </w:rPr>
              <w:t>3</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8"/>
              <w:ind w:left="191"/>
              <w:rPr>
                <w:sz w:val="22"/>
              </w:rPr>
            </w:pPr>
            <w:r>
              <w:rPr>
                <w:w w:val="85"/>
                <w:sz w:val="22"/>
              </w:rPr>
              <w:t>508,</w:t>
            </w:r>
            <w:r>
              <w:rPr>
                <w:spacing w:val="-4"/>
                <w:w w:val="85"/>
                <w:sz w:val="22"/>
              </w:rPr>
              <w:t> </w:t>
            </w:r>
            <w:r>
              <w:rPr>
                <w:spacing w:val="-10"/>
                <w:w w:val="95"/>
                <w:sz w:val="22"/>
              </w:rPr>
              <w:t>2</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ind w:left="242"/>
              <w:rPr>
                <w:sz w:val="22"/>
              </w:rPr>
            </w:pPr>
            <w:r>
              <w:rPr>
                <w:spacing w:val="-2"/>
                <w:w w:val="90"/>
                <w:sz w:val="22"/>
              </w:rPr>
              <w:t>938,1</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28"/>
              <w:ind w:left="23"/>
              <w:rPr>
                <w:sz w:val="22"/>
              </w:rPr>
            </w:pPr>
            <w:r>
              <w:rPr>
                <w:w w:val="85"/>
                <w:sz w:val="22"/>
              </w:rPr>
              <w:t>1</w:t>
            </w:r>
            <w:r>
              <w:rPr>
                <w:spacing w:val="-2"/>
                <w:w w:val="85"/>
                <w:sz w:val="22"/>
              </w:rPr>
              <w:t> </w:t>
            </w:r>
            <w:r>
              <w:rPr>
                <w:spacing w:val="-2"/>
                <w:sz w:val="22"/>
              </w:rPr>
              <w:t>731,5</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28"/>
              <w:ind w:left="350"/>
              <w:rPr>
                <w:sz w:val="22"/>
              </w:rPr>
            </w:pPr>
            <w:r>
              <w:rPr>
                <w:spacing w:val="-2"/>
                <w:w w:val="90"/>
                <w:sz w:val="22"/>
              </w:rPr>
              <w:t>Rapport</w:t>
            </w:r>
          </w:p>
        </w:tc>
        <w:tc>
          <w:tcPr>
            <w:tcW w:w="1445" w:type="dxa"/>
            <w:tcBorders>
              <w:top w:val="single" w:sz="8" w:space="0" w:color="221F1F"/>
              <w:left w:val="single" w:sz="8" w:space="0" w:color="221F1F"/>
              <w:bottom w:val="single" w:sz="8" w:space="0" w:color="221F1F"/>
            </w:tcBorders>
          </w:tcPr>
          <w:p>
            <w:pPr>
              <w:pStyle w:val="TableParagraph"/>
              <w:spacing w:before="170"/>
              <w:ind w:left="85" w:right="5"/>
              <w:jc w:val="center"/>
              <w:rPr>
                <w:sz w:val="22"/>
              </w:rPr>
            </w:pPr>
            <w:r>
              <w:rPr>
                <w:w w:val="85"/>
                <w:sz w:val="22"/>
              </w:rPr>
              <w:t>DNPIA/</w:t>
            </w:r>
            <w:r>
              <w:rPr>
                <w:spacing w:val="-8"/>
                <w:sz w:val="22"/>
              </w:rPr>
              <w:t> </w:t>
            </w:r>
            <w:r>
              <w:rPr>
                <w:w w:val="85"/>
                <w:sz w:val="22"/>
              </w:rPr>
              <w:t>CPS</w:t>
            </w:r>
            <w:r>
              <w:rPr>
                <w:spacing w:val="-6"/>
                <w:sz w:val="22"/>
              </w:rPr>
              <w:t> </w:t>
            </w:r>
            <w:r>
              <w:rPr>
                <w:spacing w:val="-5"/>
                <w:w w:val="85"/>
                <w:sz w:val="22"/>
              </w:rPr>
              <w:t>SDR</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24</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line="266" w:lineRule="auto" w:before="2"/>
              <w:ind w:left="141" w:right="743" w:hanging="41"/>
              <w:rPr>
                <w:sz w:val="22"/>
              </w:rPr>
            </w:pPr>
            <w:r>
              <w:rPr>
                <w:spacing w:val="-2"/>
                <w:w w:val="80"/>
                <w:sz w:val="22"/>
              </w:rPr>
              <w:t>Quantité</w:t>
            </w:r>
            <w:r>
              <w:rPr>
                <w:spacing w:val="-11"/>
                <w:sz w:val="22"/>
              </w:rPr>
              <w:t> </w:t>
            </w:r>
            <w:r>
              <w:rPr>
                <w:spacing w:val="-2"/>
                <w:w w:val="80"/>
                <w:sz w:val="22"/>
              </w:rPr>
              <w:t>de</w:t>
            </w:r>
            <w:r>
              <w:rPr>
                <w:spacing w:val="-10"/>
                <w:sz w:val="22"/>
              </w:rPr>
              <w:t> </w:t>
            </w:r>
            <w:r>
              <w:rPr>
                <w:spacing w:val="-2"/>
                <w:w w:val="80"/>
                <w:sz w:val="22"/>
              </w:rPr>
              <w:t>lait</w:t>
            </w:r>
            <w:r>
              <w:rPr>
                <w:spacing w:val="-10"/>
                <w:sz w:val="22"/>
              </w:rPr>
              <w:t> </w:t>
            </w:r>
            <w:r>
              <w:rPr>
                <w:spacing w:val="-2"/>
                <w:w w:val="80"/>
                <w:sz w:val="22"/>
              </w:rPr>
              <w:t>collecté</w:t>
            </w:r>
            <w:r>
              <w:rPr>
                <w:sz w:val="22"/>
              </w:rPr>
              <w:t> </w:t>
            </w:r>
            <w:r>
              <w:rPr>
                <w:w w:val="75"/>
                <w:sz w:val="22"/>
              </w:rPr>
              <w:t>(en</w:t>
            </w:r>
            <w:r>
              <w:rPr>
                <w:spacing w:val="3"/>
                <w:sz w:val="22"/>
              </w:rPr>
              <w:t> </w:t>
            </w:r>
            <w:r>
              <w:rPr>
                <w:w w:val="75"/>
                <w:sz w:val="22"/>
              </w:rPr>
              <w:t>milliers</w:t>
            </w:r>
            <w:r>
              <w:rPr>
                <w:spacing w:val="5"/>
                <w:sz w:val="22"/>
              </w:rPr>
              <w:t> </w:t>
            </w:r>
            <w:r>
              <w:rPr>
                <w:w w:val="75"/>
                <w:sz w:val="22"/>
              </w:rPr>
              <w:t>de</w:t>
            </w:r>
            <w:r>
              <w:rPr>
                <w:spacing w:val="3"/>
                <w:sz w:val="22"/>
              </w:rPr>
              <w:t> </w:t>
            </w:r>
            <w:r>
              <w:rPr>
                <w:spacing w:val="-2"/>
                <w:w w:val="75"/>
                <w:sz w:val="22"/>
              </w:rPr>
              <w:t>tonnes)</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ind w:left="212"/>
              <w:rPr>
                <w:sz w:val="22"/>
              </w:rPr>
            </w:pPr>
            <w:r>
              <w:rPr>
                <w:spacing w:val="-4"/>
                <w:sz w:val="22"/>
              </w:rPr>
              <w:t>13,6</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ind w:left="210"/>
              <w:rPr>
                <w:sz w:val="22"/>
              </w:rPr>
            </w:pPr>
            <w:r>
              <w:rPr>
                <w:w w:val="85"/>
                <w:sz w:val="22"/>
              </w:rPr>
              <w:t>22,</w:t>
            </w:r>
            <w:r>
              <w:rPr>
                <w:spacing w:val="-4"/>
                <w:w w:val="85"/>
                <w:sz w:val="22"/>
              </w:rPr>
              <w:t> </w:t>
            </w:r>
            <w:r>
              <w:rPr>
                <w:spacing w:val="-12"/>
                <w:sz w:val="22"/>
              </w:rPr>
              <w:t>8</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ind w:left="191"/>
              <w:rPr>
                <w:sz w:val="22"/>
              </w:rPr>
            </w:pPr>
            <w:r>
              <w:rPr>
                <w:w w:val="85"/>
                <w:sz w:val="22"/>
              </w:rPr>
              <w:t>43,</w:t>
            </w:r>
            <w:r>
              <w:rPr>
                <w:spacing w:val="-3"/>
                <w:w w:val="85"/>
                <w:sz w:val="22"/>
              </w:rPr>
              <w:t> </w:t>
            </w:r>
            <w:r>
              <w:rPr>
                <w:spacing w:val="-10"/>
                <w:w w:val="95"/>
                <w:sz w:val="22"/>
              </w:rPr>
              <w:t>7</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ind w:left="263"/>
              <w:rPr>
                <w:sz w:val="22"/>
              </w:rPr>
            </w:pPr>
            <w:r>
              <w:rPr>
                <w:w w:val="75"/>
                <w:sz w:val="22"/>
              </w:rPr>
              <w:t>83,</w:t>
            </w:r>
            <w:r>
              <w:rPr>
                <w:spacing w:val="-2"/>
                <w:w w:val="85"/>
                <w:sz w:val="22"/>
              </w:rPr>
              <w:t> </w:t>
            </w:r>
            <w:r>
              <w:rPr>
                <w:spacing w:val="-10"/>
                <w:w w:val="85"/>
                <w:sz w:val="22"/>
              </w:rPr>
              <w:t>9</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ind w:left="167"/>
              <w:rPr>
                <w:sz w:val="22"/>
              </w:rPr>
            </w:pPr>
            <w:r>
              <w:rPr>
                <w:w w:val="85"/>
                <w:sz w:val="22"/>
              </w:rPr>
              <w:t>161,</w:t>
            </w:r>
            <w:r>
              <w:rPr>
                <w:spacing w:val="-4"/>
                <w:w w:val="85"/>
                <w:sz w:val="22"/>
              </w:rPr>
              <w:t> </w:t>
            </w:r>
            <w:r>
              <w:rPr>
                <w:spacing w:val="-10"/>
                <w:sz w:val="22"/>
              </w:rPr>
              <w:t>1</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28"/>
              <w:ind w:left="350"/>
              <w:rPr>
                <w:sz w:val="22"/>
              </w:rPr>
            </w:pPr>
            <w:r>
              <w:rPr>
                <w:spacing w:val="-2"/>
                <w:w w:val="90"/>
                <w:sz w:val="22"/>
              </w:rPr>
              <w:t>Rapport</w:t>
            </w:r>
          </w:p>
        </w:tc>
        <w:tc>
          <w:tcPr>
            <w:tcW w:w="1445" w:type="dxa"/>
            <w:tcBorders>
              <w:top w:val="single" w:sz="8" w:space="0" w:color="221F1F"/>
              <w:left w:val="single" w:sz="8" w:space="0" w:color="221F1F"/>
              <w:bottom w:val="single" w:sz="8" w:space="0" w:color="221F1F"/>
            </w:tcBorders>
          </w:tcPr>
          <w:p>
            <w:pPr>
              <w:pStyle w:val="TableParagraph"/>
              <w:spacing w:before="170"/>
              <w:ind w:left="85" w:right="5"/>
              <w:jc w:val="center"/>
              <w:rPr>
                <w:sz w:val="22"/>
              </w:rPr>
            </w:pPr>
            <w:r>
              <w:rPr>
                <w:w w:val="85"/>
                <w:sz w:val="22"/>
              </w:rPr>
              <w:t>DNPIA/</w:t>
            </w:r>
            <w:r>
              <w:rPr>
                <w:spacing w:val="-8"/>
                <w:sz w:val="22"/>
              </w:rPr>
              <w:t> </w:t>
            </w:r>
            <w:r>
              <w:rPr>
                <w:w w:val="85"/>
                <w:sz w:val="22"/>
              </w:rPr>
              <w:t>CPS</w:t>
            </w:r>
            <w:r>
              <w:rPr>
                <w:spacing w:val="-6"/>
                <w:sz w:val="22"/>
              </w:rPr>
              <w:t> </w:t>
            </w:r>
            <w:r>
              <w:rPr>
                <w:spacing w:val="-5"/>
                <w:w w:val="85"/>
                <w:sz w:val="22"/>
              </w:rPr>
              <w:t>SDR</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8"/>
              <w:ind w:left="93" w:right="12"/>
              <w:jc w:val="center"/>
              <w:rPr>
                <w:b/>
                <w:sz w:val="22"/>
              </w:rPr>
            </w:pPr>
            <w:r>
              <w:rPr>
                <w:b/>
                <w:spacing w:val="-5"/>
                <w:sz w:val="22"/>
              </w:rPr>
              <w:t>25</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line="268" w:lineRule="auto" w:before="29"/>
              <w:ind w:left="100"/>
              <w:rPr>
                <w:sz w:val="22"/>
              </w:rPr>
            </w:pPr>
            <w:r>
              <w:rPr>
                <w:spacing w:val="-2"/>
                <w:w w:val="80"/>
                <w:sz w:val="22"/>
              </w:rPr>
              <w:t>Production</w:t>
            </w:r>
            <w:r>
              <w:rPr>
                <w:spacing w:val="-7"/>
                <w:sz w:val="22"/>
              </w:rPr>
              <w:t> </w:t>
            </w:r>
            <w:r>
              <w:rPr>
                <w:spacing w:val="-2"/>
                <w:w w:val="80"/>
                <w:sz w:val="22"/>
              </w:rPr>
              <w:t>de</w:t>
            </w:r>
            <w:r>
              <w:rPr>
                <w:spacing w:val="-7"/>
                <w:sz w:val="22"/>
              </w:rPr>
              <w:t> </w:t>
            </w:r>
            <w:r>
              <w:rPr>
                <w:spacing w:val="-2"/>
                <w:w w:val="80"/>
                <w:sz w:val="22"/>
              </w:rPr>
              <w:t>poisson</w:t>
            </w:r>
            <w:r>
              <w:rPr>
                <w:spacing w:val="-7"/>
                <w:sz w:val="22"/>
              </w:rPr>
              <w:t> </w:t>
            </w:r>
            <w:r>
              <w:rPr>
                <w:spacing w:val="-2"/>
                <w:w w:val="80"/>
                <w:sz w:val="22"/>
              </w:rPr>
              <w:t>(en</w:t>
            </w:r>
            <w:r>
              <w:rPr>
                <w:spacing w:val="-7"/>
                <w:sz w:val="22"/>
              </w:rPr>
              <w:t> </w:t>
            </w:r>
            <w:r>
              <w:rPr>
                <w:spacing w:val="-2"/>
                <w:w w:val="80"/>
                <w:sz w:val="22"/>
              </w:rPr>
              <w:t>milliers</w:t>
            </w:r>
            <w:r>
              <w:rPr>
                <w:spacing w:val="-2"/>
                <w:w w:val="90"/>
                <w:sz w:val="22"/>
              </w:rPr>
              <w:t> </w:t>
            </w:r>
            <w:r>
              <w:rPr>
                <w:w w:val="90"/>
                <w:sz w:val="22"/>
              </w:rPr>
              <w:t>de</w:t>
            </w:r>
            <w:r>
              <w:rPr>
                <w:spacing w:val="-6"/>
                <w:w w:val="90"/>
                <w:sz w:val="22"/>
              </w:rPr>
              <w:t> </w:t>
            </w:r>
            <w:r>
              <w:rPr>
                <w:w w:val="90"/>
                <w:sz w:val="22"/>
              </w:rPr>
              <w:t>tonnes)</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ind w:left="212"/>
              <w:rPr>
                <w:sz w:val="22"/>
              </w:rPr>
            </w:pPr>
            <w:r>
              <w:rPr>
                <w:w w:val="85"/>
                <w:sz w:val="22"/>
              </w:rPr>
              <w:t>133,</w:t>
            </w:r>
            <w:r>
              <w:rPr>
                <w:spacing w:val="-4"/>
                <w:w w:val="85"/>
                <w:sz w:val="22"/>
              </w:rPr>
              <w:t> </w:t>
            </w:r>
            <w:r>
              <w:rPr>
                <w:spacing w:val="-10"/>
                <w:sz w:val="22"/>
              </w:rPr>
              <w:t>9</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29"/>
              <w:ind w:left="210"/>
              <w:rPr>
                <w:sz w:val="22"/>
              </w:rPr>
            </w:pPr>
            <w:r>
              <w:rPr>
                <w:w w:val="85"/>
                <w:sz w:val="22"/>
              </w:rPr>
              <w:t>165,</w:t>
            </w:r>
            <w:r>
              <w:rPr>
                <w:spacing w:val="-4"/>
                <w:w w:val="85"/>
                <w:sz w:val="22"/>
              </w:rPr>
              <w:t> </w:t>
            </w:r>
            <w:r>
              <w:rPr>
                <w:spacing w:val="-10"/>
                <w:sz w:val="22"/>
              </w:rPr>
              <w:t>6</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9"/>
              <w:ind w:left="191"/>
              <w:rPr>
                <w:sz w:val="22"/>
              </w:rPr>
            </w:pPr>
            <w:r>
              <w:rPr>
                <w:w w:val="85"/>
                <w:sz w:val="22"/>
              </w:rPr>
              <w:t>212,</w:t>
            </w:r>
            <w:r>
              <w:rPr>
                <w:spacing w:val="-4"/>
                <w:w w:val="85"/>
                <w:sz w:val="22"/>
              </w:rPr>
              <w:t> </w:t>
            </w:r>
            <w:r>
              <w:rPr>
                <w:spacing w:val="-10"/>
                <w:w w:val="95"/>
                <w:sz w:val="22"/>
              </w:rPr>
              <w:t>1</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ind w:right="131"/>
              <w:jc w:val="right"/>
              <w:rPr>
                <w:sz w:val="22"/>
              </w:rPr>
            </w:pPr>
            <w:r>
              <w:rPr>
                <w:w w:val="80"/>
                <w:sz w:val="22"/>
              </w:rPr>
              <w:t>275,</w:t>
            </w:r>
            <w:r>
              <w:rPr>
                <w:spacing w:val="-3"/>
                <w:w w:val="80"/>
                <w:sz w:val="22"/>
              </w:rPr>
              <w:t> </w:t>
            </w:r>
            <w:r>
              <w:rPr>
                <w:spacing w:val="-10"/>
                <w:w w:val="90"/>
                <w:sz w:val="22"/>
              </w:rPr>
              <w:t>2</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29"/>
              <w:ind w:left="167"/>
              <w:rPr>
                <w:sz w:val="22"/>
              </w:rPr>
            </w:pPr>
            <w:r>
              <w:rPr>
                <w:w w:val="85"/>
                <w:sz w:val="22"/>
              </w:rPr>
              <w:t>338,</w:t>
            </w:r>
            <w:r>
              <w:rPr>
                <w:spacing w:val="-4"/>
                <w:w w:val="85"/>
                <w:sz w:val="22"/>
              </w:rPr>
              <w:t> </w:t>
            </w:r>
            <w:r>
              <w:rPr>
                <w:spacing w:val="-10"/>
                <w:sz w:val="22"/>
              </w:rPr>
              <w:t>7</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29"/>
              <w:ind w:left="350"/>
              <w:rPr>
                <w:sz w:val="22"/>
              </w:rPr>
            </w:pPr>
            <w:r>
              <w:rPr>
                <w:spacing w:val="-2"/>
                <w:w w:val="90"/>
                <w:sz w:val="22"/>
              </w:rPr>
              <w:t>Rapport</w:t>
            </w:r>
          </w:p>
        </w:tc>
        <w:tc>
          <w:tcPr>
            <w:tcW w:w="1445" w:type="dxa"/>
            <w:tcBorders>
              <w:top w:val="single" w:sz="8" w:space="0" w:color="221F1F"/>
              <w:left w:val="single" w:sz="8" w:space="0" w:color="221F1F"/>
              <w:bottom w:val="single" w:sz="8" w:space="0" w:color="221F1F"/>
            </w:tcBorders>
          </w:tcPr>
          <w:p>
            <w:pPr>
              <w:pStyle w:val="TableParagraph"/>
              <w:spacing w:before="170"/>
              <w:ind w:left="85" w:right="3"/>
              <w:jc w:val="center"/>
              <w:rPr>
                <w:sz w:val="22"/>
              </w:rPr>
            </w:pPr>
            <w:r>
              <w:rPr>
                <w:w w:val="85"/>
                <w:sz w:val="22"/>
              </w:rPr>
              <w:t>DNP/</w:t>
            </w:r>
            <w:r>
              <w:rPr>
                <w:spacing w:val="-6"/>
                <w:sz w:val="22"/>
              </w:rPr>
              <w:t> </w:t>
            </w:r>
            <w:r>
              <w:rPr>
                <w:w w:val="85"/>
                <w:sz w:val="22"/>
              </w:rPr>
              <w:t>CPS</w:t>
            </w:r>
            <w:r>
              <w:rPr>
                <w:spacing w:val="-1"/>
                <w:w w:val="85"/>
                <w:sz w:val="22"/>
              </w:rPr>
              <w:t> </w:t>
            </w:r>
            <w:r>
              <w:rPr>
                <w:spacing w:val="-5"/>
                <w:w w:val="85"/>
                <w:sz w:val="22"/>
              </w:rPr>
              <w:t>SDR</w:t>
            </w:r>
          </w:p>
        </w:tc>
      </w:tr>
      <w:tr>
        <w:trPr>
          <w:trHeight w:val="644" w:hRule="atLeast"/>
        </w:trPr>
        <w:tc>
          <w:tcPr>
            <w:tcW w:w="420" w:type="dxa"/>
            <w:tcBorders>
              <w:top w:val="single" w:sz="8" w:space="0" w:color="221F1F"/>
              <w:bottom w:val="nil"/>
              <w:right w:val="single" w:sz="8" w:space="0" w:color="221F1F"/>
            </w:tcBorders>
            <w:shd w:val="clear" w:color="auto" w:fill="BED7EB"/>
          </w:tcPr>
          <w:p>
            <w:pPr>
              <w:pStyle w:val="TableParagraph"/>
              <w:spacing w:before="237"/>
              <w:ind w:left="93" w:right="12"/>
              <w:jc w:val="center"/>
              <w:rPr>
                <w:b/>
                <w:sz w:val="22"/>
              </w:rPr>
            </w:pPr>
            <w:r>
              <w:rPr>
                <w:b/>
                <w:spacing w:val="-5"/>
                <w:sz w:val="22"/>
              </w:rPr>
              <w:t>26</w:t>
            </w:r>
          </w:p>
        </w:tc>
        <w:tc>
          <w:tcPr>
            <w:tcW w:w="1181" w:type="dxa"/>
            <w:tcBorders>
              <w:top w:val="single" w:sz="8" w:space="0" w:color="221F1F"/>
              <w:left w:val="single" w:sz="8" w:space="0" w:color="221F1F"/>
              <w:bottom w:val="nil"/>
              <w:right w:val="single" w:sz="8" w:space="0" w:color="221F1F"/>
            </w:tcBorders>
          </w:tcPr>
          <w:p>
            <w:pPr>
              <w:pStyle w:val="TableParagraph"/>
              <w:spacing w:line="268" w:lineRule="auto" w:before="28"/>
              <w:ind w:left="100" w:right="51"/>
              <w:rPr>
                <w:sz w:val="22"/>
              </w:rPr>
            </w:pPr>
            <w:r>
              <w:rPr>
                <w:spacing w:val="-2"/>
                <w:w w:val="75"/>
                <w:sz w:val="22"/>
              </w:rPr>
              <w:t>Aménagements</w:t>
            </w:r>
            <w:r>
              <w:rPr>
                <w:spacing w:val="-2"/>
                <w:w w:val="90"/>
                <w:sz w:val="22"/>
              </w:rPr>
              <w:t> pasteraux</w:t>
            </w:r>
          </w:p>
        </w:tc>
        <w:tc>
          <w:tcPr>
            <w:tcW w:w="1179" w:type="dxa"/>
            <w:tcBorders>
              <w:top w:val="single" w:sz="8" w:space="0" w:color="221F1F"/>
              <w:left w:val="single" w:sz="8" w:space="0" w:color="221F1F"/>
              <w:bottom w:val="nil"/>
              <w:right w:val="single" w:sz="8" w:space="0" w:color="221F1F"/>
            </w:tcBorders>
          </w:tcPr>
          <w:p>
            <w:pPr>
              <w:pStyle w:val="TableParagraph"/>
              <w:spacing w:before="28"/>
              <w:ind w:left="97"/>
              <w:rPr>
                <w:sz w:val="22"/>
              </w:rPr>
            </w:pPr>
            <w:r>
              <w:rPr>
                <w:w w:val="75"/>
                <w:sz w:val="22"/>
              </w:rPr>
              <w:t>Superficie</w:t>
            </w:r>
            <w:r>
              <w:rPr>
                <w:spacing w:val="24"/>
                <w:sz w:val="22"/>
              </w:rPr>
              <w:t> </w:t>
            </w:r>
            <w:r>
              <w:rPr>
                <w:spacing w:val="-5"/>
                <w:w w:val="90"/>
                <w:sz w:val="22"/>
              </w:rPr>
              <w:t>(en</w:t>
            </w:r>
          </w:p>
          <w:p>
            <w:pPr>
              <w:pStyle w:val="TableParagraph"/>
              <w:spacing w:before="31"/>
              <w:ind w:left="97"/>
              <w:rPr>
                <w:sz w:val="22"/>
              </w:rPr>
            </w:pPr>
            <w:r>
              <w:rPr>
                <w:w w:val="75"/>
                <w:sz w:val="22"/>
              </w:rPr>
              <w:t>milliers</w:t>
            </w:r>
            <w:r>
              <w:rPr>
                <w:spacing w:val="10"/>
                <w:sz w:val="22"/>
              </w:rPr>
              <w:t> </w:t>
            </w:r>
            <w:r>
              <w:rPr>
                <w:spacing w:val="-4"/>
                <w:w w:val="90"/>
                <w:sz w:val="22"/>
              </w:rPr>
              <w:t>d’ha)</w:t>
            </w:r>
          </w:p>
        </w:tc>
        <w:tc>
          <w:tcPr>
            <w:tcW w:w="1214" w:type="dxa"/>
            <w:tcBorders>
              <w:top w:val="single" w:sz="8" w:space="0" w:color="221F1F"/>
              <w:left w:val="single" w:sz="8" w:space="0" w:color="221F1F"/>
              <w:bottom w:val="nil"/>
              <w:right w:val="single" w:sz="8" w:space="0" w:color="221F1F"/>
            </w:tcBorders>
          </w:tcPr>
          <w:p>
            <w:pPr>
              <w:pStyle w:val="TableParagraph"/>
              <w:spacing w:before="28"/>
              <w:ind w:left="520"/>
              <w:rPr>
                <w:sz w:val="22"/>
              </w:rPr>
            </w:pPr>
            <w:r>
              <w:rPr>
                <w:spacing w:val="-2"/>
                <w:sz w:val="22"/>
              </w:rPr>
              <w:t>630,9</w:t>
            </w:r>
          </w:p>
        </w:tc>
        <w:tc>
          <w:tcPr>
            <w:tcW w:w="917" w:type="dxa"/>
            <w:tcBorders>
              <w:top w:val="single" w:sz="8" w:space="0" w:color="221F1F"/>
              <w:left w:val="single" w:sz="8" w:space="0" w:color="221F1F"/>
              <w:bottom w:val="nil"/>
              <w:right w:val="single" w:sz="8" w:space="0" w:color="221F1F"/>
            </w:tcBorders>
          </w:tcPr>
          <w:p>
            <w:pPr>
              <w:pStyle w:val="TableParagraph"/>
              <w:spacing w:before="28"/>
              <w:ind w:left="362"/>
              <w:rPr>
                <w:sz w:val="22"/>
              </w:rPr>
            </w:pPr>
            <w:r>
              <w:rPr>
                <w:w w:val="90"/>
                <w:sz w:val="22"/>
              </w:rPr>
              <w:t>2</w:t>
            </w:r>
            <w:r>
              <w:rPr>
                <w:spacing w:val="-7"/>
                <w:w w:val="90"/>
                <w:sz w:val="22"/>
              </w:rPr>
              <w:t> </w:t>
            </w:r>
            <w:r>
              <w:rPr>
                <w:spacing w:val="-5"/>
                <w:w w:val="95"/>
                <w:sz w:val="22"/>
              </w:rPr>
              <w:t>120</w:t>
            </w:r>
          </w:p>
        </w:tc>
        <w:tc>
          <w:tcPr>
            <w:tcW w:w="773" w:type="dxa"/>
            <w:tcBorders>
              <w:top w:val="single" w:sz="8" w:space="0" w:color="221F1F"/>
              <w:left w:val="single" w:sz="8" w:space="0" w:color="221F1F"/>
              <w:bottom w:val="nil"/>
              <w:right w:val="single" w:sz="8" w:space="0" w:color="221F1F"/>
            </w:tcBorders>
          </w:tcPr>
          <w:p>
            <w:pPr>
              <w:pStyle w:val="TableParagraph"/>
              <w:ind w:left="242"/>
              <w:rPr>
                <w:sz w:val="22"/>
              </w:rPr>
            </w:pPr>
            <w:r>
              <w:rPr>
                <w:w w:val="75"/>
                <w:sz w:val="22"/>
              </w:rPr>
              <w:t>3</w:t>
            </w:r>
            <w:r>
              <w:rPr>
                <w:spacing w:val="-6"/>
                <w:w w:val="90"/>
                <w:sz w:val="22"/>
              </w:rPr>
              <w:t> </w:t>
            </w:r>
            <w:r>
              <w:rPr>
                <w:spacing w:val="-5"/>
                <w:w w:val="90"/>
                <w:sz w:val="22"/>
              </w:rPr>
              <w:t>320</w:t>
            </w:r>
          </w:p>
        </w:tc>
        <w:tc>
          <w:tcPr>
            <w:tcW w:w="773" w:type="dxa"/>
            <w:tcBorders>
              <w:top w:val="single" w:sz="8" w:space="0" w:color="221F1F"/>
              <w:left w:val="single" w:sz="8" w:space="0" w:color="221F1F"/>
              <w:bottom w:val="nil"/>
              <w:right w:val="single" w:sz="8" w:space="0" w:color="221F1F"/>
            </w:tcBorders>
          </w:tcPr>
          <w:p>
            <w:pPr>
              <w:pStyle w:val="TableParagraph"/>
              <w:spacing w:before="28"/>
              <w:ind w:right="84"/>
              <w:jc w:val="right"/>
              <w:rPr>
                <w:sz w:val="22"/>
              </w:rPr>
            </w:pPr>
            <w:r>
              <w:rPr>
                <w:w w:val="85"/>
                <w:sz w:val="22"/>
              </w:rPr>
              <w:t>4</w:t>
            </w:r>
            <w:r>
              <w:rPr>
                <w:spacing w:val="-2"/>
                <w:w w:val="85"/>
                <w:sz w:val="22"/>
              </w:rPr>
              <w:t> </w:t>
            </w:r>
            <w:r>
              <w:rPr>
                <w:spacing w:val="-5"/>
                <w:sz w:val="22"/>
              </w:rPr>
              <w:t>520</w:t>
            </w:r>
          </w:p>
        </w:tc>
        <w:tc>
          <w:tcPr>
            <w:tcW w:w="1018" w:type="dxa"/>
            <w:tcBorders>
              <w:top w:val="single" w:sz="8" w:space="0" w:color="221F1F"/>
              <w:left w:val="single" w:sz="8" w:space="0" w:color="221F1F"/>
              <w:bottom w:val="nil"/>
              <w:right w:val="single" w:sz="8" w:space="0" w:color="221F1F"/>
            </w:tcBorders>
          </w:tcPr>
          <w:p>
            <w:pPr>
              <w:pStyle w:val="TableParagraph"/>
              <w:spacing w:before="28"/>
              <w:ind w:left="167"/>
              <w:rPr>
                <w:sz w:val="22"/>
              </w:rPr>
            </w:pPr>
            <w:r>
              <w:rPr>
                <w:w w:val="85"/>
                <w:sz w:val="22"/>
              </w:rPr>
              <w:t>5</w:t>
            </w:r>
            <w:r>
              <w:rPr>
                <w:spacing w:val="-2"/>
                <w:w w:val="85"/>
                <w:sz w:val="22"/>
              </w:rPr>
              <w:t> </w:t>
            </w:r>
            <w:r>
              <w:rPr>
                <w:spacing w:val="-5"/>
                <w:sz w:val="22"/>
              </w:rPr>
              <w:t>720</w:t>
            </w:r>
          </w:p>
        </w:tc>
        <w:tc>
          <w:tcPr>
            <w:tcW w:w="1269" w:type="dxa"/>
            <w:tcBorders>
              <w:top w:val="single" w:sz="8" w:space="0" w:color="221F1F"/>
              <w:left w:val="single" w:sz="8" w:space="0" w:color="221F1F"/>
              <w:bottom w:val="nil"/>
              <w:right w:val="single" w:sz="8" w:space="0" w:color="221F1F"/>
            </w:tcBorders>
          </w:tcPr>
          <w:p>
            <w:pPr>
              <w:pStyle w:val="TableParagraph"/>
              <w:spacing w:before="28"/>
              <w:ind w:left="350"/>
              <w:rPr>
                <w:sz w:val="22"/>
              </w:rPr>
            </w:pPr>
            <w:r>
              <w:rPr>
                <w:spacing w:val="-2"/>
                <w:w w:val="90"/>
                <w:sz w:val="22"/>
              </w:rPr>
              <w:t>Rapport</w:t>
            </w:r>
          </w:p>
        </w:tc>
        <w:tc>
          <w:tcPr>
            <w:tcW w:w="1445" w:type="dxa"/>
            <w:tcBorders>
              <w:top w:val="single" w:sz="8" w:space="0" w:color="221F1F"/>
              <w:left w:val="single" w:sz="8" w:space="0" w:color="221F1F"/>
              <w:bottom w:val="nil"/>
            </w:tcBorders>
          </w:tcPr>
          <w:p>
            <w:pPr>
              <w:pStyle w:val="TableParagraph"/>
              <w:spacing w:before="170"/>
              <w:ind w:left="85" w:right="5"/>
              <w:jc w:val="center"/>
              <w:rPr>
                <w:sz w:val="22"/>
              </w:rPr>
            </w:pPr>
            <w:r>
              <w:rPr>
                <w:w w:val="85"/>
                <w:sz w:val="22"/>
              </w:rPr>
              <w:t>DNPIA/</w:t>
            </w:r>
            <w:r>
              <w:rPr>
                <w:spacing w:val="-8"/>
                <w:sz w:val="22"/>
              </w:rPr>
              <w:t> </w:t>
            </w:r>
            <w:r>
              <w:rPr>
                <w:w w:val="85"/>
                <w:sz w:val="22"/>
              </w:rPr>
              <w:t>CPS</w:t>
            </w:r>
            <w:r>
              <w:rPr>
                <w:spacing w:val="-6"/>
                <w:sz w:val="22"/>
              </w:rPr>
              <w:t> </w:t>
            </w:r>
            <w:r>
              <w:rPr>
                <w:spacing w:val="-5"/>
                <w:w w:val="85"/>
                <w:sz w:val="22"/>
              </w:rPr>
              <w:t>SDR</w:t>
            </w:r>
          </w:p>
        </w:tc>
      </w:tr>
      <w:tr>
        <w:trPr>
          <w:trHeight w:val="79" w:hRule="atLeast"/>
        </w:trPr>
        <w:tc>
          <w:tcPr>
            <w:tcW w:w="420" w:type="dxa"/>
            <w:tcBorders>
              <w:top w:val="nil"/>
              <w:bottom w:val="nil"/>
              <w:right w:val="single" w:sz="8" w:space="0" w:color="221F1F"/>
            </w:tcBorders>
            <w:shd w:val="clear" w:color="auto" w:fill="BED7EB"/>
          </w:tcPr>
          <w:p>
            <w:pPr>
              <w:pStyle w:val="TableParagraph"/>
              <w:rPr>
                <w:rFonts w:ascii="Times New Roman"/>
                <w:sz w:val="2"/>
              </w:rPr>
            </w:pPr>
          </w:p>
        </w:tc>
        <w:tc>
          <w:tcPr>
            <w:tcW w:w="1181" w:type="dxa"/>
            <w:tcBorders>
              <w:top w:val="nil"/>
              <w:left w:val="single" w:sz="8" w:space="0" w:color="221F1F"/>
              <w:bottom w:val="nil"/>
              <w:right w:val="single" w:sz="8" w:space="0" w:color="221F1F"/>
            </w:tcBorders>
          </w:tcPr>
          <w:p>
            <w:pPr>
              <w:pStyle w:val="TableParagraph"/>
              <w:rPr>
                <w:rFonts w:ascii="Times New Roman"/>
                <w:sz w:val="2"/>
              </w:rPr>
            </w:pPr>
          </w:p>
        </w:tc>
        <w:tc>
          <w:tcPr>
            <w:tcW w:w="1179" w:type="dxa"/>
            <w:tcBorders>
              <w:top w:val="nil"/>
              <w:left w:val="single" w:sz="8" w:space="0" w:color="221F1F"/>
              <w:bottom w:val="single" w:sz="8" w:space="0" w:color="221F1F"/>
              <w:right w:val="single" w:sz="8" w:space="0" w:color="221F1F"/>
            </w:tcBorders>
          </w:tcPr>
          <w:p>
            <w:pPr>
              <w:pStyle w:val="TableParagraph"/>
              <w:rPr>
                <w:rFonts w:ascii="Times New Roman"/>
                <w:sz w:val="2"/>
              </w:rPr>
            </w:pPr>
          </w:p>
        </w:tc>
        <w:tc>
          <w:tcPr>
            <w:tcW w:w="1214" w:type="dxa"/>
            <w:tcBorders>
              <w:top w:val="nil"/>
              <w:left w:val="single" w:sz="8" w:space="0" w:color="221F1F"/>
              <w:bottom w:val="single" w:sz="8" w:space="0" w:color="221F1F"/>
              <w:right w:val="single" w:sz="8" w:space="0" w:color="221F1F"/>
            </w:tcBorders>
          </w:tcPr>
          <w:p>
            <w:pPr>
              <w:pStyle w:val="TableParagraph"/>
              <w:rPr>
                <w:rFonts w:ascii="Times New Roman"/>
                <w:sz w:val="2"/>
              </w:rPr>
            </w:pPr>
          </w:p>
        </w:tc>
        <w:tc>
          <w:tcPr>
            <w:tcW w:w="917" w:type="dxa"/>
            <w:tcBorders>
              <w:top w:val="nil"/>
              <w:left w:val="single" w:sz="8" w:space="0" w:color="221F1F"/>
              <w:bottom w:val="single" w:sz="8" w:space="0" w:color="221F1F"/>
              <w:right w:val="single" w:sz="8" w:space="0" w:color="221F1F"/>
            </w:tcBorders>
          </w:tcPr>
          <w:p>
            <w:pPr>
              <w:pStyle w:val="TableParagraph"/>
              <w:rPr>
                <w:rFonts w:ascii="Times New Roman"/>
                <w:sz w:val="2"/>
              </w:rPr>
            </w:pPr>
          </w:p>
        </w:tc>
        <w:tc>
          <w:tcPr>
            <w:tcW w:w="773" w:type="dxa"/>
            <w:tcBorders>
              <w:top w:val="nil"/>
              <w:left w:val="single" w:sz="8" w:space="0" w:color="221F1F"/>
              <w:bottom w:val="single" w:sz="8" w:space="0" w:color="221F1F"/>
              <w:right w:val="single" w:sz="8" w:space="0" w:color="221F1F"/>
            </w:tcBorders>
          </w:tcPr>
          <w:p>
            <w:pPr>
              <w:pStyle w:val="TableParagraph"/>
              <w:rPr>
                <w:rFonts w:ascii="Times New Roman"/>
                <w:sz w:val="2"/>
              </w:rPr>
            </w:pPr>
          </w:p>
        </w:tc>
        <w:tc>
          <w:tcPr>
            <w:tcW w:w="773" w:type="dxa"/>
            <w:tcBorders>
              <w:top w:val="nil"/>
              <w:left w:val="single" w:sz="8" w:space="0" w:color="221F1F"/>
              <w:bottom w:val="single" w:sz="8" w:space="0" w:color="221F1F"/>
              <w:right w:val="single" w:sz="8" w:space="0" w:color="221F1F"/>
            </w:tcBorders>
          </w:tcPr>
          <w:p>
            <w:pPr>
              <w:pStyle w:val="TableParagraph"/>
              <w:rPr>
                <w:rFonts w:ascii="Times New Roman"/>
                <w:sz w:val="2"/>
              </w:rPr>
            </w:pPr>
          </w:p>
        </w:tc>
        <w:tc>
          <w:tcPr>
            <w:tcW w:w="1018" w:type="dxa"/>
            <w:tcBorders>
              <w:top w:val="nil"/>
              <w:left w:val="single" w:sz="8" w:space="0" w:color="221F1F"/>
              <w:bottom w:val="single" w:sz="8" w:space="0" w:color="221F1F"/>
              <w:right w:val="single" w:sz="8" w:space="0" w:color="221F1F"/>
            </w:tcBorders>
          </w:tcPr>
          <w:p>
            <w:pPr>
              <w:pStyle w:val="TableParagraph"/>
              <w:rPr>
                <w:rFonts w:ascii="Times New Roman"/>
                <w:sz w:val="2"/>
              </w:rPr>
            </w:pPr>
          </w:p>
        </w:tc>
        <w:tc>
          <w:tcPr>
            <w:tcW w:w="1269" w:type="dxa"/>
            <w:tcBorders>
              <w:top w:val="nil"/>
              <w:left w:val="single" w:sz="8" w:space="0" w:color="221F1F"/>
              <w:bottom w:val="nil"/>
              <w:right w:val="single" w:sz="8" w:space="0" w:color="221F1F"/>
            </w:tcBorders>
          </w:tcPr>
          <w:p>
            <w:pPr>
              <w:pStyle w:val="TableParagraph"/>
              <w:rPr>
                <w:rFonts w:ascii="Times New Roman"/>
                <w:sz w:val="2"/>
              </w:rPr>
            </w:pPr>
          </w:p>
        </w:tc>
        <w:tc>
          <w:tcPr>
            <w:tcW w:w="1445" w:type="dxa"/>
            <w:tcBorders>
              <w:top w:val="nil"/>
              <w:left w:val="single" w:sz="8" w:space="0" w:color="221F1F"/>
              <w:bottom w:val="nil"/>
            </w:tcBorders>
          </w:tcPr>
          <w:p>
            <w:pPr>
              <w:pStyle w:val="TableParagraph"/>
              <w:rPr>
                <w:rFonts w:ascii="Times New Roman"/>
                <w:sz w:val="2"/>
              </w:rPr>
            </w:pPr>
          </w:p>
        </w:tc>
      </w:tr>
      <w:tr>
        <w:trPr>
          <w:trHeight w:val="321" w:hRule="atLeast"/>
        </w:trPr>
        <w:tc>
          <w:tcPr>
            <w:tcW w:w="420" w:type="dxa"/>
            <w:tcBorders>
              <w:top w:val="nil"/>
              <w:bottom w:val="nil"/>
              <w:right w:val="single" w:sz="8" w:space="0" w:color="221F1F"/>
            </w:tcBorders>
            <w:shd w:val="clear" w:color="auto" w:fill="BED7EB"/>
          </w:tcPr>
          <w:p>
            <w:pPr>
              <w:pStyle w:val="TableParagraph"/>
              <w:spacing w:line="233" w:lineRule="exact"/>
              <w:ind w:left="93" w:right="12"/>
              <w:jc w:val="center"/>
              <w:rPr>
                <w:b/>
                <w:sz w:val="22"/>
              </w:rPr>
            </w:pPr>
            <w:r>
              <w:rPr>
                <w:b/>
                <w:spacing w:val="-5"/>
                <w:sz w:val="22"/>
              </w:rPr>
              <w:t>27</w:t>
            </w:r>
          </w:p>
        </w:tc>
        <w:tc>
          <w:tcPr>
            <w:tcW w:w="1181" w:type="dxa"/>
            <w:tcBorders>
              <w:top w:val="nil"/>
              <w:left w:val="single" w:sz="8" w:space="0" w:color="221F1F"/>
              <w:bottom w:val="nil"/>
              <w:right w:val="single" w:sz="8" w:space="0" w:color="221F1F"/>
            </w:tcBorders>
          </w:tcPr>
          <w:p>
            <w:pPr>
              <w:pStyle w:val="TableParagraph"/>
              <w:rPr>
                <w:rFonts w:ascii="Times New Roman"/>
                <w:sz w:val="18"/>
              </w:rPr>
            </w:pPr>
          </w:p>
        </w:tc>
        <w:tc>
          <w:tcPr>
            <w:tcW w:w="1179" w:type="dxa"/>
            <w:tcBorders>
              <w:top w:val="single" w:sz="8" w:space="0" w:color="221F1F"/>
              <w:left w:val="single" w:sz="8" w:space="0" w:color="221F1F"/>
              <w:bottom w:val="nil"/>
              <w:right w:val="single" w:sz="8" w:space="0" w:color="221F1F"/>
            </w:tcBorders>
          </w:tcPr>
          <w:p>
            <w:pPr>
              <w:pStyle w:val="TableParagraph"/>
              <w:spacing w:line="247" w:lineRule="exact" w:before="55"/>
              <w:ind w:left="97"/>
              <w:rPr>
                <w:sz w:val="22"/>
              </w:rPr>
            </w:pPr>
            <w:r>
              <w:rPr>
                <w:w w:val="75"/>
                <w:sz w:val="22"/>
              </w:rPr>
              <w:t>Nombre</w:t>
            </w:r>
            <w:r>
              <w:rPr>
                <w:spacing w:val="16"/>
                <w:sz w:val="22"/>
              </w:rPr>
              <w:t> </w:t>
            </w:r>
            <w:r>
              <w:rPr>
                <w:spacing w:val="-5"/>
                <w:w w:val="90"/>
                <w:sz w:val="22"/>
              </w:rPr>
              <w:t>de</w:t>
            </w:r>
          </w:p>
        </w:tc>
        <w:tc>
          <w:tcPr>
            <w:tcW w:w="1214" w:type="dxa"/>
            <w:tcBorders>
              <w:top w:val="single" w:sz="8" w:space="0" w:color="221F1F"/>
              <w:left w:val="single" w:sz="8" w:space="0" w:color="221F1F"/>
              <w:bottom w:val="nil"/>
              <w:right w:val="single" w:sz="8" w:space="0" w:color="221F1F"/>
            </w:tcBorders>
          </w:tcPr>
          <w:p>
            <w:pPr>
              <w:pStyle w:val="TableParagraph"/>
              <w:spacing w:before="26"/>
              <w:ind w:left="79" w:right="3"/>
              <w:jc w:val="center"/>
              <w:rPr>
                <w:sz w:val="22"/>
              </w:rPr>
            </w:pPr>
            <w:r>
              <w:rPr>
                <w:spacing w:val="-5"/>
                <w:w w:val="90"/>
                <w:sz w:val="22"/>
              </w:rPr>
              <w:t>46</w:t>
            </w:r>
          </w:p>
        </w:tc>
        <w:tc>
          <w:tcPr>
            <w:tcW w:w="917" w:type="dxa"/>
            <w:tcBorders>
              <w:top w:val="single" w:sz="8" w:space="0" w:color="221F1F"/>
              <w:left w:val="single" w:sz="8" w:space="0" w:color="221F1F"/>
              <w:bottom w:val="nil"/>
              <w:right w:val="single" w:sz="8" w:space="0" w:color="221F1F"/>
            </w:tcBorders>
          </w:tcPr>
          <w:p>
            <w:pPr>
              <w:pStyle w:val="TableParagraph"/>
              <w:spacing w:line="247" w:lineRule="exact" w:before="55"/>
              <w:ind w:left="434"/>
              <w:rPr>
                <w:sz w:val="22"/>
              </w:rPr>
            </w:pPr>
            <w:r>
              <w:rPr>
                <w:spacing w:val="-5"/>
                <w:sz w:val="22"/>
              </w:rPr>
              <w:t>106</w:t>
            </w:r>
          </w:p>
        </w:tc>
        <w:tc>
          <w:tcPr>
            <w:tcW w:w="773" w:type="dxa"/>
            <w:tcBorders>
              <w:top w:val="single" w:sz="8" w:space="0" w:color="221F1F"/>
              <w:left w:val="single" w:sz="8" w:space="0" w:color="221F1F"/>
              <w:bottom w:val="nil"/>
              <w:right w:val="single" w:sz="8" w:space="0" w:color="221F1F"/>
            </w:tcBorders>
          </w:tcPr>
          <w:p>
            <w:pPr>
              <w:pStyle w:val="TableParagraph"/>
              <w:spacing w:line="247" w:lineRule="exact" w:before="55"/>
              <w:ind w:left="357"/>
              <w:rPr>
                <w:sz w:val="22"/>
              </w:rPr>
            </w:pPr>
            <w:r>
              <w:rPr>
                <w:spacing w:val="-5"/>
                <w:w w:val="95"/>
                <w:sz w:val="22"/>
              </w:rPr>
              <w:t>166</w:t>
            </w:r>
          </w:p>
        </w:tc>
        <w:tc>
          <w:tcPr>
            <w:tcW w:w="773" w:type="dxa"/>
            <w:tcBorders>
              <w:top w:val="single" w:sz="8" w:space="0" w:color="221F1F"/>
              <w:left w:val="single" w:sz="8" w:space="0" w:color="221F1F"/>
              <w:bottom w:val="nil"/>
              <w:right w:val="single" w:sz="8" w:space="0" w:color="221F1F"/>
            </w:tcBorders>
          </w:tcPr>
          <w:p>
            <w:pPr>
              <w:pStyle w:val="TableParagraph"/>
              <w:spacing w:before="26"/>
              <w:ind w:left="299"/>
              <w:rPr>
                <w:sz w:val="22"/>
              </w:rPr>
            </w:pPr>
            <w:r>
              <w:rPr>
                <w:spacing w:val="-5"/>
                <w:w w:val="90"/>
                <w:sz w:val="22"/>
              </w:rPr>
              <w:t>226</w:t>
            </w:r>
          </w:p>
        </w:tc>
        <w:tc>
          <w:tcPr>
            <w:tcW w:w="1018" w:type="dxa"/>
            <w:tcBorders>
              <w:top w:val="single" w:sz="8" w:space="0" w:color="221F1F"/>
              <w:left w:val="single" w:sz="8" w:space="0" w:color="221F1F"/>
              <w:bottom w:val="nil"/>
              <w:right w:val="single" w:sz="8" w:space="0" w:color="221F1F"/>
            </w:tcBorders>
          </w:tcPr>
          <w:p>
            <w:pPr>
              <w:pStyle w:val="TableParagraph"/>
              <w:spacing w:line="247" w:lineRule="exact" w:before="55"/>
              <w:ind w:left="462"/>
              <w:rPr>
                <w:sz w:val="22"/>
              </w:rPr>
            </w:pPr>
            <w:r>
              <w:rPr>
                <w:spacing w:val="-5"/>
                <w:sz w:val="22"/>
              </w:rPr>
              <w:t>286</w:t>
            </w:r>
          </w:p>
        </w:tc>
        <w:tc>
          <w:tcPr>
            <w:tcW w:w="1269" w:type="dxa"/>
            <w:tcBorders>
              <w:top w:val="nil"/>
              <w:left w:val="single" w:sz="8" w:space="0" w:color="221F1F"/>
              <w:bottom w:val="nil"/>
              <w:right w:val="single" w:sz="8" w:space="0" w:color="221F1F"/>
            </w:tcBorders>
          </w:tcPr>
          <w:p>
            <w:pPr>
              <w:pStyle w:val="TableParagraph"/>
              <w:rPr>
                <w:rFonts w:ascii="Times New Roman"/>
                <w:sz w:val="18"/>
              </w:rPr>
            </w:pPr>
          </w:p>
        </w:tc>
        <w:tc>
          <w:tcPr>
            <w:tcW w:w="1445" w:type="dxa"/>
            <w:tcBorders>
              <w:top w:val="nil"/>
              <w:left w:val="single" w:sz="8" w:space="0" w:color="221F1F"/>
              <w:bottom w:val="nil"/>
            </w:tcBorders>
          </w:tcPr>
          <w:p>
            <w:pPr>
              <w:pStyle w:val="TableParagraph"/>
              <w:rPr>
                <w:rFonts w:ascii="Times New Roman"/>
                <w:sz w:val="18"/>
              </w:rPr>
            </w:pPr>
          </w:p>
        </w:tc>
      </w:tr>
      <w:tr>
        <w:trPr>
          <w:trHeight w:val="426" w:hRule="atLeast"/>
        </w:trPr>
        <w:tc>
          <w:tcPr>
            <w:tcW w:w="420" w:type="dxa"/>
            <w:tcBorders>
              <w:top w:val="nil"/>
              <w:bottom w:val="single" w:sz="8" w:space="0" w:color="221F1F"/>
              <w:right w:val="single" w:sz="8" w:space="0" w:color="221F1F"/>
            </w:tcBorders>
            <w:shd w:val="clear" w:color="auto" w:fill="BED7EB"/>
          </w:tcPr>
          <w:p>
            <w:pPr>
              <w:pStyle w:val="TableParagraph"/>
              <w:rPr>
                <w:rFonts w:ascii="Times New Roman"/>
                <w:sz w:val="18"/>
              </w:rPr>
            </w:pPr>
          </w:p>
        </w:tc>
        <w:tc>
          <w:tcPr>
            <w:tcW w:w="1181" w:type="dxa"/>
            <w:tcBorders>
              <w:top w:val="nil"/>
              <w:left w:val="single" w:sz="8" w:space="0" w:color="221F1F"/>
              <w:bottom w:val="single" w:sz="8" w:space="0" w:color="221F1F"/>
              <w:right w:val="single" w:sz="8" w:space="0" w:color="221F1F"/>
            </w:tcBorders>
          </w:tcPr>
          <w:p>
            <w:pPr>
              <w:pStyle w:val="TableParagraph"/>
              <w:rPr>
                <w:rFonts w:ascii="Times New Roman"/>
                <w:sz w:val="18"/>
              </w:rPr>
            </w:pPr>
          </w:p>
        </w:tc>
        <w:tc>
          <w:tcPr>
            <w:tcW w:w="1179" w:type="dxa"/>
            <w:tcBorders>
              <w:top w:val="nil"/>
              <w:left w:val="single" w:sz="8" w:space="0" w:color="221F1F"/>
              <w:bottom w:val="single" w:sz="8" w:space="0" w:color="221F1F"/>
              <w:right w:val="single" w:sz="8" w:space="0" w:color="221F1F"/>
            </w:tcBorders>
          </w:tcPr>
          <w:p>
            <w:pPr>
              <w:pStyle w:val="TableParagraph"/>
              <w:spacing w:before="14"/>
              <w:ind w:left="97"/>
              <w:rPr>
                <w:sz w:val="22"/>
              </w:rPr>
            </w:pPr>
            <w:r>
              <w:rPr>
                <w:spacing w:val="-2"/>
                <w:w w:val="90"/>
                <w:sz w:val="22"/>
              </w:rPr>
              <w:t>périmetres</w:t>
            </w:r>
          </w:p>
        </w:tc>
        <w:tc>
          <w:tcPr>
            <w:tcW w:w="1214" w:type="dxa"/>
            <w:tcBorders>
              <w:top w:val="nil"/>
              <w:left w:val="single" w:sz="8" w:space="0" w:color="221F1F"/>
              <w:bottom w:val="single" w:sz="8" w:space="0" w:color="221F1F"/>
              <w:right w:val="single" w:sz="8" w:space="0" w:color="221F1F"/>
            </w:tcBorders>
          </w:tcPr>
          <w:p>
            <w:pPr>
              <w:pStyle w:val="TableParagraph"/>
              <w:rPr>
                <w:rFonts w:ascii="Times New Roman"/>
                <w:sz w:val="18"/>
              </w:rPr>
            </w:pPr>
          </w:p>
        </w:tc>
        <w:tc>
          <w:tcPr>
            <w:tcW w:w="917" w:type="dxa"/>
            <w:tcBorders>
              <w:top w:val="nil"/>
              <w:left w:val="single" w:sz="8" w:space="0" w:color="221F1F"/>
              <w:bottom w:val="single" w:sz="8" w:space="0" w:color="221F1F"/>
              <w:right w:val="single" w:sz="8" w:space="0" w:color="221F1F"/>
            </w:tcBorders>
          </w:tcPr>
          <w:p>
            <w:pPr>
              <w:pStyle w:val="TableParagraph"/>
              <w:rPr>
                <w:rFonts w:ascii="Times New Roman"/>
                <w:sz w:val="18"/>
              </w:rPr>
            </w:pPr>
          </w:p>
        </w:tc>
        <w:tc>
          <w:tcPr>
            <w:tcW w:w="773" w:type="dxa"/>
            <w:tcBorders>
              <w:top w:val="nil"/>
              <w:left w:val="single" w:sz="8" w:space="0" w:color="221F1F"/>
              <w:bottom w:val="single" w:sz="8" w:space="0" w:color="221F1F"/>
              <w:right w:val="single" w:sz="8" w:space="0" w:color="221F1F"/>
            </w:tcBorders>
          </w:tcPr>
          <w:p>
            <w:pPr>
              <w:pStyle w:val="TableParagraph"/>
              <w:rPr>
                <w:rFonts w:ascii="Times New Roman"/>
                <w:sz w:val="18"/>
              </w:rPr>
            </w:pPr>
          </w:p>
        </w:tc>
        <w:tc>
          <w:tcPr>
            <w:tcW w:w="773" w:type="dxa"/>
            <w:tcBorders>
              <w:top w:val="nil"/>
              <w:left w:val="single" w:sz="8" w:space="0" w:color="221F1F"/>
              <w:bottom w:val="single" w:sz="8" w:space="0" w:color="221F1F"/>
              <w:right w:val="single" w:sz="8" w:space="0" w:color="221F1F"/>
            </w:tcBorders>
          </w:tcPr>
          <w:p>
            <w:pPr>
              <w:pStyle w:val="TableParagraph"/>
              <w:rPr>
                <w:rFonts w:ascii="Times New Roman"/>
                <w:sz w:val="18"/>
              </w:rPr>
            </w:pPr>
          </w:p>
        </w:tc>
        <w:tc>
          <w:tcPr>
            <w:tcW w:w="1018" w:type="dxa"/>
            <w:tcBorders>
              <w:top w:val="nil"/>
              <w:left w:val="single" w:sz="8" w:space="0" w:color="221F1F"/>
              <w:bottom w:val="single" w:sz="8" w:space="0" w:color="221F1F"/>
              <w:right w:val="single" w:sz="8" w:space="0" w:color="221F1F"/>
            </w:tcBorders>
          </w:tcPr>
          <w:p>
            <w:pPr>
              <w:pStyle w:val="TableParagraph"/>
              <w:rPr>
                <w:rFonts w:ascii="Times New Roman"/>
                <w:sz w:val="18"/>
              </w:rPr>
            </w:pPr>
          </w:p>
        </w:tc>
        <w:tc>
          <w:tcPr>
            <w:tcW w:w="1269" w:type="dxa"/>
            <w:tcBorders>
              <w:top w:val="nil"/>
              <w:left w:val="single" w:sz="8" w:space="0" w:color="221F1F"/>
              <w:bottom w:val="single" w:sz="8" w:space="0" w:color="221F1F"/>
              <w:right w:val="single" w:sz="8" w:space="0" w:color="221F1F"/>
            </w:tcBorders>
          </w:tcPr>
          <w:p>
            <w:pPr>
              <w:pStyle w:val="TableParagraph"/>
              <w:rPr>
                <w:rFonts w:ascii="Times New Roman"/>
                <w:sz w:val="18"/>
              </w:rPr>
            </w:pPr>
          </w:p>
        </w:tc>
        <w:tc>
          <w:tcPr>
            <w:tcW w:w="1445" w:type="dxa"/>
            <w:tcBorders>
              <w:top w:val="nil"/>
              <w:left w:val="single" w:sz="8" w:space="0" w:color="221F1F"/>
              <w:bottom w:val="single" w:sz="8" w:space="0" w:color="221F1F"/>
            </w:tcBorders>
          </w:tcPr>
          <w:p>
            <w:pPr>
              <w:pStyle w:val="TableParagraph"/>
              <w:rPr>
                <w:rFonts w:ascii="Times New Roman"/>
                <w:sz w:val="18"/>
              </w:rPr>
            </w:pP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28</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before="117"/>
              <w:ind w:left="100"/>
              <w:rPr>
                <w:sz w:val="22"/>
              </w:rPr>
            </w:pPr>
            <w:r>
              <w:rPr>
                <w:w w:val="75"/>
                <w:sz w:val="22"/>
              </w:rPr>
              <w:t>Taux</w:t>
            </w:r>
            <w:r>
              <w:rPr>
                <w:spacing w:val="1"/>
                <w:sz w:val="22"/>
              </w:rPr>
              <w:t> </w:t>
            </w:r>
            <w:r>
              <w:rPr>
                <w:w w:val="75"/>
                <w:sz w:val="22"/>
              </w:rPr>
              <w:t>d’accès</w:t>
            </w:r>
            <w:r>
              <w:rPr>
                <w:spacing w:val="6"/>
                <w:sz w:val="22"/>
              </w:rPr>
              <w:t> </w:t>
            </w:r>
            <w:r>
              <w:rPr>
                <w:w w:val="75"/>
                <w:sz w:val="22"/>
              </w:rPr>
              <w:t>à</w:t>
            </w:r>
            <w:r>
              <w:rPr>
                <w:spacing w:val="4"/>
                <w:sz w:val="22"/>
              </w:rPr>
              <w:t> </w:t>
            </w:r>
            <w:r>
              <w:rPr>
                <w:spacing w:val="-2"/>
                <w:w w:val="75"/>
                <w:sz w:val="22"/>
              </w:rPr>
              <w:t>l’électricité</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spacing w:before="2"/>
              <w:ind w:left="79" w:right="3"/>
              <w:jc w:val="center"/>
              <w:rPr>
                <w:sz w:val="22"/>
              </w:rPr>
            </w:pPr>
            <w:r>
              <w:rPr>
                <w:spacing w:val="-4"/>
                <w:w w:val="90"/>
                <w:sz w:val="22"/>
              </w:rPr>
              <w:t>55,8</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2"/>
              <w:ind w:left="72" w:right="58"/>
              <w:jc w:val="center"/>
              <w:rPr>
                <w:sz w:val="22"/>
              </w:rPr>
            </w:pPr>
            <w:r>
              <w:rPr>
                <w:spacing w:val="-5"/>
                <w:w w:val="90"/>
                <w:sz w:val="22"/>
              </w:rPr>
              <w:t>82</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
              <w:ind w:left="77" w:right="53"/>
              <w:jc w:val="center"/>
              <w:rPr>
                <w:sz w:val="22"/>
              </w:rPr>
            </w:pPr>
            <w:r>
              <w:rPr>
                <w:spacing w:val="-5"/>
                <w:w w:val="90"/>
                <w:sz w:val="22"/>
              </w:rPr>
              <w:t>90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
              <w:ind w:left="268"/>
              <w:rPr>
                <w:sz w:val="22"/>
              </w:rPr>
            </w:pPr>
            <w:r>
              <w:rPr>
                <w:spacing w:val="-5"/>
                <w:w w:val="90"/>
                <w:sz w:val="22"/>
              </w:rPr>
              <w:t>100</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2"/>
              <w:ind w:left="73" w:right="43"/>
              <w:jc w:val="center"/>
              <w:rPr>
                <w:sz w:val="22"/>
              </w:rPr>
            </w:pPr>
            <w:r>
              <w:rPr>
                <w:spacing w:val="-5"/>
                <w:w w:val="90"/>
                <w:sz w:val="22"/>
              </w:rPr>
              <w:t>100</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2"/>
              <w:ind w:left="383"/>
              <w:rPr>
                <w:sz w:val="22"/>
              </w:rPr>
            </w:pPr>
            <w:r>
              <w:rPr>
                <w:spacing w:val="-2"/>
                <w:w w:val="90"/>
                <w:sz w:val="22"/>
              </w:rPr>
              <w:t>Rapport</w:t>
            </w:r>
          </w:p>
        </w:tc>
        <w:tc>
          <w:tcPr>
            <w:tcW w:w="1445" w:type="dxa"/>
            <w:tcBorders>
              <w:top w:val="single" w:sz="8" w:space="0" w:color="221F1F"/>
              <w:left w:val="single" w:sz="8" w:space="0" w:color="221F1F"/>
              <w:bottom w:val="single" w:sz="8" w:space="0" w:color="221F1F"/>
            </w:tcBorders>
          </w:tcPr>
          <w:p>
            <w:pPr>
              <w:pStyle w:val="TableParagraph"/>
              <w:spacing w:line="231" w:lineRule="exact"/>
              <w:ind w:left="343"/>
              <w:rPr>
                <w:sz w:val="22"/>
              </w:rPr>
            </w:pPr>
            <w:r>
              <w:rPr>
                <w:w w:val="80"/>
                <w:sz w:val="22"/>
              </w:rPr>
              <w:t>Ministère</w:t>
            </w:r>
            <w:r>
              <w:rPr>
                <w:spacing w:val="-2"/>
                <w:w w:val="90"/>
                <w:sz w:val="22"/>
              </w:rPr>
              <w:t> </w:t>
            </w:r>
            <w:r>
              <w:rPr>
                <w:spacing w:val="-5"/>
                <w:w w:val="90"/>
                <w:sz w:val="22"/>
              </w:rPr>
              <w:t>de</w:t>
            </w:r>
          </w:p>
          <w:p>
            <w:pPr>
              <w:pStyle w:val="TableParagraph"/>
              <w:spacing w:before="28"/>
              <w:ind w:left="439"/>
              <w:rPr>
                <w:sz w:val="22"/>
              </w:rPr>
            </w:pPr>
            <w:r>
              <w:rPr>
                <w:spacing w:val="-2"/>
                <w:sz w:val="22"/>
              </w:rPr>
              <w:t>l’Energie</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8"/>
              <w:ind w:left="93" w:right="12"/>
              <w:jc w:val="center"/>
              <w:rPr>
                <w:b/>
                <w:sz w:val="22"/>
              </w:rPr>
            </w:pPr>
            <w:r>
              <w:rPr>
                <w:b/>
                <w:spacing w:val="-5"/>
                <w:sz w:val="22"/>
              </w:rPr>
              <w:t>29</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before="117"/>
              <w:ind w:left="100"/>
              <w:rPr>
                <w:sz w:val="22"/>
              </w:rPr>
            </w:pPr>
            <w:r>
              <w:rPr>
                <w:w w:val="75"/>
                <w:sz w:val="22"/>
              </w:rPr>
              <w:t>Production</w:t>
            </w:r>
            <w:r>
              <w:rPr>
                <w:spacing w:val="18"/>
                <w:sz w:val="22"/>
              </w:rPr>
              <w:t> </w:t>
            </w:r>
            <w:r>
              <w:rPr>
                <w:w w:val="75"/>
                <w:sz w:val="22"/>
              </w:rPr>
              <w:t>d’électricité</w:t>
            </w:r>
            <w:r>
              <w:rPr>
                <w:spacing w:val="18"/>
                <w:sz w:val="22"/>
              </w:rPr>
              <w:t> </w:t>
            </w:r>
            <w:r>
              <w:rPr>
                <w:w w:val="75"/>
                <w:sz w:val="22"/>
              </w:rPr>
              <w:t>(en</w:t>
            </w:r>
            <w:r>
              <w:rPr>
                <w:spacing w:val="19"/>
                <w:sz w:val="22"/>
              </w:rPr>
              <w:t> </w:t>
            </w:r>
            <w:r>
              <w:rPr>
                <w:spacing w:val="-5"/>
                <w:w w:val="75"/>
                <w:sz w:val="22"/>
              </w:rPr>
              <w:t>MW)</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spacing w:before="2"/>
              <w:ind w:left="416"/>
              <w:rPr>
                <w:sz w:val="22"/>
              </w:rPr>
            </w:pPr>
            <w:r>
              <w:rPr>
                <w:spacing w:val="-2"/>
                <w:w w:val="90"/>
                <w:sz w:val="22"/>
              </w:rPr>
              <w:t>5862,1</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2"/>
              <w:ind w:left="146"/>
              <w:rPr>
                <w:sz w:val="22"/>
              </w:rPr>
            </w:pPr>
            <w:r>
              <w:rPr>
                <w:spacing w:val="-2"/>
                <w:w w:val="85"/>
                <w:sz w:val="22"/>
              </w:rPr>
              <w:t>8677,4992</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
              <w:ind w:left="155"/>
              <w:rPr>
                <w:sz w:val="22"/>
              </w:rPr>
            </w:pPr>
            <w:r>
              <w:rPr>
                <w:spacing w:val="-2"/>
                <w:w w:val="90"/>
                <w:sz w:val="22"/>
              </w:rPr>
              <w:t>12844,7</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
              <w:ind w:right="115"/>
              <w:jc w:val="right"/>
              <w:rPr>
                <w:sz w:val="22"/>
              </w:rPr>
            </w:pPr>
            <w:r>
              <w:rPr>
                <w:spacing w:val="-2"/>
                <w:w w:val="90"/>
                <w:sz w:val="22"/>
              </w:rPr>
              <w:t>5862,1</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2"/>
              <w:ind w:left="198"/>
              <w:rPr>
                <w:sz w:val="22"/>
              </w:rPr>
            </w:pPr>
            <w:r>
              <w:rPr>
                <w:spacing w:val="-2"/>
                <w:w w:val="90"/>
                <w:sz w:val="22"/>
              </w:rPr>
              <w:t>8677,4992</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2"/>
              <w:ind w:left="407"/>
              <w:rPr>
                <w:sz w:val="22"/>
              </w:rPr>
            </w:pPr>
            <w:r>
              <w:rPr>
                <w:spacing w:val="-2"/>
                <w:w w:val="90"/>
                <w:sz w:val="22"/>
              </w:rPr>
              <w:t>Rapport</w:t>
            </w:r>
          </w:p>
        </w:tc>
        <w:tc>
          <w:tcPr>
            <w:tcW w:w="1445" w:type="dxa"/>
            <w:tcBorders>
              <w:top w:val="single" w:sz="8" w:space="0" w:color="221F1F"/>
              <w:left w:val="single" w:sz="8" w:space="0" w:color="221F1F"/>
              <w:bottom w:val="single" w:sz="8" w:space="0" w:color="221F1F"/>
            </w:tcBorders>
          </w:tcPr>
          <w:p>
            <w:pPr>
              <w:pStyle w:val="TableParagraph"/>
              <w:spacing w:line="231" w:lineRule="exact"/>
              <w:ind w:left="85" w:right="7"/>
              <w:jc w:val="center"/>
              <w:rPr>
                <w:sz w:val="22"/>
              </w:rPr>
            </w:pPr>
            <w:r>
              <w:rPr>
                <w:spacing w:val="-2"/>
                <w:sz w:val="22"/>
              </w:rPr>
              <w:t>CPS/MEE</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30</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before="4"/>
              <w:ind w:left="100"/>
              <w:rPr>
                <w:sz w:val="22"/>
              </w:rPr>
            </w:pPr>
            <w:r>
              <w:rPr>
                <w:w w:val="75"/>
                <w:sz w:val="22"/>
              </w:rPr>
              <w:t>Dont</w:t>
            </w:r>
            <w:r>
              <w:rPr>
                <w:spacing w:val="10"/>
                <w:sz w:val="22"/>
              </w:rPr>
              <w:t> </w:t>
            </w:r>
            <w:r>
              <w:rPr>
                <w:w w:val="75"/>
                <w:sz w:val="22"/>
              </w:rPr>
              <w:t>énergie</w:t>
            </w:r>
            <w:r>
              <w:rPr>
                <w:spacing w:val="10"/>
                <w:sz w:val="22"/>
              </w:rPr>
              <w:t> </w:t>
            </w:r>
            <w:r>
              <w:rPr>
                <w:spacing w:val="-2"/>
                <w:w w:val="75"/>
                <w:sz w:val="22"/>
              </w:rPr>
              <w:t>solaire</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spacing w:before="2"/>
              <w:ind w:left="472"/>
              <w:rPr>
                <w:sz w:val="22"/>
              </w:rPr>
            </w:pPr>
            <w:r>
              <w:rPr>
                <w:spacing w:val="-4"/>
                <w:w w:val="90"/>
                <w:sz w:val="22"/>
              </w:rPr>
              <w:t>7,2%</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2"/>
              <w:ind w:left="237"/>
              <w:rPr>
                <w:sz w:val="22"/>
              </w:rPr>
            </w:pPr>
            <w:r>
              <w:rPr>
                <w:spacing w:val="-2"/>
                <w:w w:val="90"/>
                <w:sz w:val="22"/>
              </w:rPr>
              <w:t>59,9%</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
              <w:ind w:left="167"/>
              <w:rPr>
                <w:sz w:val="22"/>
              </w:rPr>
            </w:pPr>
            <w:r>
              <w:rPr>
                <w:spacing w:val="-2"/>
                <w:w w:val="90"/>
                <w:sz w:val="22"/>
              </w:rPr>
              <w:t>59,9%</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
              <w:ind w:left="167"/>
              <w:rPr>
                <w:sz w:val="22"/>
              </w:rPr>
            </w:pPr>
            <w:r>
              <w:rPr>
                <w:spacing w:val="-2"/>
                <w:w w:val="90"/>
                <w:sz w:val="22"/>
              </w:rPr>
              <w:t>59,9%</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2"/>
              <w:ind w:left="289"/>
              <w:rPr>
                <w:sz w:val="22"/>
              </w:rPr>
            </w:pPr>
            <w:r>
              <w:rPr>
                <w:spacing w:val="-2"/>
                <w:w w:val="90"/>
                <w:sz w:val="22"/>
              </w:rPr>
              <w:t>59,9%</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2"/>
              <w:ind w:left="410"/>
              <w:rPr>
                <w:sz w:val="22"/>
              </w:rPr>
            </w:pPr>
            <w:r>
              <w:rPr>
                <w:spacing w:val="-2"/>
                <w:w w:val="90"/>
                <w:sz w:val="22"/>
              </w:rPr>
              <w:t>Rapport</w:t>
            </w:r>
          </w:p>
        </w:tc>
        <w:tc>
          <w:tcPr>
            <w:tcW w:w="1445" w:type="dxa"/>
            <w:tcBorders>
              <w:top w:val="single" w:sz="8" w:space="0" w:color="221F1F"/>
              <w:left w:val="single" w:sz="8" w:space="0" w:color="221F1F"/>
              <w:bottom w:val="single" w:sz="8" w:space="0" w:color="221F1F"/>
            </w:tcBorders>
          </w:tcPr>
          <w:p>
            <w:pPr>
              <w:pStyle w:val="TableParagraph"/>
              <w:spacing w:before="2"/>
              <w:ind w:left="136"/>
              <w:jc w:val="center"/>
              <w:rPr>
                <w:sz w:val="22"/>
              </w:rPr>
            </w:pPr>
            <w:r>
              <w:rPr>
                <w:spacing w:val="-2"/>
                <w:sz w:val="22"/>
              </w:rPr>
              <w:t>CPS/MEE</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31</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line="264" w:lineRule="auto" w:before="4"/>
              <w:ind w:left="100" w:right="180"/>
              <w:rPr>
                <w:sz w:val="22"/>
              </w:rPr>
            </w:pPr>
            <w:r>
              <w:rPr>
                <w:spacing w:val="-2"/>
                <w:w w:val="80"/>
                <w:sz w:val="22"/>
              </w:rPr>
              <w:t>Lignes</w:t>
            </w:r>
            <w:r>
              <w:rPr>
                <w:spacing w:val="-7"/>
                <w:sz w:val="22"/>
              </w:rPr>
              <w:t> </w:t>
            </w:r>
            <w:r>
              <w:rPr>
                <w:spacing w:val="-2"/>
                <w:w w:val="80"/>
                <w:sz w:val="22"/>
              </w:rPr>
              <w:t>électriques</w:t>
            </w:r>
            <w:r>
              <w:rPr>
                <w:spacing w:val="-7"/>
                <w:sz w:val="22"/>
              </w:rPr>
              <w:t> </w:t>
            </w:r>
            <w:r>
              <w:rPr>
                <w:spacing w:val="-2"/>
                <w:w w:val="80"/>
                <w:sz w:val="22"/>
              </w:rPr>
              <w:t>(en</w:t>
            </w:r>
            <w:r>
              <w:rPr>
                <w:spacing w:val="-7"/>
                <w:sz w:val="22"/>
              </w:rPr>
              <w:t> </w:t>
            </w:r>
            <w:r>
              <w:rPr>
                <w:spacing w:val="-2"/>
                <w:w w:val="80"/>
                <w:sz w:val="22"/>
              </w:rPr>
              <w:t>millier</w:t>
            </w:r>
            <w:r>
              <w:rPr>
                <w:spacing w:val="-7"/>
                <w:sz w:val="22"/>
              </w:rPr>
              <w:t> </w:t>
            </w:r>
            <w:r>
              <w:rPr>
                <w:spacing w:val="-2"/>
                <w:w w:val="80"/>
                <w:sz w:val="22"/>
              </w:rPr>
              <w:t>de</w:t>
            </w:r>
            <w:r>
              <w:rPr>
                <w:spacing w:val="-2"/>
                <w:w w:val="90"/>
                <w:sz w:val="22"/>
              </w:rPr>
              <w:t> </w:t>
            </w:r>
            <w:r>
              <w:rPr>
                <w:spacing w:val="-4"/>
                <w:w w:val="90"/>
                <w:sz w:val="22"/>
              </w:rPr>
              <w:t>km)</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spacing w:before="2"/>
              <w:ind w:left="79" w:right="1"/>
              <w:jc w:val="center"/>
              <w:rPr>
                <w:sz w:val="22"/>
              </w:rPr>
            </w:pPr>
            <w:r>
              <w:rPr>
                <w:w w:val="80"/>
                <w:sz w:val="22"/>
              </w:rPr>
              <w:t>10,</w:t>
            </w:r>
            <w:r>
              <w:rPr>
                <w:spacing w:val="-2"/>
                <w:w w:val="80"/>
                <w:sz w:val="22"/>
              </w:rPr>
              <w:t> </w:t>
            </w:r>
            <w:r>
              <w:rPr>
                <w:spacing w:val="-10"/>
                <w:w w:val="90"/>
                <w:sz w:val="22"/>
              </w:rPr>
              <w:t>9</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2"/>
              <w:ind w:left="280"/>
              <w:rPr>
                <w:sz w:val="22"/>
              </w:rPr>
            </w:pPr>
            <w:r>
              <w:rPr>
                <w:w w:val="80"/>
                <w:sz w:val="22"/>
              </w:rPr>
              <w:t>12,</w:t>
            </w:r>
            <w:r>
              <w:rPr>
                <w:spacing w:val="-2"/>
                <w:w w:val="80"/>
                <w:sz w:val="22"/>
              </w:rPr>
              <w:t> </w:t>
            </w:r>
            <w:r>
              <w:rPr>
                <w:spacing w:val="-10"/>
                <w:w w:val="90"/>
                <w:sz w:val="22"/>
              </w:rPr>
              <w:t>9</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
              <w:ind w:left="211"/>
              <w:rPr>
                <w:sz w:val="22"/>
              </w:rPr>
            </w:pPr>
            <w:r>
              <w:rPr>
                <w:w w:val="80"/>
                <w:sz w:val="22"/>
              </w:rPr>
              <w:t>14,</w:t>
            </w:r>
            <w:r>
              <w:rPr>
                <w:spacing w:val="-2"/>
                <w:w w:val="80"/>
                <w:sz w:val="22"/>
              </w:rPr>
              <w:t> </w:t>
            </w:r>
            <w:r>
              <w:rPr>
                <w:spacing w:val="-10"/>
                <w:w w:val="90"/>
                <w:sz w:val="22"/>
              </w:rPr>
              <w:t>9</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2"/>
              <w:ind w:left="230"/>
              <w:rPr>
                <w:sz w:val="22"/>
              </w:rPr>
            </w:pPr>
            <w:r>
              <w:rPr>
                <w:spacing w:val="-4"/>
                <w:w w:val="90"/>
                <w:sz w:val="22"/>
              </w:rPr>
              <w:t>16,9</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2"/>
              <w:ind w:left="73" w:right="85"/>
              <w:jc w:val="center"/>
              <w:rPr>
                <w:sz w:val="22"/>
              </w:rPr>
            </w:pPr>
            <w:r>
              <w:rPr>
                <w:spacing w:val="-5"/>
                <w:w w:val="90"/>
                <w:sz w:val="22"/>
              </w:rPr>
              <w:t>20</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2"/>
              <w:ind w:left="410"/>
              <w:rPr>
                <w:sz w:val="22"/>
              </w:rPr>
            </w:pPr>
            <w:r>
              <w:rPr>
                <w:spacing w:val="-2"/>
                <w:w w:val="90"/>
                <w:sz w:val="22"/>
              </w:rPr>
              <w:t>Rapport</w:t>
            </w:r>
          </w:p>
        </w:tc>
        <w:tc>
          <w:tcPr>
            <w:tcW w:w="1445" w:type="dxa"/>
            <w:tcBorders>
              <w:top w:val="single" w:sz="8" w:space="0" w:color="221F1F"/>
              <w:left w:val="single" w:sz="8" w:space="0" w:color="221F1F"/>
              <w:bottom w:val="single" w:sz="8" w:space="0" w:color="221F1F"/>
            </w:tcBorders>
          </w:tcPr>
          <w:p>
            <w:pPr>
              <w:pStyle w:val="TableParagraph"/>
              <w:spacing w:before="2"/>
              <w:ind w:left="136"/>
              <w:jc w:val="center"/>
              <w:rPr>
                <w:sz w:val="22"/>
              </w:rPr>
            </w:pPr>
            <w:r>
              <w:rPr>
                <w:spacing w:val="-2"/>
                <w:sz w:val="22"/>
              </w:rPr>
              <w:t>CPS/MEE</w:t>
            </w:r>
          </w:p>
        </w:tc>
      </w:tr>
      <w:tr>
        <w:trPr>
          <w:trHeight w:val="877"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32</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before="40"/>
              <w:ind w:left="100"/>
              <w:rPr>
                <w:sz w:val="22"/>
              </w:rPr>
            </w:pPr>
            <w:r>
              <w:rPr>
                <w:w w:val="90"/>
                <w:sz w:val="22"/>
              </w:rPr>
              <w:t>Taux</w:t>
            </w:r>
            <w:r>
              <w:rPr>
                <w:spacing w:val="59"/>
                <w:sz w:val="22"/>
              </w:rPr>
              <w:t> </w:t>
            </w:r>
            <w:r>
              <w:rPr>
                <w:w w:val="90"/>
                <w:sz w:val="22"/>
              </w:rPr>
              <w:t>de</w:t>
            </w:r>
            <w:r>
              <w:rPr>
                <w:spacing w:val="61"/>
                <w:sz w:val="22"/>
              </w:rPr>
              <w:t> </w:t>
            </w:r>
            <w:r>
              <w:rPr>
                <w:w w:val="90"/>
                <w:sz w:val="22"/>
              </w:rPr>
              <w:t>pénétration</w:t>
            </w:r>
            <w:r>
              <w:rPr>
                <w:spacing w:val="61"/>
                <w:sz w:val="22"/>
              </w:rPr>
              <w:t> </w:t>
            </w:r>
            <w:r>
              <w:rPr>
                <w:spacing w:val="-5"/>
                <w:w w:val="90"/>
                <w:sz w:val="22"/>
              </w:rPr>
              <w:t>des</w:t>
            </w:r>
          </w:p>
          <w:p>
            <w:pPr>
              <w:pStyle w:val="TableParagraph"/>
              <w:spacing w:line="280" w:lineRule="atLeast" w:before="1"/>
              <w:ind w:left="100" w:right="304"/>
              <w:rPr>
                <w:sz w:val="22"/>
              </w:rPr>
            </w:pPr>
            <w:r>
              <w:rPr>
                <w:spacing w:val="-2"/>
                <w:w w:val="85"/>
                <w:sz w:val="22"/>
              </w:rPr>
              <w:t>énergies</w:t>
            </w:r>
            <w:r>
              <w:rPr>
                <w:spacing w:val="-4"/>
                <w:w w:val="85"/>
                <w:sz w:val="22"/>
              </w:rPr>
              <w:t> </w:t>
            </w:r>
            <w:r>
              <w:rPr>
                <w:spacing w:val="-2"/>
                <w:w w:val="85"/>
                <w:sz w:val="22"/>
              </w:rPr>
              <w:t>renouvelables</w:t>
            </w:r>
            <w:r>
              <w:rPr>
                <w:spacing w:val="-3"/>
                <w:w w:val="85"/>
                <w:sz w:val="22"/>
              </w:rPr>
              <w:t> </w:t>
            </w:r>
            <w:r>
              <w:rPr>
                <w:spacing w:val="-2"/>
                <w:w w:val="85"/>
                <w:sz w:val="22"/>
              </w:rPr>
              <w:t>dans </w:t>
            </w:r>
            <w:r>
              <w:rPr>
                <w:w w:val="90"/>
                <w:sz w:val="22"/>
              </w:rPr>
              <w:t>le</w:t>
            </w:r>
            <w:r>
              <w:rPr>
                <w:spacing w:val="-8"/>
                <w:w w:val="90"/>
                <w:sz w:val="22"/>
              </w:rPr>
              <w:t> </w:t>
            </w:r>
            <w:r>
              <w:rPr>
                <w:w w:val="90"/>
                <w:sz w:val="22"/>
              </w:rPr>
              <w:t>mix</w:t>
            </w:r>
            <w:r>
              <w:rPr>
                <w:spacing w:val="-5"/>
                <w:w w:val="90"/>
                <w:sz w:val="22"/>
              </w:rPr>
              <w:t> </w:t>
            </w:r>
            <w:r>
              <w:rPr>
                <w:w w:val="90"/>
                <w:sz w:val="22"/>
              </w:rPr>
              <w:t>énergétique</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79" w:right="56"/>
              <w:jc w:val="center"/>
              <w:rPr>
                <w:sz w:val="22"/>
              </w:rPr>
            </w:pPr>
            <w:r>
              <w:rPr>
                <w:spacing w:val="-4"/>
                <w:sz w:val="22"/>
              </w:rPr>
              <w:t>11,3</w:t>
            </w:r>
          </w:p>
        </w:tc>
        <w:tc>
          <w:tcPr>
            <w:tcW w:w="917"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72"/>
              <w:jc w:val="center"/>
              <w:rPr>
                <w:sz w:val="22"/>
              </w:rPr>
            </w:pPr>
            <w:r>
              <w:rPr>
                <w:spacing w:val="-5"/>
                <w:sz w:val="22"/>
              </w:rPr>
              <w:t>40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77"/>
              <w:jc w:val="center"/>
              <w:rPr>
                <w:sz w:val="22"/>
              </w:rPr>
            </w:pPr>
            <w:r>
              <w:rPr>
                <w:spacing w:val="-5"/>
                <w:sz w:val="22"/>
              </w:rPr>
              <w:t>50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77" w:right="1"/>
              <w:jc w:val="center"/>
              <w:rPr>
                <w:sz w:val="22"/>
              </w:rPr>
            </w:pPr>
            <w:r>
              <w:rPr>
                <w:spacing w:val="-5"/>
                <w:sz w:val="22"/>
              </w:rPr>
              <w:t>60</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83" w:right="12"/>
              <w:jc w:val="center"/>
              <w:rPr>
                <w:sz w:val="22"/>
              </w:rPr>
            </w:pPr>
            <w:r>
              <w:rPr>
                <w:spacing w:val="-5"/>
                <w:sz w:val="22"/>
              </w:rPr>
              <w:t>70</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66"/>
              <w:rPr>
                <w:b/>
                <w:sz w:val="22"/>
              </w:rPr>
            </w:pPr>
          </w:p>
          <w:p>
            <w:pPr>
              <w:pStyle w:val="TableParagraph"/>
              <w:ind w:left="388"/>
              <w:rPr>
                <w:sz w:val="22"/>
              </w:rPr>
            </w:pPr>
            <w:r>
              <w:rPr>
                <w:spacing w:val="-2"/>
                <w:sz w:val="22"/>
              </w:rPr>
              <w:t>Rapport</w:t>
            </w:r>
          </w:p>
        </w:tc>
        <w:tc>
          <w:tcPr>
            <w:tcW w:w="1445" w:type="dxa"/>
            <w:tcBorders>
              <w:top w:val="single" w:sz="8" w:space="0" w:color="221F1F"/>
              <w:left w:val="single" w:sz="8" w:space="0" w:color="221F1F"/>
              <w:bottom w:val="single" w:sz="8" w:space="0" w:color="221F1F"/>
            </w:tcBorders>
          </w:tcPr>
          <w:p>
            <w:pPr>
              <w:pStyle w:val="TableParagraph"/>
              <w:spacing w:before="182"/>
              <w:ind w:right="378"/>
              <w:jc w:val="right"/>
              <w:rPr>
                <w:sz w:val="22"/>
              </w:rPr>
            </w:pPr>
            <w:r>
              <w:rPr>
                <w:w w:val="75"/>
                <w:sz w:val="22"/>
              </w:rPr>
              <w:t>Ministère</w:t>
            </w:r>
            <w:r>
              <w:rPr>
                <w:spacing w:val="18"/>
                <w:sz w:val="22"/>
              </w:rPr>
              <w:t> </w:t>
            </w:r>
            <w:r>
              <w:rPr>
                <w:spacing w:val="-7"/>
                <w:w w:val="90"/>
                <w:sz w:val="22"/>
              </w:rPr>
              <w:t>de</w:t>
            </w:r>
          </w:p>
          <w:p>
            <w:pPr>
              <w:pStyle w:val="TableParagraph"/>
              <w:spacing w:before="28"/>
              <w:ind w:right="402"/>
              <w:jc w:val="right"/>
              <w:rPr>
                <w:sz w:val="22"/>
              </w:rPr>
            </w:pPr>
            <w:r>
              <w:rPr>
                <w:spacing w:val="-2"/>
                <w:sz w:val="22"/>
              </w:rPr>
              <w:t>l’Energie</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33</w:t>
            </w:r>
          </w:p>
        </w:tc>
        <w:tc>
          <w:tcPr>
            <w:tcW w:w="2360" w:type="dxa"/>
            <w:gridSpan w:val="2"/>
            <w:tcBorders>
              <w:top w:val="single" w:sz="8" w:space="0" w:color="221F1F"/>
              <w:left w:val="single" w:sz="8" w:space="0" w:color="221F1F"/>
              <w:bottom w:val="single" w:sz="8" w:space="0" w:color="221F1F"/>
              <w:right w:val="single" w:sz="8" w:space="0" w:color="221F1F"/>
            </w:tcBorders>
          </w:tcPr>
          <w:p>
            <w:pPr>
              <w:pStyle w:val="TableParagraph"/>
              <w:spacing w:line="266" w:lineRule="auto" w:before="45"/>
              <w:ind w:left="100"/>
              <w:rPr>
                <w:sz w:val="22"/>
              </w:rPr>
            </w:pPr>
            <w:r>
              <w:rPr>
                <w:spacing w:val="-2"/>
                <w:w w:val="80"/>
                <w:sz w:val="22"/>
              </w:rPr>
              <w:t>Nombre</w:t>
            </w:r>
            <w:r>
              <w:rPr>
                <w:spacing w:val="-7"/>
                <w:sz w:val="22"/>
              </w:rPr>
              <w:t> </w:t>
            </w:r>
            <w:r>
              <w:rPr>
                <w:spacing w:val="-2"/>
                <w:w w:val="80"/>
                <w:sz w:val="22"/>
              </w:rPr>
              <w:t>de</w:t>
            </w:r>
            <w:r>
              <w:rPr>
                <w:spacing w:val="-7"/>
                <w:sz w:val="22"/>
              </w:rPr>
              <w:t> </w:t>
            </w:r>
            <w:r>
              <w:rPr>
                <w:spacing w:val="-2"/>
                <w:w w:val="80"/>
                <w:sz w:val="22"/>
              </w:rPr>
              <w:t>classes</w:t>
            </w:r>
            <w:r>
              <w:rPr>
                <w:spacing w:val="-7"/>
                <w:sz w:val="22"/>
              </w:rPr>
              <w:t> </w:t>
            </w:r>
            <w:r>
              <w:rPr>
                <w:spacing w:val="-2"/>
                <w:w w:val="80"/>
                <w:sz w:val="22"/>
              </w:rPr>
              <w:t>construites</w:t>
            </w:r>
            <w:r>
              <w:rPr>
                <w:spacing w:val="-7"/>
                <w:sz w:val="22"/>
              </w:rPr>
              <w:t> </w:t>
            </w:r>
            <w:r>
              <w:rPr>
                <w:spacing w:val="-2"/>
                <w:w w:val="80"/>
                <w:sz w:val="22"/>
              </w:rPr>
              <w:t>(en</w:t>
            </w:r>
            <w:r>
              <w:rPr>
                <w:spacing w:val="-2"/>
                <w:w w:val="90"/>
                <w:sz w:val="22"/>
              </w:rPr>
              <w:t> milliers)</w:t>
            </w:r>
          </w:p>
        </w:tc>
        <w:tc>
          <w:tcPr>
            <w:tcW w:w="1214"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917" w:type="dxa"/>
            <w:tcBorders>
              <w:top w:val="single" w:sz="8" w:space="0" w:color="221F1F"/>
              <w:left w:val="single" w:sz="8" w:space="0" w:color="221F1F"/>
              <w:bottom w:val="single" w:sz="8" w:space="0" w:color="221F1F"/>
              <w:right w:val="single" w:sz="8" w:space="0" w:color="221F1F"/>
            </w:tcBorders>
          </w:tcPr>
          <w:p>
            <w:pPr>
              <w:pStyle w:val="TableParagraph"/>
              <w:ind w:left="72"/>
              <w:jc w:val="center"/>
              <w:rPr>
                <w:sz w:val="22"/>
              </w:rPr>
            </w:pPr>
            <w:r>
              <w:rPr>
                <w:spacing w:val="-5"/>
                <w:sz w:val="22"/>
              </w:rPr>
              <w:t>50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ind w:left="287"/>
              <w:rPr>
                <w:sz w:val="22"/>
              </w:rPr>
            </w:pPr>
            <w:r>
              <w:rPr>
                <w:spacing w:val="-5"/>
                <w:sz w:val="22"/>
              </w:rPr>
              <w:t>100</w:t>
            </w:r>
          </w:p>
        </w:tc>
        <w:tc>
          <w:tcPr>
            <w:tcW w:w="773" w:type="dxa"/>
            <w:tcBorders>
              <w:top w:val="single" w:sz="8" w:space="0" w:color="221F1F"/>
              <w:left w:val="single" w:sz="8" w:space="0" w:color="221F1F"/>
              <w:bottom w:val="single" w:sz="8" w:space="0" w:color="221F1F"/>
              <w:right w:val="single" w:sz="8" w:space="0" w:color="221F1F"/>
            </w:tcBorders>
          </w:tcPr>
          <w:p>
            <w:pPr>
              <w:pStyle w:val="TableParagraph"/>
              <w:ind w:left="287"/>
              <w:rPr>
                <w:sz w:val="22"/>
              </w:rPr>
            </w:pPr>
            <w:r>
              <w:rPr>
                <w:spacing w:val="-5"/>
                <w:sz w:val="22"/>
              </w:rPr>
              <w:t>150</w:t>
            </w:r>
          </w:p>
        </w:tc>
        <w:tc>
          <w:tcPr>
            <w:tcW w:w="1018" w:type="dxa"/>
            <w:tcBorders>
              <w:top w:val="single" w:sz="8" w:space="0" w:color="221F1F"/>
              <w:left w:val="single" w:sz="8" w:space="0" w:color="221F1F"/>
              <w:bottom w:val="single" w:sz="8" w:space="0" w:color="221F1F"/>
              <w:right w:val="single" w:sz="8" w:space="0" w:color="221F1F"/>
            </w:tcBorders>
          </w:tcPr>
          <w:p>
            <w:pPr>
              <w:pStyle w:val="TableParagraph"/>
              <w:ind w:left="85" w:right="12"/>
              <w:jc w:val="center"/>
              <w:rPr>
                <w:sz w:val="22"/>
              </w:rPr>
            </w:pPr>
            <w:r>
              <w:rPr>
                <w:spacing w:val="-5"/>
                <w:sz w:val="22"/>
              </w:rPr>
              <w:t>200</w:t>
            </w:r>
          </w:p>
        </w:tc>
        <w:tc>
          <w:tcPr>
            <w:tcW w:w="1269" w:type="dxa"/>
            <w:tcBorders>
              <w:top w:val="single" w:sz="8" w:space="0" w:color="221F1F"/>
              <w:left w:val="single" w:sz="8" w:space="0" w:color="221F1F"/>
              <w:bottom w:val="single" w:sz="8" w:space="0" w:color="221F1F"/>
              <w:right w:val="single" w:sz="8" w:space="0" w:color="221F1F"/>
            </w:tcBorders>
          </w:tcPr>
          <w:p>
            <w:pPr>
              <w:pStyle w:val="TableParagraph"/>
              <w:spacing w:before="184"/>
              <w:ind w:left="414"/>
              <w:rPr>
                <w:sz w:val="22"/>
              </w:rPr>
            </w:pPr>
            <w:r>
              <w:rPr>
                <w:spacing w:val="-2"/>
                <w:sz w:val="22"/>
              </w:rPr>
              <w:t>Rapport</w:t>
            </w:r>
          </w:p>
        </w:tc>
        <w:tc>
          <w:tcPr>
            <w:tcW w:w="1445" w:type="dxa"/>
            <w:tcBorders>
              <w:top w:val="single" w:sz="8" w:space="0" w:color="221F1F"/>
              <w:left w:val="single" w:sz="8" w:space="0" w:color="221F1F"/>
              <w:bottom w:val="single" w:sz="8" w:space="0" w:color="221F1F"/>
            </w:tcBorders>
          </w:tcPr>
          <w:p>
            <w:pPr>
              <w:pStyle w:val="TableParagraph"/>
              <w:spacing w:before="184"/>
              <w:ind w:left="136" w:right="2"/>
              <w:jc w:val="center"/>
              <w:rPr>
                <w:sz w:val="22"/>
              </w:rPr>
            </w:pPr>
            <w:r>
              <w:rPr>
                <w:spacing w:val="-2"/>
                <w:sz w:val="22"/>
              </w:rPr>
              <w:t>CPS/SE</w:t>
            </w:r>
          </w:p>
        </w:tc>
      </w:tr>
    </w:tbl>
    <w:p>
      <w:pPr>
        <w:pStyle w:val="TableParagraph"/>
        <w:spacing w:after="0"/>
        <w:jc w:val="center"/>
        <w:rPr>
          <w:sz w:val="22"/>
        </w:rPr>
        <w:sectPr>
          <w:type w:val="continuous"/>
          <w:pgSz w:w="11910" w:h="16840"/>
          <w:pgMar w:header="0" w:footer="680" w:top="1380" w:bottom="1788" w:left="283" w:right="141"/>
        </w:sectPr>
      </w:pPr>
    </w:p>
    <w:tbl>
      <w:tblPr>
        <w:tblW w:w="0" w:type="auto"/>
        <w:jc w:val="left"/>
        <w:tblInd w:w="1132" w:type="dxa"/>
        <w:tblBorders>
          <w:top w:val="single" w:sz="18" w:space="0" w:color="221F1F"/>
          <w:left w:val="single" w:sz="18" w:space="0" w:color="221F1F"/>
          <w:bottom w:val="single" w:sz="18" w:space="0" w:color="221F1F"/>
          <w:right w:val="single" w:sz="18" w:space="0" w:color="221F1F"/>
          <w:insideH w:val="single" w:sz="18" w:space="0" w:color="221F1F"/>
          <w:insideV w:val="single" w:sz="18" w:space="0" w:color="221F1F"/>
        </w:tblBorders>
        <w:tblLayout w:type="fixed"/>
        <w:tblCellMar>
          <w:top w:w="0" w:type="dxa"/>
          <w:left w:w="0" w:type="dxa"/>
          <w:bottom w:w="0" w:type="dxa"/>
          <w:right w:w="0" w:type="dxa"/>
        </w:tblCellMar>
        <w:tblLook w:val="01E0"/>
      </w:tblPr>
      <w:tblGrid>
        <w:gridCol w:w="420"/>
        <w:gridCol w:w="2360"/>
        <w:gridCol w:w="1215"/>
        <w:gridCol w:w="918"/>
        <w:gridCol w:w="774"/>
        <w:gridCol w:w="774"/>
        <w:gridCol w:w="1019"/>
        <w:gridCol w:w="1270"/>
        <w:gridCol w:w="1446"/>
      </w:tblGrid>
      <w:tr>
        <w:trPr>
          <w:trHeight w:val="524" w:hRule="atLeast"/>
        </w:trPr>
        <w:tc>
          <w:tcPr>
            <w:tcW w:w="420" w:type="dxa"/>
            <w:vMerge w:val="restart"/>
            <w:tcBorders>
              <w:bottom w:val="single" w:sz="8" w:space="0" w:color="221F1F"/>
              <w:right w:val="single" w:sz="8" w:space="0" w:color="221F1F"/>
            </w:tcBorders>
            <w:shd w:val="clear" w:color="auto" w:fill="BED7EB"/>
          </w:tcPr>
          <w:p>
            <w:pPr>
              <w:pStyle w:val="TableParagraph"/>
              <w:spacing w:before="150"/>
              <w:rPr>
                <w:b/>
                <w:sz w:val="22"/>
              </w:rPr>
            </w:pPr>
          </w:p>
          <w:p>
            <w:pPr>
              <w:pStyle w:val="TableParagraph"/>
              <w:ind w:left="126"/>
              <w:rPr>
                <w:b/>
                <w:sz w:val="22"/>
              </w:rPr>
            </w:pPr>
            <w:r>
              <w:rPr>
                <w:b/>
                <w:spacing w:val="-5"/>
                <w:sz w:val="22"/>
              </w:rPr>
              <w:t>N°</w:t>
            </w:r>
          </w:p>
        </w:tc>
        <w:tc>
          <w:tcPr>
            <w:tcW w:w="236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50"/>
              <w:rPr>
                <w:b/>
                <w:sz w:val="22"/>
              </w:rPr>
            </w:pPr>
          </w:p>
          <w:p>
            <w:pPr>
              <w:pStyle w:val="TableParagraph"/>
              <w:ind w:left="280"/>
              <w:rPr>
                <w:b/>
                <w:sz w:val="22"/>
              </w:rPr>
            </w:pPr>
            <w:r>
              <w:rPr>
                <w:b/>
                <w:w w:val="80"/>
                <w:sz w:val="22"/>
              </w:rPr>
              <w:t>Intitulé</w:t>
            </w:r>
            <w:r>
              <w:rPr>
                <w:b/>
                <w:spacing w:val="-9"/>
                <w:sz w:val="22"/>
              </w:rPr>
              <w:t> </w:t>
            </w:r>
            <w:r>
              <w:rPr>
                <w:b/>
                <w:w w:val="80"/>
                <w:sz w:val="22"/>
              </w:rPr>
              <w:t>de</w:t>
            </w:r>
            <w:r>
              <w:rPr>
                <w:b/>
                <w:spacing w:val="-9"/>
                <w:sz w:val="22"/>
              </w:rPr>
              <w:t> </w:t>
            </w:r>
            <w:r>
              <w:rPr>
                <w:b/>
                <w:spacing w:val="-2"/>
                <w:w w:val="80"/>
                <w:sz w:val="22"/>
              </w:rPr>
              <w:t>l’indicateur</w:t>
            </w:r>
          </w:p>
        </w:tc>
        <w:tc>
          <w:tcPr>
            <w:tcW w:w="1215"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b/>
                <w:sz w:val="22"/>
              </w:rPr>
            </w:pPr>
          </w:p>
          <w:p>
            <w:pPr>
              <w:pStyle w:val="TableParagraph"/>
              <w:spacing w:line="254" w:lineRule="auto"/>
              <w:ind w:left="114" w:right="75" w:firstLine="228"/>
              <w:rPr>
                <w:b/>
                <w:sz w:val="22"/>
              </w:rPr>
            </w:pPr>
            <w:r>
              <w:rPr>
                <w:b/>
                <w:w w:val="90"/>
                <w:sz w:val="22"/>
              </w:rPr>
              <w:t>Valeur de </w:t>
            </w:r>
            <w:r>
              <w:rPr>
                <w:b/>
                <w:w w:val="75"/>
                <w:sz w:val="22"/>
              </w:rPr>
              <w:t>référence</w:t>
            </w:r>
            <w:r>
              <w:rPr>
                <w:b/>
                <w:spacing w:val="21"/>
                <w:sz w:val="22"/>
              </w:rPr>
              <w:t> </w:t>
            </w:r>
            <w:r>
              <w:rPr>
                <w:b/>
                <w:spacing w:val="-4"/>
                <w:w w:val="80"/>
                <w:sz w:val="22"/>
              </w:rPr>
              <w:t>2023</w:t>
            </w:r>
          </w:p>
        </w:tc>
        <w:tc>
          <w:tcPr>
            <w:tcW w:w="3485" w:type="dxa"/>
            <w:gridSpan w:val="4"/>
            <w:tcBorders>
              <w:left w:val="single" w:sz="8" w:space="0" w:color="221F1F"/>
              <w:bottom w:val="single" w:sz="8" w:space="0" w:color="221F1F"/>
              <w:right w:val="single" w:sz="8" w:space="0" w:color="221F1F"/>
            </w:tcBorders>
            <w:shd w:val="clear" w:color="auto" w:fill="0066B3"/>
          </w:tcPr>
          <w:p>
            <w:pPr>
              <w:pStyle w:val="TableParagraph"/>
              <w:spacing w:before="191"/>
              <w:ind w:left="1021"/>
              <w:rPr>
                <w:b/>
                <w:sz w:val="22"/>
              </w:rPr>
            </w:pPr>
            <w:r>
              <w:rPr>
                <w:b/>
                <w:w w:val="75"/>
                <w:sz w:val="22"/>
              </w:rPr>
              <w:t>Valeur</w:t>
            </w:r>
            <w:r>
              <w:rPr>
                <w:b/>
                <w:spacing w:val="14"/>
                <w:sz w:val="22"/>
              </w:rPr>
              <w:t> </w:t>
            </w:r>
            <w:r>
              <w:rPr>
                <w:b/>
                <w:spacing w:val="-4"/>
                <w:w w:val="95"/>
                <w:sz w:val="22"/>
              </w:rPr>
              <w:t>cible</w:t>
            </w:r>
          </w:p>
        </w:tc>
        <w:tc>
          <w:tcPr>
            <w:tcW w:w="127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b/>
                <w:sz w:val="22"/>
              </w:rPr>
            </w:pPr>
          </w:p>
          <w:p>
            <w:pPr>
              <w:pStyle w:val="TableParagraph"/>
              <w:spacing w:line="254" w:lineRule="auto"/>
              <w:ind w:left="169" w:right="285" w:firstLine="55"/>
              <w:rPr>
                <w:b/>
                <w:sz w:val="22"/>
              </w:rPr>
            </w:pPr>
            <w:r>
              <w:rPr>
                <w:b/>
                <w:spacing w:val="-2"/>
                <w:w w:val="85"/>
                <w:sz w:val="22"/>
              </w:rPr>
              <w:t>Source</w:t>
            </w:r>
            <w:r>
              <w:rPr>
                <w:b/>
                <w:spacing w:val="-5"/>
                <w:w w:val="85"/>
                <w:sz w:val="22"/>
              </w:rPr>
              <w:t> </w:t>
            </w:r>
            <w:r>
              <w:rPr>
                <w:b/>
                <w:spacing w:val="-2"/>
                <w:w w:val="85"/>
                <w:sz w:val="22"/>
              </w:rPr>
              <w:t>de </w:t>
            </w:r>
            <w:r>
              <w:rPr>
                <w:b/>
                <w:spacing w:val="-2"/>
                <w:w w:val="80"/>
                <w:sz w:val="22"/>
              </w:rPr>
              <w:t>Vérification</w:t>
            </w:r>
          </w:p>
        </w:tc>
        <w:tc>
          <w:tcPr>
            <w:tcW w:w="1446" w:type="dxa"/>
            <w:vMerge w:val="restart"/>
            <w:tcBorders>
              <w:left w:val="single" w:sz="8" w:space="0" w:color="221F1F"/>
              <w:bottom w:val="single" w:sz="8" w:space="0" w:color="221F1F"/>
            </w:tcBorders>
            <w:shd w:val="clear" w:color="auto" w:fill="0066B3"/>
          </w:tcPr>
          <w:p>
            <w:pPr>
              <w:pStyle w:val="TableParagraph"/>
              <w:spacing w:before="16"/>
              <w:rPr>
                <w:b/>
                <w:sz w:val="22"/>
              </w:rPr>
            </w:pPr>
          </w:p>
          <w:p>
            <w:pPr>
              <w:pStyle w:val="TableParagraph"/>
              <w:spacing w:line="254" w:lineRule="auto"/>
              <w:ind w:left="207" w:firstLine="129"/>
              <w:rPr>
                <w:b/>
                <w:sz w:val="22"/>
              </w:rPr>
            </w:pPr>
            <w:r>
              <w:rPr>
                <w:b/>
                <w:spacing w:val="-4"/>
                <w:w w:val="90"/>
                <w:sz w:val="22"/>
              </w:rPr>
              <w:t>Structure </w:t>
            </w:r>
            <w:r>
              <w:rPr>
                <w:b/>
                <w:spacing w:val="-2"/>
                <w:w w:val="75"/>
                <w:sz w:val="22"/>
              </w:rPr>
              <w:t>responsable</w:t>
            </w:r>
          </w:p>
        </w:tc>
      </w:tr>
      <w:tr>
        <w:trPr>
          <w:trHeight w:val="402" w:hRule="atLeast"/>
        </w:trPr>
        <w:tc>
          <w:tcPr>
            <w:tcW w:w="420" w:type="dxa"/>
            <w:vMerge/>
            <w:tcBorders>
              <w:top w:val="nil"/>
              <w:bottom w:val="single" w:sz="8" w:space="0" w:color="221F1F"/>
              <w:right w:val="single" w:sz="8" w:space="0" w:color="221F1F"/>
            </w:tcBorders>
            <w:shd w:val="clear" w:color="auto" w:fill="BED7EB"/>
          </w:tcPr>
          <w:p>
            <w:pPr>
              <w:rPr>
                <w:sz w:val="2"/>
                <w:szCs w:val="2"/>
              </w:rPr>
            </w:pPr>
          </w:p>
        </w:tc>
        <w:tc>
          <w:tcPr>
            <w:tcW w:w="236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215"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918"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133" w:right="64"/>
              <w:jc w:val="center"/>
              <w:rPr>
                <w:b/>
                <w:sz w:val="22"/>
              </w:rPr>
            </w:pPr>
            <w:r>
              <w:rPr>
                <w:b/>
                <w:spacing w:val="-4"/>
                <w:sz w:val="22"/>
              </w:rPr>
              <w:t>2033</w:t>
            </w:r>
          </w:p>
        </w:tc>
        <w:tc>
          <w:tcPr>
            <w:tcW w:w="774"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77"/>
              <w:jc w:val="center"/>
              <w:rPr>
                <w:b/>
                <w:sz w:val="22"/>
              </w:rPr>
            </w:pPr>
            <w:r>
              <w:rPr>
                <w:b/>
                <w:spacing w:val="-4"/>
                <w:sz w:val="22"/>
              </w:rPr>
              <w:t>2043</w:t>
            </w:r>
          </w:p>
        </w:tc>
        <w:tc>
          <w:tcPr>
            <w:tcW w:w="774"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74"/>
              <w:jc w:val="center"/>
              <w:rPr>
                <w:b/>
                <w:sz w:val="22"/>
              </w:rPr>
            </w:pPr>
            <w:r>
              <w:rPr>
                <w:b/>
                <w:spacing w:val="-4"/>
                <w:sz w:val="22"/>
              </w:rPr>
              <w:t>2053</w:t>
            </w:r>
          </w:p>
        </w:tc>
        <w:tc>
          <w:tcPr>
            <w:tcW w:w="1019"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362"/>
              <w:rPr>
                <w:b/>
                <w:sz w:val="22"/>
              </w:rPr>
            </w:pPr>
            <w:r>
              <w:rPr>
                <w:b/>
                <w:spacing w:val="-4"/>
                <w:sz w:val="22"/>
              </w:rPr>
              <w:t>2063</w:t>
            </w:r>
          </w:p>
        </w:tc>
        <w:tc>
          <w:tcPr>
            <w:tcW w:w="127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446" w:type="dxa"/>
            <w:vMerge/>
            <w:tcBorders>
              <w:top w:val="nil"/>
              <w:left w:val="single" w:sz="8" w:space="0" w:color="221F1F"/>
              <w:bottom w:val="single" w:sz="8" w:space="0" w:color="221F1F"/>
            </w:tcBorders>
            <w:shd w:val="clear" w:color="auto" w:fill="0066B3"/>
          </w:tcPr>
          <w:p>
            <w:pPr>
              <w:rPr>
                <w:sz w:val="2"/>
                <w:szCs w:val="2"/>
              </w:rPr>
            </w:pP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34</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45"/>
              <w:ind w:left="100"/>
              <w:rPr>
                <w:sz w:val="22"/>
              </w:rPr>
            </w:pPr>
            <w:r>
              <w:rPr>
                <w:w w:val="75"/>
                <w:sz w:val="22"/>
              </w:rPr>
              <w:t>Nombre</w:t>
            </w:r>
            <w:r>
              <w:rPr>
                <w:spacing w:val="16"/>
                <w:sz w:val="22"/>
              </w:rPr>
              <w:t> </w:t>
            </w:r>
            <w:r>
              <w:rPr>
                <w:spacing w:val="-2"/>
                <w:w w:val="90"/>
                <w:sz w:val="22"/>
              </w:rPr>
              <w:t>d’universités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918" w:type="dxa"/>
            <w:tcBorders>
              <w:top w:val="single" w:sz="8" w:space="0" w:color="221F1F"/>
              <w:left w:val="single" w:sz="8" w:space="0" w:color="221F1F"/>
              <w:bottom w:val="single" w:sz="8" w:space="0" w:color="221F1F"/>
              <w:right w:val="single" w:sz="8" w:space="0" w:color="221F1F"/>
            </w:tcBorders>
          </w:tcPr>
          <w:p>
            <w:pPr>
              <w:pStyle w:val="TableParagraph"/>
              <w:ind w:left="133" w:right="58"/>
              <w:jc w:val="center"/>
              <w:rPr>
                <w:sz w:val="22"/>
              </w:rPr>
            </w:pPr>
            <w:r>
              <w:rPr>
                <w:spacing w:val="-10"/>
                <w:sz w:val="22"/>
              </w:rPr>
              <w:t>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ind w:left="79"/>
              <w:jc w:val="center"/>
              <w:rPr>
                <w:sz w:val="22"/>
              </w:rPr>
            </w:pPr>
            <w:r>
              <w:rPr>
                <w:spacing w:val="-10"/>
                <w:sz w:val="22"/>
              </w:rPr>
              <w:t>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ind w:left="76"/>
              <w:jc w:val="center"/>
              <w:rPr>
                <w:sz w:val="22"/>
              </w:rPr>
            </w:pPr>
            <w:r>
              <w:rPr>
                <w:spacing w:val="-10"/>
                <w:sz w:val="22"/>
              </w:rPr>
              <w:t>2</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ind w:left="141" w:right="72"/>
              <w:jc w:val="center"/>
              <w:rPr>
                <w:sz w:val="22"/>
              </w:rPr>
            </w:pPr>
            <w:r>
              <w:rPr>
                <w:spacing w:val="-10"/>
                <w:sz w:val="22"/>
              </w:rPr>
              <w:t>2</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84"/>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184"/>
              <w:ind w:left="455"/>
              <w:rPr>
                <w:sz w:val="22"/>
              </w:rPr>
            </w:pPr>
            <w:r>
              <w:rPr>
                <w:w w:val="85"/>
                <w:sz w:val="22"/>
              </w:rPr>
              <w:t>CPS/</w:t>
            </w:r>
            <w:r>
              <w:rPr>
                <w:spacing w:val="1"/>
                <w:sz w:val="22"/>
              </w:rPr>
              <w:t> </w:t>
            </w:r>
            <w:r>
              <w:rPr>
                <w:spacing w:val="-5"/>
                <w:sz w:val="22"/>
              </w:rPr>
              <w:t>SE</w:t>
            </w:r>
          </w:p>
        </w:tc>
      </w:tr>
      <w:tr>
        <w:trPr>
          <w:trHeight w:val="1787"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35</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110"/>
              <w:ind w:left="100" w:right="180"/>
              <w:rPr>
                <w:sz w:val="22"/>
              </w:rPr>
            </w:pPr>
            <w:r>
              <w:rPr>
                <w:w w:val="95"/>
                <w:sz w:val="22"/>
              </w:rPr>
              <w:t>Taux d’achèvement du primaire</w:t>
            </w:r>
            <w:r>
              <w:rPr>
                <w:spacing w:val="-11"/>
                <w:w w:val="95"/>
                <w:sz w:val="22"/>
              </w:rPr>
              <w:t> </w:t>
            </w:r>
            <w:r>
              <w:rPr>
                <w:w w:val="95"/>
                <w:sz w:val="22"/>
              </w:rPr>
              <w:t>avec</w:t>
            </w:r>
            <w:r>
              <w:rPr>
                <w:spacing w:val="-10"/>
                <w:w w:val="95"/>
                <w:sz w:val="22"/>
              </w:rPr>
              <w:t> </w:t>
            </w:r>
            <w:r>
              <w:rPr>
                <w:w w:val="95"/>
                <w:sz w:val="22"/>
              </w:rPr>
              <w:t>les</w:t>
            </w:r>
            <w:r>
              <w:rPr>
                <w:spacing w:val="-10"/>
                <w:w w:val="95"/>
                <w:sz w:val="22"/>
              </w:rPr>
              <w:t> </w:t>
            </w:r>
            <w:r>
              <w:rPr>
                <w:w w:val="95"/>
                <w:sz w:val="22"/>
              </w:rPr>
              <w:t>niveaux </w:t>
            </w:r>
            <w:r>
              <w:rPr>
                <w:spacing w:val="-2"/>
                <w:w w:val="95"/>
                <w:sz w:val="22"/>
              </w:rPr>
              <w:t>minimums</w:t>
            </w:r>
            <w:r>
              <w:rPr>
                <w:spacing w:val="-13"/>
                <w:w w:val="95"/>
                <w:sz w:val="22"/>
              </w:rPr>
              <w:t> </w:t>
            </w:r>
            <w:r>
              <w:rPr>
                <w:spacing w:val="-2"/>
                <w:w w:val="95"/>
                <w:sz w:val="22"/>
              </w:rPr>
              <w:t>de</w:t>
            </w:r>
            <w:r>
              <w:rPr>
                <w:spacing w:val="-11"/>
                <w:w w:val="95"/>
                <w:sz w:val="22"/>
              </w:rPr>
              <w:t> </w:t>
            </w:r>
            <w:r>
              <w:rPr>
                <w:spacing w:val="-2"/>
                <w:w w:val="95"/>
                <w:sz w:val="22"/>
              </w:rPr>
              <w:t>compétence </w:t>
            </w:r>
            <w:r>
              <w:rPr>
                <w:w w:val="85"/>
                <w:sz w:val="22"/>
              </w:rPr>
              <w:t>requis</w:t>
            </w:r>
            <w:r>
              <w:rPr>
                <w:spacing w:val="-2"/>
                <w:w w:val="85"/>
                <w:sz w:val="22"/>
              </w:rPr>
              <w:t> </w:t>
            </w:r>
            <w:r>
              <w:rPr>
                <w:w w:val="85"/>
                <w:sz w:val="22"/>
              </w:rPr>
              <w:t>en</w:t>
            </w:r>
            <w:r>
              <w:rPr>
                <w:spacing w:val="-4"/>
                <w:w w:val="85"/>
                <w:sz w:val="22"/>
              </w:rPr>
              <w:t> </w:t>
            </w:r>
            <w:r>
              <w:rPr>
                <w:w w:val="85"/>
                <w:sz w:val="22"/>
              </w:rPr>
              <w:t>lecture,</w:t>
            </w:r>
            <w:r>
              <w:rPr>
                <w:spacing w:val="-2"/>
                <w:w w:val="85"/>
                <w:sz w:val="22"/>
              </w:rPr>
              <w:t> </w:t>
            </w:r>
            <w:r>
              <w:rPr>
                <w:w w:val="85"/>
                <w:sz w:val="22"/>
              </w:rPr>
              <w:t>en écriture, </w:t>
            </w:r>
            <w:r>
              <w:rPr>
                <w:w w:val="90"/>
                <w:sz w:val="22"/>
              </w:rPr>
              <w:t>en</w:t>
            </w:r>
            <w:r>
              <w:rPr>
                <w:spacing w:val="-4"/>
                <w:w w:val="90"/>
                <w:sz w:val="22"/>
              </w:rPr>
              <w:t> </w:t>
            </w:r>
            <w:r>
              <w:rPr>
                <w:w w:val="90"/>
                <w:sz w:val="22"/>
              </w:rPr>
              <w:t>mathématiques</w:t>
            </w:r>
            <w:r>
              <w:rPr>
                <w:spacing w:val="-2"/>
                <w:w w:val="90"/>
                <w:sz w:val="22"/>
              </w:rPr>
              <w:t> </w:t>
            </w:r>
            <w:r>
              <w:rPr>
                <w:w w:val="90"/>
                <w:sz w:val="22"/>
              </w:rPr>
              <w:t>et en</w:t>
            </w:r>
          </w:p>
          <w:p>
            <w:pPr>
              <w:pStyle w:val="TableParagraph"/>
              <w:spacing w:before="1"/>
              <w:ind w:left="100"/>
              <w:rPr>
                <w:sz w:val="22"/>
              </w:rPr>
            </w:pPr>
            <w:r>
              <w:rPr>
                <w:w w:val="85"/>
                <w:sz w:val="22"/>
              </w:rPr>
              <w:t>compétences</w:t>
            </w:r>
            <w:r>
              <w:rPr>
                <w:spacing w:val="38"/>
                <w:sz w:val="22"/>
              </w:rPr>
              <w:t> </w:t>
            </w:r>
            <w:r>
              <w:rPr>
                <w:spacing w:val="-2"/>
                <w:sz w:val="22"/>
              </w:rPr>
              <w:t>numériques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rPr>
                <w:b/>
                <w:sz w:val="22"/>
              </w:rPr>
            </w:pPr>
          </w:p>
          <w:p>
            <w:pPr>
              <w:pStyle w:val="TableParagraph"/>
              <w:rPr>
                <w:b/>
                <w:sz w:val="22"/>
              </w:rPr>
            </w:pPr>
          </w:p>
          <w:p>
            <w:pPr>
              <w:pStyle w:val="TableParagraph"/>
              <w:spacing w:before="195"/>
              <w:rPr>
                <w:b/>
                <w:sz w:val="22"/>
              </w:rPr>
            </w:pPr>
          </w:p>
          <w:p>
            <w:pPr>
              <w:pStyle w:val="TableParagraph"/>
              <w:ind w:left="143" w:right="53"/>
              <w:jc w:val="center"/>
              <w:rPr>
                <w:sz w:val="22"/>
              </w:rPr>
            </w:pPr>
            <w:r>
              <w:rPr>
                <w:spacing w:val="-10"/>
                <w:sz w:val="22"/>
              </w:rPr>
              <w:t>-</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52"/>
              <w:ind w:left="133" w:right="64"/>
              <w:jc w:val="center"/>
              <w:rPr>
                <w:sz w:val="22"/>
              </w:rPr>
            </w:pPr>
            <w:r>
              <w:rPr>
                <w:spacing w:val="-5"/>
                <w:sz w:val="22"/>
              </w:rPr>
              <w:t>80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52"/>
              <w:ind w:left="77"/>
              <w:jc w:val="center"/>
              <w:rPr>
                <w:sz w:val="22"/>
              </w:rPr>
            </w:pPr>
            <w:r>
              <w:rPr>
                <w:spacing w:val="-5"/>
                <w:sz w:val="22"/>
              </w:rPr>
              <w:t>90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52"/>
              <w:ind w:left="72"/>
              <w:jc w:val="center"/>
              <w:rPr>
                <w:sz w:val="22"/>
              </w:rPr>
            </w:pPr>
            <w:r>
              <w:rPr>
                <w:spacing w:val="-5"/>
                <w:sz w:val="22"/>
              </w:rPr>
              <w:t>100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52"/>
              <w:ind w:left="141" w:right="72"/>
              <w:jc w:val="center"/>
              <w:rPr>
                <w:sz w:val="22"/>
              </w:rPr>
            </w:pPr>
            <w:r>
              <w:rPr>
                <w:spacing w:val="-5"/>
                <w:sz w:val="22"/>
              </w:rPr>
              <w:t>100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52"/>
              <w:ind w:left="133" w:right="59"/>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252"/>
              <w:ind w:left="203"/>
              <w:rPr>
                <w:sz w:val="22"/>
              </w:rPr>
            </w:pPr>
            <w:r>
              <w:rPr>
                <w:spacing w:val="-2"/>
                <w:sz w:val="22"/>
              </w:rPr>
              <w:t>CSP/Education</w:t>
            </w:r>
          </w:p>
        </w:tc>
      </w:tr>
      <w:tr>
        <w:trPr>
          <w:trHeight w:val="1191"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36</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46"/>
              <w:ind w:left="100"/>
              <w:rPr>
                <w:sz w:val="22"/>
              </w:rPr>
            </w:pPr>
            <w:r>
              <w:rPr>
                <w:w w:val="95"/>
                <w:sz w:val="22"/>
              </w:rPr>
              <w:t>Taux des diplômés de </w:t>
            </w:r>
            <w:r>
              <w:rPr>
                <w:w w:val="90"/>
                <w:sz w:val="22"/>
              </w:rPr>
              <w:t>l’enseignement</w:t>
            </w:r>
            <w:r>
              <w:rPr>
                <w:spacing w:val="-8"/>
                <w:w w:val="90"/>
                <w:sz w:val="22"/>
              </w:rPr>
              <w:t> </w:t>
            </w:r>
            <w:r>
              <w:rPr>
                <w:w w:val="90"/>
                <w:sz w:val="22"/>
              </w:rPr>
              <w:t>secondaire</w:t>
            </w:r>
            <w:r>
              <w:rPr>
                <w:spacing w:val="-8"/>
                <w:w w:val="90"/>
                <w:sz w:val="22"/>
              </w:rPr>
              <w:t> </w:t>
            </w:r>
            <w:r>
              <w:rPr>
                <w:w w:val="90"/>
                <w:sz w:val="22"/>
              </w:rPr>
              <w:t>et </w:t>
            </w:r>
            <w:r>
              <w:rPr>
                <w:w w:val="80"/>
                <w:sz w:val="22"/>
              </w:rPr>
              <w:t>supérieur dans les filières</w:t>
            </w:r>
            <w:r>
              <w:rPr>
                <w:spacing w:val="-5"/>
                <w:sz w:val="22"/>
              </w:rPr>
              <w:t> </w:t>
            </w:r>
            <w:r>
              <w:rPr>
                <w:w w:val="80"/>
                <w:sz w:val="22"/>
              </w:rPr>
              <w:t>STEM</w:t>
            </w:r>
            <w:r>
              <w:rPr>
                <w:w w:val="95"/>
                <w:sz w:val="22"/>
              </w:rPr>
              <w:t> </w:t>
            </w:r>
            <w:r>
              <w:rPr>
                <w:spacing w:val="-4"/>
                <w:w w:val="95"/>
                <w:sz w:val="22"/>
              </w:rPr>
              <w:t>(%)</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244"/>
              <w:rPr>
                <w:b/>
                <w:sz w:val="22"/>
              </w:rPr>
            </w:pPr>
          </w:p>
          <w:p>
            <w:pPr>
              <w:pStyle w:val="TableParagraph"/>
              <w:ind w:left="143"/>
              <w:jc w:val="center"/>
              <w:rPr>
                <w:sz w:val="22"/>
              </w:rPr>
            </w:pPr>
            <w:r>
              <w:rPr>
                <w:spacing w:val="-10"/>
                <w:sz w:val="22"/>
              </w:rPr>
              <w:t>-</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44"/>
              <w:rPr>
                <w:b/>
                <w:sz w:val="22"/>
              </w:rPr>
            </w:pPr>
          </w:p>
          <w:p>
            <w:pPr>
              <w:pStyle w:val="TableParagraph"/>
              <w:ind w:left="133" w:right="7"/>
              <w:jc w:val="center"/>
              <w:rPr>
                <w:sz w:val="22"/>
              </w:rPr>
            </w:pPr>
            <w:r>
              <w:rPr>
                <w:spacing w:val="-5"/>
                <w:sz w:val="22"/>
              </w:rPr>
              <w:t>40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44"/>
              <w:rPr>
                <w:b/>
                <w:sz w:val="22"/>
              </w:rPr>
            </w:pPr>
          </w:p>
          <w:p>
            <w:pPr>
              <w:pStyle w:val="TableParagraph"/>
              <w:ind w:left="134"/>
              <w:jc w:val="center"/>
              <w:rPr>
                <w:sz w:val="22"/>
              </w:rPr>
            </w:pPr>
            <w:r>
              <w:rPr>
                <w:spacing w:val="-5"/>
                <w:sz w:val="22"/>
              </w:rPr>
              <w:t>45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44"/>
              <w:rPr>
                <w:b/>
                <w:sz w:val="22"/>
              </w:rPr>
            </w:pPr>
          </w:p>
          <w:p>
            <w:pPr>
              <w:pStyle w:val="TableParagraph"/>
              <w:ind w:left="127"/>
              <w:jc w:val="center"/>
              <w:rPr>
                <w:sz w:val="22"/>
              </w:rPr>
            </w:pPr>
            <w:r>
              <w:rPr>
                <w:spacing w:val="-5"/>
                <w:sz w:val="22"/>
              </w:rPr>
              <w:t>50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44"/>
              <w:rPr>
                <w:b/>
                <w:sz w:val="22"/>
              </w:rPr>
            </w:pPr>
          </w:p>
          <w:p>
            <w:pPr>
              <w:pStyle w:val="TableParagraph"/>
              <w:ind w:left="141" w:right="12"/>
              <w:jc w:val="center"/>
              <w:rPr>
                <w:sz w:val="22"/>
              </w:rPr>
            </w:pPr>
            <w:r>
              <w:rPr>
                <w:spacing w:val="-5"/>
                <w:sz w:val="22"/>
              </w:rPr>
              <w:t>60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44"/>
              <w:rPr>
                <w:b/>
                <w:sz w:val="22"/>
              </w:rPr>
            </w:pPr>
          </w:p>
          <w:p>
            <w:pPr>
              <w:pStyle w:val="TableParagraph"/>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244"/>
              <w:rPr>
                <w:b/>
                <w:sz w:val="22"/>
              </w:rPr>
            </w:pPr>
          </w:p>
          <w:p>
            <w:pPr>
              <w:pStyle w:val="TableParagraph"/>
              <w:ind w:right="136"/>
              <w:jc w:val="right"/>
              <w:rPr>
                <w:sz w:val="22"/>
              </w:rPr>
            </w:pPr>
            <w:r>
              <w:rPr>
                <w:spacing w:val="-2"/>
                <w:w w:val="95"/>
                <w:sz w:val="22"/>
              </w:rPr>
              <w:t>CSP/Education</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37</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4" w:lineRule="auto" w:before="48"/>
              <w:ind w:left="100"/>
              <w:rPr>
                <w:sz w:val="22"/>
              </w:rPr>
            </w:pPr>
            <w:r>
              <w:rPr>
                <w:w w:val="80"/>
                <w:sz w:val="22"/>
              </w:rPr>
              <w:t>Taux d’incidence de la</w:t>
            </w:r>
            <w:r>
              <w:rPr>
                <w:spacing w:val="-3"/>
                <w:sz w:val="22"/>
              </w:rPr>
              <w:t> </w:t>
            </w:r>
            <w:r>
              <w:rPr>
                <w:w w:val="80"/>
                <w:sz w:val="22"/>
              </w:rPr>
              <w:t>pauvreté</w:t>
            </w:r>
            <w:r>
              <w:rPr>
                <w:w w:val="90"/>
                <w:sz w:val="22"/>
              </w:rPr>
              <w:t> </w:t>
            </w:r>
            <w:r>
              <w:rPr>
                <w:spacing w:val="-4"/>
                <w:w w:val="90"/>
                <w:sz w:val="22"/>
              </w:rPr>
              <w:t>(%)</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87"/>
              <w:ind w:left="143" w:right="11"/>
              <w:jc w:val="center"/>
              <w:rPr>
                <w:sz w:val="22"/>
              </w:rPr>
            </w:pPr>
            <w:r>
              <w:rPr>
                <w:spacing w:val="-4"/>
                <w:sz w:val="22"/>
              </w:rPr>
              <w:t>43,9</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87"/>
              <w:ind w:left="133" w:right="3"/>
              <w:jc w:val="center"/>
              <w:rPr>
                <w:sz w:val="22"/>
              </w:rPr>
            </w:pPr>
            <w:r>
              <w:rPr>
                <w:spacing w:val="-4"/>
                <w:sz w:val="22"/>
              </w:rPr>
              <w:t>32,0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34"/>
              <w:jc w:val="center"/>
              <w:rPr>
                <w:sz w:val="22"/>
              </w:rPr>
            </w:pPr>
            <w:r>
              <w:rPr>
                <w:spacing w:val="-4"/>
                <w:sz w:val="22"/>
              </w:rPr>
              <w:t>25,0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31"/>
              <w:jc w:val="center"/>
              <w:rPr>
                <w:sz w:val="22"/>
              </w:rPr>
            </w:pPr>
            <w:r>
              <w:rPr>
                <w:spacing w:val="-4"/>
                <w:sz w:val="22"/>
              </w:rPr>
              <w:t>16,0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87"/>
              <w:ind w:left="410"/>
              <w:rPr>
                <w:sz w:val="22"/>
              </w:rPr>
            </w:pPr>
            <w:r>
              <w:rPr>
                <w:spacing w:val="-4"/>
                <w:sz w:val="22"/>
              </w:rPr>
              <w:t>10,0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87"/>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187"/>
              <w:ind w:left="486"/>
              <w:rPr>
                <w:sz w:val="22"/>
              </w:rPr>
            </w:pPr>
            <w:r>
              <w:rPr>
                <w:spacing w:val="-2"/>
                <w:sz w:val="22"/>
              </w:rPr>
              <w:t>INSTAT</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38</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43"/>
              <w:ind w:left="100"/>
              <w:rPr>
                <w:sz w:val="22"/>
              </w:rPr>
            </w:pPr>
            <w:r>
              <w:rPr>
                <w:w w:val="80"/>
                <w:sz w:val="22"/>
              </w:rPr>
              <w:t>Revenu/</w:t>
            </w:r>
            <w:r>
              <w:rPr>
                <w:spacing w:val="1"/>
                <w:sz w:val="22"/>
              </w:rPr>
              <w:t> </w:t>
            </w:r>
            <w:r>
              <w:rPr>
                <w:spacing w:val="-4"/>
                <w:w w:val="90"/>
                <w:sz w:val="22"/>
              </w:rPr>
              <w:t>tête</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87"/>
              <w:ind w:left="143" w:right="10"/>
              <w:jc w:val="center"/>
              <w:rPr>
                <w:sz w:val="22"/>
              </w:rPr>
            </w:pPr>
            <w:r>
              <w:rPr>
                <w:spacing w:val="-4"/>
                <w:sz w:val="22"/>
              </w:rPr>
              <w:t>2517</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87"/>
              <w:ind w:left="133" w:right="7"/>
              <w:jc w:val="center"/>
              <w:rPr>
                <w:sz w:val="22"/>
              </w:rPr>
            </w:pPr>
            <w:r>
              <w:rPr>
                <w:spacing w:val="-4"/>
                <w:sz w:val="22"/>
              </w:rPr>
              <w:t>3048</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34"/>
              <w:jc w:val="center"/>
              <w:rPr>
                <w:sz w:val="22"/>
              </w:rPr>
            </w:pPr>
            <w:r>
              <w:rPr>
                <w:w w:val="85"/>
                <w:sz w:val="22"/>
              </w:rPr>
              <w:t>5</w:t>
            </w:r>
            <w:r>
              <w:rPr>
                <w:spacing w:val="-2"/>
                <w:w w:val="85"/>
                <w:sz w:val="22"/>
              </w:rPr>
              <w:t> </w:t>
            </w:r>
            <w:r>
              <w:rPr>
                <w:spacing w:val="-5"/>
                <w:sz w:val="22"/>
              </w:rPr>
              <w:t>000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31"/>
              <w:jc w:val="center"/>
              <w:rPr>
                <w:sz w:val="22"/>
              </w:rPr>
            </w:pPr>
            <w:r>
              <w:rPr>
                <w:w w:val="85"/>
                <w:sz w:val="22"/>
              </w:rPr>
              <w:t>8</w:t>
            </w:r>
            <w:r>
              <w:rPr>
                <w:spacing w:val="-2"/>
                <w:w w:val="85"/>
                <w:sz w:val="22"/>
              </w:rPr>
              <w:t> </w:t>
            </w:r>
            <w:r>
              <w:rPr>
                <w:spacing w:val="-5"/>
                <w:sz w:val="22"/>
              </w:rPr>
              <w:t>110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87"/>
              <w:ind w:left="324"/>
              <w:rPr>
                <w:sz w:val="22"/>
              </w:rPr>
            </w:pPr>
            <w:r>
              <w:rPr>
                <w:w w:val="85"/>
                <w:sz w:val="22"/>
              </w:rPr>
              <w:t>13</w:t>
            </w:r>
            <w:r>
              <w:rPr>
                <w:spacing w:val="-2"/>
                <w:w w:val="85"/>
                <w:sz w:val="22"/>
              </w:rPr>
              <w:t> </w:t>
            </w:r>
            <w:r>
              <w:rPr>
                <w:spacing w:val="-5"/>
                <w:sz w:val="22"/>
              </w:rPr>
              <w:t>900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43"/>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43"/>
              <w:ind w:left="486"/>
              <w:rPr>
                <w:sz w:val="22"/>
              </w:rPr>
            </w:pPr>
            <w:r>
              <w:rPr>
                <w:spacing w:val="-2"/>
                <w:sz w:val="22"/>
              </w:rPr>
              <w:t>INSTAT</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8"/>
              <w:ind w:left="93" w:right="12"/>
              <w:jc w:val="center"/>
              <w:rPr>
                <w:b/>
                <w:sz w:val="22"/>
              </w:rPr>
            </w:pPr>
            <w:r>
              <w:rPr>
                <w:b/>
                <w:spacing w:val="-5"/>
                <w:sz w:val="22"/>
              </w:rPr>
              <w:t>39</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52"/>
              <w:ind w:left="100"/>
              <w:rPr>
                <w:sz w:val="22"/>
              </w:rPr>
            </w:pPr>
            <w:r>
              <w:rPr>
                <w:spacing w:val="-5"/>
                <w:sz w:val="22"/>
              </w:rPr>
              <w:t>IDH</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87"/>
              <w:ind w:left="143" w:right="11"/>
              <w:jc w:val="center"/>
              <w:rPr>
                <w:sz w:val="22"/>
              </w:rPr>
            </w:pPr>
            <w:r>
              <w:rPr>
                <w:spacing w:val="-2"/>
                <w:sz w:val="22"/>
              </w:rPr>
              <w:t>0.428</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87"/>
              <w:ind w:left="133" w:right="3"/>
              <w:jc w:val="center"/>
              <w:rPr>
                <w:sz w:val="22"/>
              </w:rPr>
            </w:pPr>
            <w:r>
              <w:rPr>
                <w:spacing w:val="-2"/>
                <w:sz w:val="22"/>
              </w:rPr>
              <w:t>0.550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34"/>
              <w:jc w:val="center"/>
              <w:rPr>
                <w:sz w:val="22"/>
              </w:rPr>
            </w:pPr>
            <w:r>
              <w:rPr>
                <w:spacing w:val="-2"/>
                <w:sz w:val="22"/>
              </w:rPr>
              <w:t>0.650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31"/>
              <w:jc w:val="center"/>
              <w:rPr>
                <w:sz w:val="22"/>
              </w:rPr>
            </w:pPr>
            <w:r>
              <w:rPr>
                <w:spacing w:val="-2"/>
                <w:sz w:val="22"/>
              </w:rPr>
              <w:t>0.750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87"/>
              <w:ind w:left="367"/>
              <w:rPr>
                <w:sz w:val="22"/>
              </w:rPr>
            </w:pPr>
            <w:r>
              <w:rPr>
                <w:spacing w:val="-2"/>
                <w:sz w:val="22"/>
              </w:rPr>
              <w:t>0.880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52"/>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52"/>
              <w:ind w:left="486"/>
              <w:rPr>
                <w:sz w:val="22"/>
              </w:rPr>
            </w:pPr>
            <w:r>
              <w:rPr>
                <w:spacing w:val="-2"/>
                <w:sz w:val="22"/>
              </w:rPr>
              <w:t>INSTAT</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40</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96"/>
              <w:ind w:left="100"/>
              <w:rPr>
                <w:sz w:val="22"/>
              </w:rPr>
            </w:pPr>
            <w:r>
              <w:rPr>
                <w:w w:val="75"/>
                <w:sz w:val="22"/>
              </w:rPr>
              <w:t>Taux</w:t>
            </w:r>
            <w:r>
              <w:rPr>
                <w:spacing w:val="-1"/>
                <w:sz w:val="22"/>
              </w:rPr>
              <w:t> </w:t>
            </w:r>
            <w:r>
              <w:rPr>
                <w:w w:val="75"/>
                <w:sz w:val="22"/>
              </w:rPr>
              <w:t>de</w:t>
            </w:r>
            <w:r>
              <w:rPr>
                <w:sz w:val="22"/>
              </w:rPr>
              <w:t> </w:t>
            </w:r>
            <w:r>
              <w:rPr>
                <w:spacing w:val="-2"/>
                <w:w w:val="75"/>
                <w:sz w:val="22"/>
              </w:rPr>
              <w:t>chômage</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87"/>
              <w:ind w:left="143" w:right="11"/>
              <w:jc w:val="center"/>
              <w:rPr>
                <w:sz w:val="22"/>
              </w:rPr>
            </w:pPr>
            <w:r>
              <w:rPr>
                <w:spacing w:val="-5"/>
                <w:sz w:val="22"/>
              </w:rPr>
              <w:t>6,4</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87"/>
              <w:ind w:left="133" w:right="2"/>
              <w:jc w:val="center"/>
              <w:rPr>
                <w:sz w:val="22"/>
              </w:rPr>
            </w:pPr>
            <w:r>
              <w:rPr>
                <w:spacing w:val="-5"/>
                <w:sz w:val="22"/>
              </w:rPr>
              <w:t>7,3</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34"/>
              <w:jc w:val="center"/>
              <w:rPr>
                <w:sz w:val="22"/>
              </w:rPr>
            </w:pPr>
            <w:r>
              <w:rPr>
                <w:spacing w:val="-5"/>
                <w:sz w:val="22"/>
              </w:rPr>
              <w:t>7,0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31"/>
              <w:jc w:val="center"/>
              <w:rPr>
                <w:sz w:val="22"/>
              </w:rPr>
            </w:pPr>
            <w:r>
              <w:rPr>
                <w:spacing w:val="-5"/>
                <w:sz w:val="22"/>
              </w:rPr>
              <w:t>6,4</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87"/>
              <w:ind w:left="453"/>
              <w:rPr>
                <w:sz w:val="22"/>
              </w:rPr>
            </w:pPr>
            <w:r>
              <w:rPr>
                <w:spacing w:val="-5"/>
                <w:sz w:val="22"/>
              </w:rPr>
              <w:t>5,2</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line="214" w:lineRule="exact"/>
              <w:ind w:left="330"/>
              <w:rPr>
                <w:sz w:val="22"/>
              </w:rPr>
            </w:pPr>
            <w:r>
              <w:rPr>
                <w:spacing w:val="-2"/>
                <w:sz w:val="22"/>
              </w:rPr>
              <w:t>Annuaire</w:t>
            </w:r>
          </w:p>
          <w:p>
            <w:pPr>
              <w:pStyle w:val="TableParagraph"/>
              <w:spacing w:before="4"/>
              <w:ind w:left="282"/>
              <w:rPr>
                <w:sz w:val="22"/>
              </w:rPr>
            </w:pPr>
            <w:r>
              <w:rPr>
                <w:spacing w:val="-2"/>
                <w:sz w:val="22"/>
              </w:rPr>
              <w:t>statistique</w:t>
            </w:r>
          </w:p>
        </w:tc>
        <w:tc>
          <w:tcPr>
            <w:tcW w:w="1446" w:type="dxa"/>
            <w:tcBorders>
              <w:top w:val="single" w:sz="8" w:space="0" w:color="221F1F"/>
              <w:left w:val="single" w:sz="8" w:space="0" w:color="221F1F"/>
              <w:bottom w:val="single" w:sz="8" w:space="0" w:color="221F1F"/>
            </w:tcBorders>
          </w:tcPr>
          <w:p>
            <w:pPr>
              <w:pStyle w:val="TableParagraph"/>
              <w:spacing w:before="96"/>
              <w:ind w:left="551"/>
              <w:rPr>
                <w:sz w:val="22"/>
              </w:rPr>
            </w:pPr>
            <w:r>
              <w:rPr>
                <w:spacing w:val="-4"/>
                <w:sz w:val="22"/>
              </w:rPr>
              <w:t>ONEF</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41</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24"/>
              <w:ind w:left="100"/>
              <w:rPr>
                <w:sz w:val="22"/>
              </w:rPr>
            </w:pPr>
            <w:r>
              <w:rPr>
                <w:w w:val="75"/>
                <w:sz w:val="22"/>
              </w:rPr>
              <w:t>Espérance</w:t>
            </w:r>
            <w:r>
              <w:rPr>
                <w:spacing w:val="2"/>
                <w:sz w:val="22"/>
              </w:rPr>
              <w:t> </w:t>
            </w:r>
            <w:r>
              <w:rPr>
                <w:w w:val="75"/>
                <w:sz w:val="22"/>
              </w:rPr>
              <w:t>de</w:t>
            </w:r>
            <w:r>
              <w:rPr>
                <w:spacing w:val="3"/>
                <w:sz w:val="22"/>
              </w:rPr>
              <w:t> </w:t>
            </w:r>
            <w:r>
              <w:rPr>
                <w:w w:val="75"/>
                <w:sz w:val="22"/>
              </w:rPr>
              <w:t>vie</w:t>
            </w:r>
            <w:r>
              <w:rPr>
                <w:spacing w:val="3"/>
                <w:sz w:val="22"/>
              </w:rPr>
              <w:t> </w:t>
            </w:r>
            <w:r>
              <w:rPr>
                <w:w w:val="75"/>
                <w:sz w:val="22"/>
              </w:rPr>
              <w:t>à</w:t>
            </w:r>
            <w:r>
              <w:rPr>
                <w:spacing w:val="3"/>
                <w:sz w:val="22"/>
              </w:rPr>
              <w:t> </w:t>
            </w:r>
            <w:r>
              <w:rPr>
                <w:w w:val="75"/>
                <w:sz w:val="22"/>
              </w:rPr>
              <w:t>la</w:t>
            </w:r>
            <w:r>
              <w:rPr>
                <w:spacing w:val="6"/>
                <w:sz w:val="22"/>
              </w:rPr>
              <w:t> </w:t>
            </w:r>
            <w:r>
              <w:rPr>
                <w:spacing w:val="-2"/>
                <w:w w:val="75"/>
                <w:sz w:val="22"/>
              </w:rPr>
              <w:t>naissance</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87"/>
              <w:ind w:left="143" w:right="11"/>
              <w:jc w:val="center"/>
              <w:rPr>
                <w:sz w:val="22"/>
              </w:rPr>
            </w:pPr>
            <w:r>
              <w:rPr>
                <w:spacing w:val="-4"/>
                <w:sz w:val="22"/>
              </w:rPr>
              <w:t>58,6</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87"/>
              <w:ind w:left="133" w:right="7"/>
              <w:jc w:val="center"/>
              <w:rPr>
                <w:sz w:val="22"/>
              </w:rPr>
            </w:pPr>
            <w:r>
              <w:rPr>
                <w:spacing w:val="-5"/>
                <w:sz w:val="22"/>
              </w:rPr>
              <w:t>62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29"/>
              <w:jc w:val="center"/>
              <w:rPr>
                <w:sz w:val="22"/>
              </w:rPr>
            </w:pPr>
            <w:r>
              <w:rPr>
                <w:spacing w:val="-5"/>
                <w:sz w:val="22"/>
              </w:rPr>
              <w:t>70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27"/>
              <w:jc w:val="center"/>
              <w:rPr>
                <w:sz w:val="22"/>
              </w:rPr>
            </w:pPr>
            <w:r>
              <w:rPr>
                <w:spacing w:val="-5"/>
                <w:sz w:val="22"/>
              </w:rPr>
              <w:t>73</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87"/>
              <w:ind w:left="141" w:right="17"/>
              <w:jc w:val="center"/>
              <w:rPr>
                <w:sz w:val="22"/>
              </w:rPr>
            </w:pPr>
            <w:r>
              <w:rPr>
                <w:spacing w:val="-5"/>
                <w:sz w:val="22"/>
              </w:rPr>
              <w:t>76</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63"/>
              <w:ind w:left="133" w:right="2"/>
              <w:jc w:val="center"/>
              <w:rPr>
                <w:sz w:val="22"/>
              </w:rPr>
            </w:pPr>
            <w:r>
              <w:rPr>
                <w:spacing w:val="-4"/>
                <w:sz w:val="22"/>
              </w:rPr>
              <w:t>EDSM</w:t>
            </w:r>
          </w:p>
        </w:tc>
        <w:tc>
          <w:tcPr>
            <w:tcW w:w="1446" w:type="dxa"/>
            <w:tcBorders>
              <w:top w:val="single" w:sz="8" w:space="0" w:color="221F1F"/>
              <w:left w:val="single" w:sz="8" w:space="0" w:color="221F1F"/>
              <w:bottom w:val="single" w:sz="8" w:space="0" w:color="221F1F"/>
            </w:tcBorders>
          </w:tcPr>
          <w:p>
            <w:pPr>
              <w:pStyle w:val="TableParagraph"/>
              <w:spacing w:before="163"/>
              <w:ind w:right="176"/>
              <w:jc w:val="right"/>
              <w:rPr>
                <w:sz w:val="22"/>
              </w:rPr>
            </w:pPr>
            <w:r>
              <w:rPr>
                <w:spacing w:val="-2"/>
                <w:sz w:val="22"/>
              </w:rPr>
              <w:t>INSTAT/CPS</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41</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4" w:lineRule="auto" w:before="33"/>
              <w:ind w:left="100" w:hanging="58"/>
              <w:rPr>
                <w:sz w:val="22"/>
              </w:rPr>
            </w:pPr>
            <w:r>
              <w:rPr>
                <w:spacing w:val="-2"/>
                <w:w w:val="80"/>
                <w:sz w:val="22"/>
              </w:rPr>
              <w:t>Taux</w:t>
            </w:r>
            <w:r>
              <w:rPr>
                <w:spacing w:val="-9"/>
                <w:sz w:val="22"/>
              </w:rPr>
              <w:t> </w:t>
            </w:r>
            <w:r>
              <w:rPr>
                <w:spacing w:val="-2"/>
                <w:w w:val="80"/>
                <w:sz w:val="22"/>
              </w:rPr>
              <w:t>de</w:t>
            </w:r>
            <w:r>
              <w:rPr>
                <w:spacing w:val="-10"/>
                <w:sz w:val="22"/>
              </w:rPr>
              <w:t> </w:t>
            </w:r>
            <w:r>
              <w:rPr>
                <w:spacing w:val="-2"/>
                <w:w w:val="80"/>
                <w:sz w:val="22"/>
              </w:rPr>
              <w:t>mortalité</w:t>
            </w:r>
            <w:r>
              <w:rPr>
                <w:spacing w:val="-10"/>
                <w:sz w:val="22"/>
              </w:rPr>
              <w:t> </w:t>
            </w:r>
            <w:r>
              <w:rPr>
                <w:spacing w:val="-2"/>
                <w:w w:val="80"/>
                <w:sz w:val="22"/>
              </w:rPr>
              <w:t>(pour</w:t>
            </w:r>
            <w:r>
              <w:rPr>
                <w:spacing w:val="-9"/>
                <w:sz w:val="22"/>
              </w:rPr>
              <w:t> </w:t>
            </w:r>
            <w:r>
              <w:rPr>
                <w:spacing w:val="-2"/>
                <w:w w:val="80"/>
                <w:sz w:val="22"/>
              </w:rPr>
              <w:t>1000</w:t>
            </w:r>
            <w:r>
              <w:rPr>
                <w:spacing w:val="-2"/>
                <w:w w:val="90"/>
                <w:sz w:val="22"/>
              </w:rPr>
              <w:t> habitants)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87"/>
              <w:ind w:left="143" w:right="11"/>
              <w:jc w:val="center"/>
              <w:rPr>
                <w:sz w:val="22"/>
              </w:rPr>
            </w:pPr>
            <w:r>
              <w:rPr>
                <w:spacing w:val="-5"/>
                <w:sz w:val="22"/>
              </w:rPr>
              <w:t>9,0</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87"/>
              <w:ind w:left="133" w:right="2"/>
              <w:jc w:val="center"/>
              <w:rPr>
                <w:sz w:val="22"/>
              </w:rPr>
            </w:pPr>
            <w:r>
              <w:rPr>
                <w:spacing w:val="-5"/>
                <w:sz w:val="22"/>
              </w:rPr>
              <w:t>5,1</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34"/>
              <w:jc w:val="center"/>
              <w:rPr>
                <w:sz w:val="22"/>
              </w:rPr>
            </w:pPr>
            <w:r>
              <w:rPr>
                <w:spacing w:val="-5"/>
                <w:sz w:val="22"/>
              </w:rPr>
              <w:t>4,8</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87"/>
              <w:ind w:left="131"/>
              <w:jc w:val="center"/>
              <w:rPr>
                <w:sz w:val="22"/>
              </w:rPr>
            </w:pPr>
            <w:r>
              <w:rPr>
                <w:spacing w:val="-5"/>
                <w:sz w:val="22"/>
              </w:rPr>
              <w:t>4,0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87"/>
              <w:ind w:left="453"/>
              <w:rPr>
                <w:sz w:val="22"/>
              </w:rPr>
            </w:pPr>
            <w:r>
              <w:rPr>
                <w:spacing w:val="-5"/>
                <w:sz w:val="22"/>
              </w:rPr>
              <w:t>3,2</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72"/>
              <w:ind w:left="133" w:right="2"/>
              <w:jc w:val="center"/>
              <w:rPr>
                <w:sz w:val="22"/>
              </w:rPr>
            </w:pPr>
            <w:r>
              <w:rPr>
                <w:spacing w:val="-4"/>
                <w:sz w:val="22"/>
              </w:rPr>
              <w:t>EDSM</w:t>
            </w:r>
          </w:p>
        </w:tc>
        <w:tc>
          <w:tcPr>
            <w:tcW w:w="1446" w:type="dxa"/>
            <w:tcBorders>
              <w:top w:val="single" w:sz="8" w:space="0" w:color="221F1F"/>
              <w:left w:val="single" w:sz="8" w:space="0" w:color="221F1F"/>
              <w:bottom w:val="single" w:sz="8" w:space="0" w:color="221F1F"/>
            </w:tcBorders>
          </w:tcPr>
          <w:p>
            <w:pPr>
              <w:pStyle w:val="TableParagraph"/>
              <w:spacing w:before="172"/>
              <w:ind w:right="176"/>
              <w:jc w:val="right"/>
              <w:rPr>
                <w:sz w:val="22"/>
              </w:rPr>
            </w:pPr>
            <w:r>
              <w:rPr>
                <w:spacing w:val="-2"/>
                <w:sz w:val="22"/>
              </w:rPr>
              <w:t>INSTAT/CPS</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42</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4" w:lineRule="auto" w:before="79"/>
              <w:ind w:left="100" w:hanging="58"/>
              <w:rPr>
                <w:sz w:val="22"/>
              </w:rPr>
            </w:pPr>
            <w:r>
              <w:rPr>
                <w:w w:val="80"/>
                <w:sz w:val="22"/>
              </w:rPr>
              <w:t>Taux</w:t>
            </w:r>
            <w:r>
              <w:rPr>
                <w:spacing w:val="-3"/>
                <w:w w:val="80"/>
                <w:sz w:val="22"/>
              </w:rPr>
              <w:t> </w:t>
            </w:r>
            <w:r>
              <w:rPr>
                <w:w w:val="80"/>
                <w:sz w:val="22"/>
              </w:rPr>
              <w:t>de</w:t>
            </w:r>
            <w:r>
              <w:rPr>
                <w:spacing w:val="-3"/>
                <w:w w:val="80"/>
                <w:sz w:val="22"/>
              </w:rPr>
              <w:t> </w:t>
            </w:r>
            <w:r>
              <w:rPr>
                <w:w w:val="80"/>
                <w:sz w:val="22"/>
              </w:rPr>
              <w:t>mortalité</w:t>
            </w:r>
            <w:r>
              <w:rPr>
                <w:spacing w:val="-2"/>
                <w:w w:val="80"/>
                <w:sz w:val="22"/>
              </w:rPr>
              <w:t> </w:t>
            </w:r>
            <w:r>
              <w:rPr>
                <w:w w:val="80"/>
                <w:sz w:val="22"/>
              </w:rPr>
              <w:t>infantile</w:t>
            </w:r>
            <w:r>
              <w:rPr>
                <w:spacing w:val="-3"/>
                <w:w w:val="80"/>
                <w:sz w:val="22"/>
              </w:rPr>
              <w:t> </w:t>
            </w:r>
            <w:r>
              <w:rPr>
                <w:w w:val="80"/>
                <w:sz w:val="22"/>
              </w:rPr>
              <w:t>(pour</w:t>
            </w:r>
            <w:r>
              <w:rPr>
                <w:w w:val="90"/>
                <w:sz w:val="22"/>
              </w:rPr>
              <w:t> </w:t>
            </w:r>
            <w:r>
              <w:rPr>
                <w:spacing w:val="-4"/>
                <w:w w:val="90"/>
                <w:sz w:val="22"/>
              </w:rPr>
              <w:t>1000)</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218"/>
              <w:ind w:left="143" w:right="10"/>
              <w:jc w:val="center"/>
              <w:rPr>
                <w:sz w:val="22"/>
              </w:rPr>
            </w:pPr>
            <w:r>
              <w:rPr>
                <w:spacing w:val="-5"/>
                <w:sz w:val="22"/>
              </w:rPr>
              <w:t>54</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18"/>
              <w:ind w:left="133" w:right="7"/>
              <w:jc w:val="center"/>
              <w:rPr>
                <w:sz w:val="22"/>
              </w:rPr>
            </w:pPr>
            <w:r>
              <w:rPr>
                <w:spacing w:val="-5"/>
                <w:sz w:val="22"/>
              </w:rPr>
              <w:t>25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18"/>
              <w:ind w:left="134"/>
              <w:jc w:val="center"/>
              <w:rPr>
                <w:sz w:val="22"/>
              </w:rPr>
            </w:pPr>
            <w:r>
              <w:rPr>
                <w:spacing w:val="-5"/>
                <w:sz w:val="22"/>
              </w:rPr>
              <w:t>15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18"/>
              <w:ind w:left="139"/>
              <w:jc w:val="center"/>
              <w:rPr>
                <w:sz w:val="22"/>
              </w:rPr>
            </w:pPr>
            <w:r>
              <w:rPr>
                <w:spacing w:val="-10"/>
                <w:sz w:val="22"/>
              </w:rPr>
              <w:t>9</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18"/>
              <w:ind w:left="141"/>
              <w:jc w:val="center"/>
              <w:rPr>
                <w:sz w:val="22"/>
              </w:rPr>
            </w:pPr>
            <w:r>
              <w:rPr>
                <w:spacing w:val="-10"/>
                <w:sz w:val="22"/>
              </w:rPr>
              <w:t>5</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18"/>
              <w:ind w:left="133" w:right="2"/>
              <w:jc w:val="center"/>
              <w:rPr>
                <w:sz w:val="22"/>
              </w:rPr>
            </w:pPr>
            <w:r>
              <w:rPr>
                <w:spacing w:val="-4"/>
                <w:sz w:val="22"/>
              </w:rPr>
              <w:t>EDSM</w:t>
            </w:r>
          </w:p>
        </w:tc>
        <w:tc>
          <w:tcPr>
            <w:tcW w:w="1446" w:type="dxa"/>
            <w:tcBorders>
              <w:top w:val="single" w:sz="8" w:space="0" w:color="221F1F"/>
              <w:left w:val="single" w:sz="8" w:space="0" w:color="221F1F"/>
              <w:bottom w:val="single" w:sz="8" w:space="0" w:color="221F1F"/>
            </w:tcBorders>
          </w:tcPr>
          <w:p>
            <w:pPr>
              <w:pStyle w:val="TableParagraph"/>
              <w:spacing w:before="218"/>
              <w:ind w:right="176"/>
              <w:jc w:val="right"/>
              <w:rPr>
                <w:sz w:val="22"/>
              </w:rPr>
            </w:pPr>
            <w:r>
              <w:rPr>
                <w:spacing w:val="-2"/>
                <w:sz w:val="22"/>
              </w:rPr>
              <w:t>INSTAT/CPS</w:t>
            </w:r>
          </w:p>
        </w:tc>
      </w:tr>
      <w:tr>
        <w:trPr>
          <w:trHeight w:val="88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43</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4" w:lineRule="auto" w:before="48"/>
              <w:ind w:left="100"/>
              <w:rPr>
                <w:sz w:val="22"/>
              </w:rPr>
            </w:pPr>
            <w:r>
              <w:rPr>
                <w:w w:val="95"/>
                <w:sz w:val="22"/>
              </w:rPr>
              <w:t>Taux</w:t>
            </w:r>
            <w:r>
              <w:rPr>
                <w:spacing w:val="-5"/>
                <w:w w:val="95"/>
                <w:sz w:val="22"/>
              </w:rPr>
              <w:t> </w:t>
            </w:r>
            <w:r>
              <w:rPr>
                <w:w w:val="95"/>
                <w:sz w:val="22"/>
              </w:rPr>
              <w:t>de</w:t>
            </w:r>
            <w:r>
              <w:rPr>
                <w:spacing w:val="-2"/>
                <w:w w:val="95"/>
                <w:sz w:val="22"/>
              </w:rPr>
              <w:t> </w:t>
            </w:r>
            <w:r>
              <w:rPr>
                <w:w w:val="95"/>
                <w:sz w:val="22"/>
              </w:rPr>
              <w:t>couverture</w:t>
            </w:r>
            <w:r>
              <w:rPr>
                <w:spacing w:val="-2"/>
                <w:w w:val="95"/>
                <w:sz w:val="22"/>
              </w:rPr>
              <w:t> </w:t>
            </w:r>
            <w:r>
              <w:rPr>
                <w:w w:val="95"/>
                <w:sz w:val="22"/>
              </w:rPr>
              <w:t>des </w:t>
            </w:r>
            <w:r>
              <w:rPr>
                <w:w w:val="80"/>
                <w:sz w:val="22"/>
              </w:rPr>
              <w:t>médicaments</w:t>
            </w:r>
            <w:r>
              <w:rPr>
                <w:spacing w:val="-3"/>
                <w:w w:val="80"/>
                <w:sz w:val="22"/>
              </w:rPr>
              <w:t> </w:t>
            </w:r>
            <w:r>
              <w:rPr>
                <w:w w:val="80"/>
                <w:sz w:val="22"/>
              </w:rPr>
              <w:t>essentiels</w:t>
            </w:r>
            <w:r>
              <w:rPr>
                <w:spacing w:val="-3"/>
                <w:w w:val="80"/>
                <w:sz w:val="22"/>
              </w:rPr>
              <w:t> </w:t>
            </w:r>
            <w:r>
              <w:rPr>
                <w:w w:val="80"/>
                <w:sz w:val="22"/>
              </w:rPr>
              <w:t>par</w:t>
            </w:r>
            <w:r>
              <w:rPr>
                <w:spacing w:val="-2"/>
                <w:w w:val="80"/>
                <w:sz w:val="22"/>
              </w:rPr>
              <w:t> </w:t>
            </w:r>
            <w:r>
              <w:rPr>
                <w:w w:val="80"/>
                <w:sz w:val="22"/>
              </w:rPr>
              <w:t>la</w:t>
            </w:r>
          </w:p>
          <w:p>
            <w:pPr>
              <w:pStyle w:val="TableParagraph"/>
              <w:spacing w:before="3"/>
              <w:ind w:left="100"/>
              <w:rPr>
                <w:sz w:val="22"/>
              </w:rPr>
            </w:pPr>
            <w:r>
              <w:rPr>
                <w:w w:val="85"/>
                <w:sz w:val="22"/>
              </w:rPr>
              <w:t>production</w:t>
            </w:r>
            <w:r>
              <w:rPr>
                <w:spacing w:val="18"/>
                <w:sz w:val="22"/>
              </w:rPr>
              <w:t> </w:t>
            </w:r>
            <w:r>
              <w:rPr>
                <w:spacing w:val="-2"/>
                <w:sz w:val="22"/>
              </w:rPr>
              <w:t>nationale</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73"/>
              <w:rPr>
                <w:b/>
                <w:sz w:val="22"/>
              </w:rPr>
            </w:pPr>
          </w:p>
          <w:p>
            <w:pPr>
              <w:pStyle w:val="TableParagraph"/>
              <w:spacing w:before="1"/>
              <w:ind w:left="143" w:right="10"/>
              <w:jc w:val="center"/>
              <w:rPr>
                <w:sz w:val="22"/>
              </w:rPr>
            </w:pPr>
            <w:r>
              <w:rPr>
                <w:spacing w:val="-5"/>
                <w:sz w:val="22"/>
              </w:rPr>
              <w:t>93</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73"/>
              <w:rPr>
                <w:b/>
                <w:sz w:val="22"/>
              </w:rPr>
            </w:pPr>
          </w:p>
          <w:p>
            <w:pPr>
              <w:pStyle w:val="TableParagraph"/>
              <w:spacing w:before="1"/>
              <w:ind w:left="133" w:right="9"/>
              <w:jc w:val="center"/>
              <w:rPr>
                <w:sz w:val="22"/>
              </w:rPr>
            </w:pPr>
            <w:r>
              <w:rPr>
                <w:spacing w:val="-5"/>
                <w:sz w:val="22"/>
              </w:rPr>
              <w:t>100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73"/>
              <w:rPr>
                <w:b/>
                <w:sz w:val="22"/>
              </w:rPr>
            </w:pPr>
          </w:p>
          <w:p>
            <w:pPr>
              <w:pStyle w:val="TableParagraph"/>
              <w:spacing w:before="1"/>
              <w:ind w:left="132"/>
              <w:jc w:val="center"/>
              <w:rPr>
                <w:sz w:val="22"/>
              </w:rPr>
            </w:pPr>
            <w:r>
              <w:rPr>
                <w:spacing w:val="-5"/>
                <w:sz w:val="22"/>
              </w:rPr>
              <w:t>100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73"/>
              <w:rPr>
                <w:b/>
                <w:sz w:val="22"/>
              </w:rPr>
            </w:pPr>
          </w:p>
          <w:p>
            <w:pPr>
              <w:pStyle w:val="TableParagraph"/>
              <w:spacing w:before="1"/>
              <w:ind w:left="129"/>
              <w:jc w:val="center"/>
              <w:rPr>
                <w:sz w:val="22"/>
              </w:rPr>
            </w:pPr>
            <w:r>
              <w:rPr>
                <w:spacing w:val="-5"/>
                <w:sz w:val="22"/>
              </w:rPr>
              <w:t>100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73"/>
              <w:rPr>
                <w:b/>
                <w:sz w:val="22"/>
              </w:rPr>
            </w:pPr>
          </w:p>
          <w:p>
            <w:pPr>
              <w:pStyle w:val="TableParagraph"/>
              <w:spacing w:before="1"/>
              <w:ind w:left="437"/>
              <w:rPr>
                <w:sz w:val="22"/>
              </w:rPr>
            </w:pPr>
            <w:r>
              <w:rPr>
                <w:spacing w:val="-5"/>
                <w:sz w:val="22"/>
              </w:rPr>
              <w:t>100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73"/>
              <w:rPr>
                <w:b/>
                <w:sz w:val="22"/>
              </w:rPr>
            </w:pPr>
          </w:p>
          <w:p>
            <w:pPr>
              <w:pStyle w:val="TableParagraph"/>
              <w:spacing w:before="1"/>
              <w:ind w:left="133" w:right="1"/>
              <w:jc w:val="center"/>
              <w:rPr>
                <w:sz w:val="22"/>
              </w:rPr>
            </w:pPr>
            <w:r>
              <w:rPr>
                <w:spacing w:val="-5"/>
                <w:sz w:val="22"/>
              </w:rPr>
              <w:t>DPM</w:t>
            </w:r>
          </w:p>
        </w:tc>
        <w:tc>
          <w:tcPr>
            <w:tcW w:w="1446" w:type="dxa"/>
            <w:tcBorders>
              <w:top w:val="single" w:sz="8" w:space="0" w:color="221F1F"/>
              <w:left w:val="single" w:sz="8" w:space="0" w:color="221F1F"/>
              <w:bottom w:val="single" w:sz="8" w:space="0" w:color="221F1F"/>
            </w:tcBorders>
          </w:tcPr>
          <w:p>
            <w:pPr>
              <w:pStyle w:val="TableParagraph"/>
              <w:spacing w:before="73"/>
              <w:rPr>
                <w:b/>
                <w:sz w:val="22"/>
              </w:rPr>
            </w:pPr>
          </w:p>
          <w:p>
            <w:pPr>
              <w:pStyle w:val="TableParagraph"/>
              <w:spacing w:before="1"/>
              <w:ind w:right="219"/>
              <w:jc w:val="right"/>
              <w:rPr>
                <w:sz w:val="22"/>
              </w:rPr>
            </w:pPr>
            <w:r>
              <w:rPr>
                <w:spacing w:val="-2"/>
                <w:sz w:val="22"/>
              </w:rPr>
              <w:t>DPM/DGSP</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44</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105"/>
              <w:ind w:left="100" w:hanging="58"/>
              <w:rPr>
                <w:sz w:val="22"/>
              </w:rPr>
            </w:pPr>
            <w:r>
              <w:rPr>
                <w:w w:val="80"/>
                <w:sz w:val="22"/>
              </w:rPr>
              <w:t>Taux</w:t>
            </w:r>
            <w:r>
              <w:rPr>
                <w:spacing w:val="-3"/>
                <w:w w:val="80"/>
                <w:sz w:val="22"/>
              </w:rPr>
              <w:t> </w:t>
            </w:r>
            <w:r>
              <w:rPr>
                <w:w w:val="80"/>
                <w:sz w:val="22"/>
              </w:rPr>
              <w:t>de</w:t>
            </w:r>
            <w:r>
              <w:rPr>
                <w:spacing w:val="-3"/>
                <w:w w:val="80"/>
                <w:sz w:val="22"/>
              </w:rPr>
              <w:t> </w:t>
            </w:r>
            <w:r>
              <w:rPr>
                <w:w w:val="80"/>
                <w:sz w:val="22"/>
              </w:rPr>
              <w:t>mortalité</w:t>
            </w:r>
            <w:r>
              <w:rPr>
                <w:spacing w:val="-2"/>
                <w:w w:val="80"/>
                <w:sz w:val="22"/>
              </w:rPr>
              <w:t> </w:t>
            </w:r>
            <w:r>
              <w:rPr>
                <w:w w:val="80"/>
                <w:sz w:val="22"/>
              </w:rPr>
              <w:t>maternelle</w:t>
            </w:r>
            <w:r>
              <w:rPr>
                <w:spacing w:val="-3"/>
                <w:w w:val="80"/>
                <w:sz w:val="22"/>
              </w:rPr>
              <w:t> </w:t>
            </w:r>
            <w:r>
              <w:rPr>
                <w:w w:val="80"/>
                <w:sz w:val="22"/>
              </w:rPr>
              <w:t>(pour</w:t>
            </w:r>
            <w:r>
              <w:rPr>
                <w:w w:val="90"/>
                <w:sz w:val="22"/>
              </w:rPr>
              <w:t> 100000</w:t>
            </w:r>
            <w:r>
              <w:rPr>
                <w:spacing w:val="-4"/>
                <w:w w:val="90"/>
                <w:sz w:val="22"/>
              </w:rPr>
              <w:t> </w:t>
            </w:r>
            <w:r>
              <w:rPr>
                <w:w w:val="90"/>
                <w:sz w:val="22"/>
              </w:rPr>
              <w:t>naissances)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244"/>
              <w:ind w:left="143" w:right="13"/>
              <w:jc w:val="center"/>
              <w:rPr>
                <w:sz w:val="22"/>
              </w:rPr>
            </w:pPr>
            <w:r>
              <w:rPr>
                <w:spacing w:val="-5"/>
                <w:sz w:val="22"/>
              </w:rPr>
              <w:t>325</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44"/>
              <w:ind w:left="133" w:right="9"/>
              <w:jc w:val="center"/>
              <w:rPr>
                <w:sz w:val="22"/>
              </w:rPr>
            </w:pPr>
            <w:r>
              <w:rPr>
                <w:spacing w:val="-5"/>
                <w:sz w:val="22"/>
              </w:rPr>
              <w:t>194</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44"/>
              <w:ind w:left="132"/>
              <w:jc w:val="center"/>
              <w:rPr>
                <w:sz w:val="22"/>
              </w:rPr>
            </w:pPr>
            <w:r>
              <w:rPr>
                <w:spacing w:val="-5"/>
                <w:sz w:val="22"/>
              </w:rPr>
              <w:t>138</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44"/>
              <w:ind w:left="127"/>
              <w:jc w:val="center"/>
              <w:rPr>
                <w:sz w:val="22"/>
              </w:rPr>
            </w:pPr>
            <w:r>
              <w:rPr>
                <w:spacing w:val="-5"/>
                <w:sz w:val="22"/>
              </w:rPr>
              <w:t>98</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44"/>
              <w:ind w:left="141" w:right="12"/>
              <w:jc w:val="center"/>
              <w:rPr>
                <w:sz w:val="22"/>
              </w:rPr>
            </w:pPr>
            <w:r>
              <w:rPr>
                <w:spacing w:val="-5"/>
                <w:sz w:val="22"/>
              </w:rPr>
              <w:t>70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44"/>
              <w:ind w:left="133" w:right="2"/>
              <w:jc w:val="center"/>
              <w:rPr>
                <w:sz w:val="22"/>
              </w:rPr>
            </w:pPr>
            <w:r>
              <w:rPr>
                <w:spacing w:val="-4"/>
                <w:sz w:val="22"/>
              </w:rPr>
              <w:t>EDSM</w:t>
            </w:r>
          </w:p>
        </w:tc>
        <w:tc>
          <w:tcPr>
            <w:tcW w:w="1446" w:type="dxa"/>
            <w:tcBorders>
              <w:top w:val="single" w:sz="8" w:space="0" w:color="221F1F"/>
              <w:left w:val="single" w:sz="8" w:space="0" w:color="221F1F"/>
              <w:bottom w:val="single" w:sz="8" w:space="0" w:color="221F1F"/>
            </w:tcBorders>
          </w:tcPr>
          <w:p>
            <w:pPr>
              <w:pStyle w:val="TableParagraph"/>
              <w:spacing w:before="244"/>
              <w:ind w:right="176"/>
              <w:jc w:val="right"/>
              <w:rPr>
                <w:sz w:val="22"/>
              </w:rPr>
            </w:pPr>
            <w:r>
              <w:rPr>
                <w:spacing w:val="-2"/>
                <w:sz w:val="22"/>
              </w:rPr>
              <w:t>INSTAT/CPS</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45</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60"/>
              <w:ind w:left="100"/>
              <w:rPr>
                <w:sz w:val="22"/>
              </w:rPr>
            </w:pPr>
            <w:r>
              <w:rPr>
                <w:w w:val="80"/>
                <w:sz w:val="22"/>
              </w:rPr>
              <w:t>Ratio</w:t>
            </w:r>
            <w:r>
              <w:rPr>
                <w:spacing w:val="-2"/>
                <w:w w:val="80"/>
                <w:sz w:val="22"/>
              </w:rPr>
              <w:t> </w:t>
            </w:r>
            <w:r>
              <w:rPr>
                <w:w w:val="80"/>
                <w:sz w:val="22"/>
              </w:rPr>
              <w:t>personnel</w:t>
            </w:r>
            <w:r>
              <w:rPr>
                <w:spacing w:val="-2"/>
                <w:w w:val="80"/>
                <w:sz w:val="22"/>
              </w:rPr>
              <w:t> </w:t>
            </w:r>
            <w:r>
              <w:rPr>
                <w:w w:val="80"/>
                <w:sz w:val="22"/>
              </w:rPr>
              <w:t>de Santé/ (pour</w:t>
            </w:r>
            <w:r>
              <w:rPr>
                <w:w w:val="90"/>
                <w:sz w:val="22"/>
              </w:rPr>
              <w:t> 10000</w:t>
            </w:r>
            <w:r>
              <w:rPr>
                <w:spacing w:val="-9"/>
                <w:w w:val="90"/>
                <w:sz w:val="22"/>
              </w:rPr>
              <w:t> </w:t>
            </w:r>
            <w:r>
              <w:rPr>
                <w:w w:val="90"/>
                <w:sz w:val="22"/>
              </w:rPr>
              <w:t>habitants)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99"/>
              <w:ind w:left="143" w:right="8"/>
              <w:jc w:val="center"/>
              <w:rPr>
                <w:sz w:val="22"/>
              </w:rPr>
            </w:pPr>
            <w:r>
              <w:rPr>
                <w:spacing w:val="-10"/>
                <w:sz w:val="22"/>
              </w:rPr>
              <w:t>6</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60"/>
              <w:ind w:left="133" w:right="7"/>
              <w:jc w:val="center"/>
              <w:rPr>
                <w:sz w:val="22"/>
              </w:rPr>
            </w:pPr>
            <w:r>
              <w:rPr>
                <w:spacing w:val="-5"/>
                <w:w w:val="90"/>
                <w:sz w:val="22"/>
              </w:rPr>
              <w:t>10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60"/>
              <w:ind w:left="134"/>
              <w:jc w:val="center"/>
              <w:rPr>
                <w:sz w:val="22"/>
              </w:rPr>
            </w:pPr>
            <w:r>
              <w:rPr>
                <w:spacing w:val="-5"/>
                <w:w w:val="90"/>
                <w:sz w:val="22"/>
              </w:rPr>
              <w:t>15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60"/>
              <w:ind w:left="127"/>
              <w:jc w:val="center"/>
              <w:rPr>
                <w:sz w:val="22"/>
              </w:rPr>
            </w:pPr>
            <w:r>
              <w:rPr>
                <w:spacing w:val="-5"/>
                <w:w w:val="90"/>
                <w:sz w:val="22"/>
              </w:rPr>
              <w:t>20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60"/>
              <w:ind w:left="141" w:right="12"/>
              <w:jc w:val="center"/>
              <w:rPr>
                <w:sz w:val="22"/>
              </w:rPr>
            </w:pPr>
            <w:r>
              <w:rPr>
                <w:spacing w:val="-5"/>
                <w:w w:val="90"/>
                <w:sz w:val="22"/>
              </w:rPr>
              <w:t>25</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99"/>
              <w:ind w:left="133"/>
              <w:jc w:val="center"/>
              <w:rPr>
                <w:sz w:val="22"/>
              </w:rPr>
            </w:pPr>
            <w:r>
              <w:rPr>
                <w:spacing w:val="-2"/>
                <w:sz w:val="22"/>
              </w:rPr>
              <w:t>SIGRH</w:t>
            </w:r>
          </w:p>
        </w:tc>
        <w:tc>
          <w:tcPr>
            <w:tcW w:w="1446" w:type="dxa"/>
            <w:tcBorders>
              <w:top w:val="single" w:sz="8" w:space="0" w:color="221F1F"/>
              <w:left w:val="single" w:sz="8" w:space="0" w:color="221F1F"/>
              <w:bottom w:val="single" w:sz="8" w:space="0" w:color="221F1F"/>
            </w:tcBorders>
          </w:tcPr>
          <w:p>
            <w:pPr>
              <w:pStyle w:val="TableParagraph"/>
              <w:spacing w:before="199"/>
              <w:ind w:left="260" w:right="133"/>
              <w:jc w:val="center"/>
              <w:rPr>
                <w:sz w:val="22"/>
              </w:rPr>
            </w:pPr>
            <w:r>
              <w:rPr>
                <w:spacing w:val="-5"/>
                <w:sz w:val="22"/>
              </w:rPr>
              <w:t>DRH</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46</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59"/>
              <w:ind w:left="100" w:right="304"/>
              <w:rPr>
                <w:sz w:val="22"/>
              </w:rPr>
            </w:pPr>
            <w:r>
              <w:rPr>
                <w:w w:val="85"/>
                <w:sz w:val="22"/>
              </w:rPr>
              <w:t>Nombre d’hôpitaux de 1</w:t>
            </w:r>
            <w:r>
              <w:rPr>
                <w:w w:val="85"/>
                <w:position w:val="7"/>
                <w:sz w:val="22"/>
              </w:rPr>
              <w:t>ère </w:t>
            </w:r>
            <w:r>
              <w:rPr>
                <w:w w:val="85"/>
                <w:sz w:val="22"/>
              </w:rPr>
              <w:t>référence</w:t>
            </w:r>
            <w:r>
              <w:rPr>
                <w:spacing w:val="-6"/>
                <w:w w:val="85"/>
                <w:sz w:val="22"/>
              </w:rPr>
              <w:t> </w:t>
            </w:r>
            <w:r>
              <w:rPr>
                <w:w w:val="85"/>
                <w:sz w:val="22"/>
              </w:rPr>
              <w:t>construits</w:t>
            </w:r>
            <w:r>
              <w:rPr>
                <w:spacing w:val="-5"/>
                <w:w w:val="85"/>
                <w:sz w:val="22"/>
              </w:rPr>
              <w:t> </w:t>
            </w:r>
            <w:r>
              <w:rPr>
                <w:w w:val="85"/>
                <w:sz w:val="22"/>
              </w:rPr>
              <w:t>équipés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99"/>
              <w:ind w:left="143" w:right="10"/>
              <w:jc w:val="center"/>
              <w:rPr>
                <w:sz w:val="22"/>
              </w:rPr>
            </w:pPr>
            <w:r>
              <w:rPr>
                <w:spacing w:val="-5"/>
                <w:sz w:val="22"/>
              </w:rPr>
              <w:t>65</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99"/>
              <w:ind w:left="133" w:right="7"/>
              <w:jc w:val="center"/>
              <w:rPr>
                <w:sz w:val="22"/>
              </w:rPr>
            </w:pPr>
            <w:r>
              <w:rPr>
                <w:spacing w:val="-5"/>
                <w:sz w:val="22"/>
              </w:rPr>
              <w:t>90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99"/>
              <w:ind w:left="132"/>
              <w:jc w:val="center"/>
              <w:rPr>
                <w:sz w:val="22"/>
              </w:rPr>
            </w:pPr>
            <w:r>
              <w:rPr>
                <w:spacing w:val="-5"/>
                <w:sz w:val="22"/>
              </w:rPr>
              <w:t>100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99"/>
              <w:ind w:left="129"/>
              <w:jc w:val="center"/>
              <w:rPr>
                <w:sz w:val="22"/>
              </w:rPr>
            </w:pPr>
            <w:r>
              <w:rPr>
                <w:spacing w:val="-5"/>
                <w:sz w:val="22"/>
              </w:rPr>
              <w:t>150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99"/>
              <w:ind w:left="437"/>
              <w:rPr>
                <w:sz w:val="22"/>
              </w:rPr>
            </w:pPr>
            <w:r>
              <w:rPr>
                <w:spacing w:val="-5"/>
                <w:sz w:val="22"/>
              </w:rPr>
              <w:t>160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99"/>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60"/>
              <w:ind w:right="133"/>
              <w:jc w:val="center"/>
              <w:rPr>
                <w:sz w:val="22"/>
              </w:rPr>
            </w:pPr>
            <w:r>
              <w:rPr>
                <w:spacing w:val="-2"/>
                <w:w w:val="90"/>
                <w:sz w:val="22"/>
              </w:rPr>
              <w:t>DFM/CEPRIS/</w:t>
            </w:r>
          </w:p>
          <w:p>
            <w:pPr>
              <w:pStyle w:val="TableParagraph"/>
              <w:spacing w:before="28"/>
              <w:ind w:left="206" w:right="133"/>
              <w:jc w:val="center"/>
              <w:rPr>
                <w:sz w:val="22"/>
              </w:rPr>
            </w:pPr>
            <w:r>
              <w:rPr>
                <w:spacing w:val="-5"/>
                <w:sz w:val="22"/>
              </w:rPr>
              <w:t>CPS</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47</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60"/>
              <w:ind w:left="100"/>
              <w:rPr>
                <w:sz w:val="22"/>
              </w:rPr>
            </w:pPr>
            <w:r>
              <w:rPr>
                <w:w w:val="90"/>
                <w:sz w:val="22"/>
              </w:rPr>
              <w:t>Nombre</w:t>
            </w:r>
            <w:r>
              <w:rPr>
                <w:spacing w:val="-2"/>
                <w:w w:val="90"/>
                <w:sz w:val="22"/>
              </w:rPr>
              <w:t> </w:t>
            </w:r>
            <w:r>
              <w:rPr>
                <w:w w:val="90"/>
                <w:sz w:val="22"/>
              </w:rPr>
              <w:t>d’hôpitaux de 2eme </w:t>
            </w:r>
            <w:r>
              <w:rPr>
                <w:sz w:val="22"/>
              </w:rPr>
              <w:t>référence</w:t>
            </w:r>
            <w:r>
              <w:rPr>
                <w:spacing w:val="-3"/>
                <w:sz w:val="22"/>
              </w:rPr>
              <w:t> </w:t>
            </w:r>
            <w:r>
              <w:rPr>
                <w:sz w:val="22"/>
              </w:rPr>
              <w:t>construits/mis</w:t>
            </w:r>
            <w:r>
              <w:rPr>
                <w:spacing w:val="-1"/>
                <w:sz w:val="22"/>
              </w:rPr>
              <w:t> </w:t>
            </w:r>
            <w:r>
              <w:rPr>
                <w:sz w:val="22"/>
              </w:rPr>
              <w:t>à</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99"/>
              <w:ind w:left="143" w:right="5"/>
              <w:jc w:val="center"/>
              <w:rPr>
                <w:sz w:val="22"/>
              </w:rPr>
            </w:pPr>
            <w:r>
              <w:rPr>
                <w:spacing w:val="-10"/>
                <w:sz w:val="22"/>
              </w:rPr>
              <w:t>-</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99"/>
              <w:ind w:left="133" w:right="7"/>
              <w:jc w:val="center"/>
              <w:rPr>
                <w:sz w:val="22"/>
              </w:rPr>
            </w:pPr>
            <w:r>
              <w:rPr>
                <w:spacing w:val="-5"/>
                <w:sz w:val="22"/>
              </w:rPr>
              <w:t>20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99"/>
              <w:ind w:left="134"/>
              <w:jc w:val="center"/>
              <w:rPr>
                <w:sz w:val="22"/>
              </w:rPr>
            </w:pPr>
            <w:r>
              <w:rPr>
                <w:spacing w:val="-5"/>
                <w:sz w:val="22"/>
              </w:rPr>
              <w:t>20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99"/>
              <w:ind w:left="127"/>
              <w:jc w:val="center"/>
              <w:rPr>
                <w:sz w:val="22"/>
              </w:rPr>
            </w:pPr>
            <w:r>
              <w:rPr>
                <w:spacing w:val="-5"/>
                <w:sz w:val="22"/>
              </w:rPr>
              <w:t>20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99"/>
              <w:ind w:left="115"/>
              <w:rPr>
                <w:sz w:val="22"/>
              </w:rPr>
            </w:pPr>
            <w:r>
              <w:rPr>
                <w:spacing w:val="-5"/>
                <w:sz w:val="22"/>
              </w:rPr>
              <w:t>20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99"/>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60"/>
              <w:ind w:left="186"/>
              <w:rPr>
                <w:sz w:val="22"/>
              </w:rPr>
            </w:pPr>
            <w:r>
              <w:rPr>
                <w:w w:val="85"/>
                <w:sz w:val="22"/>
              </w:rPr>
              <w:t>CPS</w:t>
            </w:r>
            <w:r>
              <w:rPr>
                <w:spacing w:val="-7"/>
                <w:sz w:val="22"/>
              </w:rPr>
              <w:t> </w:t>
            </w:r>
            <w:r>
              <w:rPr>
                <w:spacing w:val="-2"/>
                <w:sz w:val="22"/>
              </w:rPr>
              <w:t>SANTE</w:t>
            </w:r>
          </w:p>
        </w:tc>
      </w:tr>
    </w:tbl>
    <w:p>
      <w:pPr>
        <w:pStyle w:val="TableParagraph"/>
        <w:spacing w:after="0"/>
        <w:rPr>
          <w:sz w:val="22"/>
        </w:rPr>
        <w:sectPr>
          <w:type w:val="continuous"/>
          <w:pgSz w:w="11910" w:h="16840"/>
          <w:pgMar w:header="0" w:footer="680" w:top="1380" w:bottom="1342" w:left="283" w:right="141"/>
        </w:sectPr>
      </w:pPr>
    </w:p>
    <w:tbl>
      <w:tblPr>
        <w:tblW w:w="0" w:type="auto"/>
        <w:jc w:val="left"/>
        <w:tblInd w:w="1132" w:type="dxa"/>
        <w:tblBorders>
          <w:top w:val="single" w:sz="18" w:space="0" w:color="221F1F"/>
          <w:left w:val="single" w:sz="18" w:space="0" w:color="221F1F"/>
          <w:bottom w:val="single" w:sz="18" w:space="0" w:color="221F1F"/>
          <w:right w:val="single" w:sz="18" w:space="0" w:color="221F1F"/>
          <w:insideH w:val="single" w:sz="18" w:space="0" w:color="221F1F"/>
          <w:insideV w:val="single" w:sz="18" w:space="0" w:color="221F1F"/>
        </w:tblBorders>
        <w:tblLayout w:type="fixed"/>
        <w:tblCellMar>
          <w:top w:w="0" w:type="dxa"/>
          <w:left w:w="0" w:type="dxa"/>
          <w:bottom w:w="0" w:type="dxa"/>
          <w:right w:w="0" w:type="dxa"/>
        </w:tblCellMar>
        <w:tblLook w:val="01E0"/>
      </w:tblPr>
      <w:tblGrid>
        <w:gridCol w:w="420"/>
        <w:gridCol w:w="2360"/>
        <w:gridCol w:w="1215"/>
        <w:gridCol w:w="918"/>
        <w:gridCol w:w="774"/>
        <w:gridCol w:w="774"/>
        <w:gridCol w:w="1019"/>
        <w:gridCol w:w="1270"/>
        <w:gridCol w:w="1446"/>
      </w:tblGrid>
      <w:tr>
        <w:trPr>
          <w:trHeight w:val="524" w:hRule="atLeast"/>
        </w:trPr>
        <w:tc>
          <w:tcPr>
            <w:tcW w:w="420" w:type="dxa"/>
            <w:vMerge w:val="restart"/>
            <w:tcBorders>
              <w:bottom w:val="single" w:sz="8" w:space="0" w:color="221F1F"/>
              <w:right w:val="single" w:sz="8" w:space="0" w:color="221F1F"/>
            </w:tcBorders>
            <w:shd w:val="clear" w:color="auto" w:fill="BED7EB"/>
          </w:tcPr>
          <w:p>
            <w:pPr>
              <w:pStyle w:val="TableParagraph"/>
              <w:spacing w:before="150"/>
              <w:rPr>
                <w:b/>
                <w:sz w:val="22"/>
              </w:rPr>
            </w:pPr>
          </w:p>
          <w:p>
            <w:pPr>
              <w:pStyle w:val="TableParagraph"/>
              <w:ind w:left="126"/>
              <w:rPr>
                <w:b/>
                <w:sz w:val="22"/>
              </w:rPr>
            </w:pPr>
            <w:r>
              <w:rPr>
                <w:b/>
                <w:spacing w:val="-5"/>
                <w:sz w:val="22"/>
              </w:rPr>
              <w:t>N°</w:t>
            </w:r>
          </w:p>
        </w:tc>
        <w:tc>
          <w:tcPr>
            <w:tcW w:w="236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50"/>
              <w:rPr>
                <w:b/>
                <w:sz w:val="22"/>
              </w:rPr>
            </w:pPr>
          </w:p>
          <w:p>
            <w:pPr>
              <w:pStyle w:val="TableParagraph"/>
              <w:ind w:left="280"/>
              <w:rPr>
                <w:b/>
                <w:sz w:val="22"/>
              </w:rPr>
            </w:pPr>
            <w:r>
              <w:rPr>
                <w:b/>
                <w:w w:val="80"/>
                <w:sz w:val="22"/>
              </w:rPr>
              <w:t>Intitulé</w:t>
            </w:r>
            <w:r>
              <w:rPr>
                <w:b/>
                <w:spacing w:val="-9"/>
                <w:sz w:val="22"/>
              </w:rPr>
              <w:t> </w:t>
            </w:r>
            <w:r>
              <w:rPr>
                <w:b/>
                <w:w w:val="80"/>
                <w:sz w:val="22"/>
              </w:rPr>
              <w:t>de</w:t>
            </w:r>
            <w:r>
              <w:rPr>
                <w:b/>
                <w:spacing w:val="-9"/>
                <w:sz w:val="22"/>
              </w:rPr>
              <w:t> </w:t>
            </w:r>
            <w:r>
              <w:rPr>
                <w:b/>
                <w:spacing w:val="-2"/>
                <w:w w:val="80"/>
                <w:sz w:val="22"/>
              </w:rPr>
              <w:t>l’indicateur</w:t>
            </w:r>
          </w:p>
        </w:tc>
        <w:tc>
          <w:tcPr>
            <w:tcW w:w="1215"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b/>
                <w:sz w:val="22"/>
              </w:rPr>
            </w:pPr>
          </w:p>
          <w:p>
            <w:pPr>
              <w:pStyle w:val="TableParagraph"/>
              <w:spacing w:line="254" w:lineRule="auto"/>
              <w:ind w:left="114" w:right="75" w:firstLine="228"/>
              <w:rPr>
                <w:b/>
                <w:sz w:val="22"/>
              </w:rPr>
            </w:pPr>
            <w:r>
              <w:rPr>
                <w:b/>
                <w:w w:val="90"/>
                <w:sz w:val="22"/>
              </w:rPr>
              <w:t>Valeur de </w:t>
            </w:r>
            <w:r>
              <w:rPr>
                <w:b/>
                <w:w w:val="75"/>
                <w:sz w:val="22"/>
              </w:rPr>
              <w:t>référence</w:t>
            </w:r>
            <w:r>
              <w:rPr>
                <w:b/>
                <w:spacing w:val="21"/>
                <w:sz w:val="22"/>
              </w:rPr>
              <w:t> </w:t>
            </w:r>
            <w:r>
              <w:rPr>
                <w:b/>
                <w:spacing w:val="-4"/>
                <w:w w:val="80"/>
                <w:sz w:val="22"/>
              </w:rPr>
              <w:t>2023</w:t>
            </w:r>
          </w:p>
        </w:tc>
        <w:tc>
          <w:tcPr>
            <w:tcW w:w="3485" w:type="dxa"/>
            <w:gridSpan w:val="4"/>
            <w:tcBorders>
              <w:left w:val="single" w:sz="8" w:space="0" w:color="221F1F"/>
              <w:bottom w:val="single" w:sz="8" w:space="0" w:color="221F1F"/>
              <w:right w:val="single" w:sz="8" w:space="0" w:color="221F1F"/>
            </w:tcBorders>
            <w:shd w:val="clear" w:color="auto" w:fill="0066B3"/>
          </w:tcPr>
          <w:p>
            <w:pPr>
              <w:pStyle w:val="TableParagraph"/>
              <w:spacing w:before="191"/>
              <w:ind w:left="1021"/>
              <w:rPr>
                <w:b/>
                <w:sz w:val="22"/>
              </w:rPr>
            </w:pPr>
            <w:r>
              <w:rPr>
                <w:b/>
                <w:w w:val="75"/>
                <w:sz w:val="22"/>
              </w:rPr>
              <w:t>Valeur</w:t>
            </w:r>
            <w:r>
              <w:rPr>
                <w:b/>
                <w:spacing w:val="14"/>
                <w:sz w:val="22"/>
              </w:rPr>
              <w:t> </w:t>
            </w:r>
            <w:r>
              <w:rPr>
                <w:b/>
                <w:spacing w:val="-4"/>
                <w:w w:val="95"/>
                <w:sz w:val="22"/>
              </w:rPr>
              <w:t>cible</w:t>
            </w:r>
          </w:p>
        </w:tc>
        <w:tc>
          <w:tcPr>
            <w:tcW w:w="127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b/>
                <w:sz w:val="22"/>
              </w:rPr>
            </w:pPr>
          </w:p>
          <w:p>
            <w:pPr>
              <w:pStyle w:val="TableParagraph"/>
              <w:spacing w:line="254" w:lineRule="auto"/>
              <w:ind w:left="169" w:right="285" w:firstLine="55"/>
              <w:rPr>
                <w:b/>
                <w:sz w:val="22"/>
              </w:rPr>
            </w:pPr>
            <w:r>
              <w:rPr>
                <w:b/>
                <w:spacing w:val="-2"/>
                <w:w w:val="85"/>
                <w:sz w:val="22"/>
              </w:rPr>
              <w:t>Source</w:t>
            </w:r>
            <w:r>
              <w:rPr>
                <w:b/>
                <w:spacing w:val="-5"/>
                <w:w w:val="85"/>
                <w:sz w:val="22"/>
              </w:rPr>
              <w:t> </w:t>
            </w:r>
            <w:r>
              <w:rPr>
                <w:b/>
                <w:spacing w:val="-2"/>
                <w:w w:val="85"/>
                <w:sz w:val="22"/>
              </w:rPr>
              <w:t>de </w:t>
            </w:r>
            <w:r>
              <w:rPr>
                <w:b/>
                <w:spacing w:val="-2"/>
                <w:w w:val="80"/>
                <w:sz w:val="22"/>
              </w:rPr>
              <w:t>Vérification</w:t>
            </w:r>
          </w:p>
        </w:tc>
        <w:tc>
          <w:tcPr>
            <w:tcW w:w="1446" w:type="dxa"/>
            <w:vMerge w:val="restart"/>
            <w:tcBorders>
              <w:left w:val="single" w:sz="8" w:space="0" w:color="221F1F"/>
              <w:bottom w:val="single" w:sz="8" w:space="0" w:color="221F1F"/>
            </w:tcBorders>
            <w:shd w:val="clear" w:color="auto" w:fill="0066B3"/>
          </w:tcPr>
          <w:p>
            <w:pPr>
              <w:pStyle w:val="TableParagraph"/>
              <w:spacing w:before="16"/>
              <w:rPr>
                <w:b/>
                <w:sz w:val="22"/>
              </w:rPr>
            </w:pPr>
          </w:p>
          <w:p>
            <w:pPr>
              <w:pStyle w:val="TableParagraph"/>
              <w:spacing w:line="254" w:lineRule="auto"/>
              <w:ind w:left="207" w:firstLine="129"/>
              <w:rPr>
                <w:b/>
                <w:sz w:val="22"/>
              </w:rPr>
            </w:pPr>
            <w:r>
              <w:rPr>
                <w:b/>
                <w:spacing w:val="-4"/>
                <w:w w:val="90"/>
                <w:sz w:val="22"/>
              </w:rPr>
              <w:t>Structure </w:t>
            </w:r>
            <w:r>
              <w:rPr>
                <w:b/>
                <w:spacing w:val="-2"/>
                <w:w w:val="75"/>
                <w:sz w:val="22"/>
              </w:rPr>
              <w:t>responsable</w:t>
            </w:r>
          </w:p>
        </w:tc>
      </w:tr>
      <w:tr>
        <w:trPr>
          <w:trHeight w:val="402" w:hRule="atLeast"/>
        </w:trPr>
        <w:tc>
          <w:tcPr>
            <w:tcW w:w="420" w:type="dxa"/>
            <w:vMerge/>
            <w:tcBorders>
              <w:top w:val="nil"/>
              <w:bottom w:val="single" w:sz="8" w:space="0" w:color="221F1F"/>
              <w:right w:val="single" w:sz="8" w:space="0" w:color="221F1F"/>
            </w:tcBorders>
            <w:shd w:val="clear" w:color="auto" w:fill="BED7EB"/>
          </w:tcPr>
          <w:p>
            <w:pPr>
              <w:rPr>
                <w:sz w:val="2"/>
                <w:szCs w:val="2"/>
              </w:rPr>
            </w:pPr>
          </w:p>
        </w:tc>
        <w:tc>
          <w:tcPr>
            <w:tcW w:w="236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215"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918"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310"/>
              <w:rPr>
                <w:b/>
                <w:sz w:val="22"/>
              </w:rPr>
            </w:pPr>
            <w:r>
              <w:rPr>
                <w:b/>
                <w:spacing w:val="-4"/>
                <w:sz w:val="22"/>
              </w:rPr>
              <w:t>2033</w:t>
            </w:r>
          </w:p>
        </w:tc>
        <w:tc>
          <w:tcPr>
            <w:tcW w:w="774"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242"/>
              <w:rPr>
                <w:b/>
                <w:sz w:val="22"/>
              </w:rPr>
            </w:pPr>
            <w:r>
              <w:rPr>
                <w:b/>
                <w:spacing w:val="-4"/>
                <w:sz w:val="22"/>
              </w:rPr>
              <w:t>2043</w:t>
            </w:r>
          </w:p>
        </w:tc>
        <w:tc>
          <w:tcPr>
            <w:tcW w:w="774"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74"/>
              <w:jc w:val="center"/>
              <w:rPr>
                <w:b/>
                <w:sz w:val="22"/>
              </w:rPr>
            </w:pPr>
            <w:r>
              <w:rPr>
                <w:b/>
                <w:spacing w:val="-4"/>
                <w:sz w:val="22"/>
              </w:rPr>
              <w:t>2053</w:t>
            </w:r>
          </w:p>
        </w:tc>
        <w:tc>
          <w:tcPr>
            <w:tcW w:w="1019"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right="288"/>
              <w:jc w:val="right"/>
              <w:rPr>
                <w:b/>
                <w:sz w:val="22"/>
              </w:rPr>
            </w:pPr>
            <w:r>
              <w:rPr>
                <w:b/>
                <w:spacing w:val="-4"/>
                <w:sz w:val="22"/>
              </w:rPr>
              <w:t>2063</w:t>
            </w:r>
          </w:p>
        </w:tc>
        <w:tc>
          <w:tcPr>
            <w:tcW w:w="127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446" w:type="dxa"/>
            <w:vMerge/>
            <w:tcBorders>
              <w:top w:val="nil"/>
              <w:left w:val="single" w:sz="8" w:space="0" w:color="221F1F"/>
              <w:bottom w:val="single" w:sz="8" w:space="0" w:color="221F1F"/>
            </w:tcBorders>
            <w:shd w:val="clear" w:color="auto" w:fill="0066B3"/>
          </w:tcPr>
          <w:p>
            <w:pPr>
              <w:rPr>
                <w:sz w:val="2"/>
                <w:szCs w:val="2"/>
              </w:rPr>
            </w:pP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rPr>
                <w:rFonts w:ascii="Times New Roman"/>
                <w:sz w:val="18"/>
              </w:rPr>
            </w:pP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2"/>
              <w:ind w:left="100"/>
              <w:rPr>
                <w:sz w:val="22"/>
              </w:rPr>
            </w:pPr>
            <w:r>
              <w:rPr>
                <w:sz w:val="22"/>
              </w:rPr>
              <w:t>niveau</w:t>
            </w:r>
            <w:r>
              <w:rPr>
                <w:spacing w:val="-4"/>
                <w:sz w:val="22"/>
              </w:rPr>
              <w:t> </w:t>
            </w:r>
            <w:r>
              <w:rPr>
                <w:sz w:val="22"/>
              </w:rPr>
              <w:t>et</w:t>
            </w:r>
            <w:r>
              <w:rPr>
                <w:spacing w:val="-1"/>
                <w:sz w:val="22"/>
              </w:rPr>
              <w:t> </w:t>
            </w:r>
            <w:r>
              <w:rPr>
                <w:spacing w:val="-2"/>
                <w:sz w:val="22"/>
              </w:rPr>
              <w:t>équipés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918"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774"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774"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1019"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1270"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1446" w:type="dxa"/>
            <w:tcBorders>
              <w:top w:val="single" w:sz="8" w:space="0" w:color="221F1F"/>
              <w:left w:val="single" w:sz="8" w:space="0" w:color="221F1F"/>
              <w:bottom w:val="single" w:sz="8" w:space="0" w:color="221F1F"/>
            </w:tcBorders>
          </w:tcPr>
          <w:p>
            <w:pPr>
              <w:pStyle w:val="TableParagraph"/>
              <w:rPr>
                <w:rFonts w:ascii="Times New Roman"/>
                <w:sz w:val="18"/>
              </w:rPr>
            </w:pPr>
          </w:p>
        </w:tc>
      </w:tr>
      <w:tr>
        <w:trPr>
          <w:trHeight w:val="896"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48</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32"/>
              <w:ind w:left="100" w:right="138"/>
              <w:jc w:val="both"/>
              <w:rPr>
                <w:sz w:val="22"/>
              </w:rPr>
            </w:pPr>
            <w:r>
              <w:rPr>
                <w:w w:val="90"/>
                <w:sz w:val="22"/>
              </w:rPr>
              <w:t>Nombre</w:t>
            </w:r>
            <w:r>
              <w:rPr>
                <w:spacing w:val="-2"/>
                <w:w w:val="90"/>
                <w:sz w:val="22"/>
              </w:rPr>
              <w:t> </w:t>
            </w:r>
            <w:r>
              <w:rPr>
                <w:w w:val="90"/>
                <w:sz w:val="22"/>
              </w:rPr>
              <w:t>d’hôpitaux de 3eme </w:t>
            </w:r>
            <w:r>
              <w:rPr>
                <w:sz w:val="22"/>
              </w:rPr>
              <w:t>référence</w:t>
            </w:r>
            <w:r>
              <w:rPr>
                <w:spacing w:val="-3"/>
                <w:sz w:val="22"/>
              </w:rPr>
              <w:t> </w:t>
            </w:r>
            <w:r>
              <w:rPr>
                <w:sz w:val="22"/>
              </w:rPr>
              <w:t>construits/mis</w:t>
            </w:r>
            <w:r>
              <w:rPr>
                <w:spacing w:val="-1"/>
                <w:sz w:val="22"/>
              </w:rPr>
              <w:t> </w:t>
            </w:r>
            <w:r>
              <w:rPr>
                <w:sz w:val="22"/>
              </w:rPr>
              <w:t>à niveau et équipés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201"/>
              <w:ind w:left="114"/>
              <w:rPr>
                <w:sz w:val="22"/>
              </w:rPr>
            </w:pPr>
            <w:r>
              <w:rPr>
                <w:spacing w:val="-5"/>
                <w:sz w:val="22"/>
              </w:rPr>
              <w:t>10</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99"/>
              <w:ind w:left="133" w:right="7"/>
              <w:jc w:val="center"/>
              <w:rPr>
                <w:sz w:val="22"/>
              </w:rPr>
            </w:pPr>
            <w:r>
              <w:rPr>
                <w:spacing w:val="-5"/>
                <w:sz w:val="22"/>
              </w:rPr>
              <w:t>19</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99"/>
              <w:ind w:left="360"/>
              <w:rPr>
                <w:sz w:val="22"/>
              </w:rPr>
            </w:pPr>
            <w:r>
              <w:rPr>
                <w:spacing w:val="-5"/>
                <w:sz w:val="22"/>
              </w:rPr>
              <w:t>28</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99"/>
              <w:ind w:left="127"/>
              <w:jc w:val="center"/>
              <w:rPr>
                <w:sz w:val="22"/>
              </w:rPr>
            </w:pPr>
            <w:r>
              <w:rPr>
                <w:spacing w:val="-5"/>
                <w:sz w:val="22"/>
              </w:rPr>
              <w:t>37</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99"/>
              <w:ind w:right="348"/>
              <w:jc w:val="right"/>
              <w:rPr>
                <w:sz w:val="22"/>
              </w:rPr>
            </w:pPr>
            <w:r>
              <w:rPr>
                <w:spacing w:val="-5"/>
                <w:sz w:val="22"/>
              </w:rPr>
              <w:t>46</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99"/>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60"/>
              <w:ind w:left="186"/>
              <w:rPr>
                <w:sz w:val="22"/>
              </w:rPr>
            </w:pPr>
            <w:r>
              <w:rPr>
                <w:w w:val="85"/>
                <w:sz w:val="22"/>
              </w:rPr>
              <w:t>CPS</w:t>
            </w:r>
            <w:r>
              <w:rPr>
                <w:spacing w:val="-7"/>
                <w:sz w:val="22"/>
              </w:rPr>
              <w:t> </w:t>
            </w:r>
            <w:r>
              <w:rPr>
                <w:spacing w:val="-2"/>
                <w:sz w:val="22"/>
              </w:rPr>
              <w:t>SANTE</w:t>
            </w:r>
          </w:p>
        </w:tc>
      </w:tr>
      <w:tr>
        <w:trPr>
          <w:trHeight w:val="899"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49</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60"/>
              <w:ind w:left="100"/>
              <w:rPr>
                <w:sz w:val="22"/>
              </w:rPr>
            </w:pPr>
            <w:r>
              <w:rPr>
                <w:w w:val="90"/>
                <w:sz w:val="22"/>
              </w:rPr>
              <w:t>Nombre</w:t>
            </w:r>
            <w:r>
              <w:rPr>
                <w:spacing w:val="-9"/>
                <w:w w:val="90"/>
                <w:sz w:val="22"/>
              </w:rPr>
              <w:t> </w:t>
            </w:r>
            <w:r>
              <w:rPr>
                <w:w w:val="90"/>
                <w:sz w:val="22"/>
              </w:rPr>
              <w:t>d’hôpitaux</w:t>
            </w:r>
            <w:r>
              <w:rPr>
                <w:spacing w:val="-5"/>
                <w:sz w:val="22"/>
              </w:rPr>
              <w:t> </w:t>
            </w:r>
            <w:r>
              <w:rPr>
                <w:w w:val="90"/>
                <w:sz w:val="22"/>
              </w:rPr>
              <w:t>de</w:t>
            </w:r>
            <w:r>
              <w:rPr>
                <w:sz w:val="22"/>
              </w:rPr>
              <w:t> </w:t>
            </w:r>
            <w:r>
              <w:rPr>
                <w:spacing w:val="-4"/>
                <w:w w:val="90"/>
                <w:sz w:val="22"/>
              </w:rPr>
              <w:t>4eme</w:t>
            </w:r>
          </w:p>
          <w:p>
            <w:pPr>
              <w:pStyle w:val="TableParagraph"/>
              <w:spacing w:line="280" w:lineRule="atLeast" w:before="3"/>
              <w:ind w:left="100" w:right="180"/>
              <w:rPr>
                <w:sz w:val="22"/>
              </w:rPr>
            </w:pPr>
            <w:r>
              <w:rPr>
                <w:sz w:val="22"/>
              </w:rPr>
              <w:t>référence</w:t>
            </w:r>
            <w:r>
              <w:rPr>
                <w:spacing w:val="-13"/>
                <w:sz w:val="22"/>
              </w:rPr>
              <w:t> </w:t>
            </w:r>
            <w:r>
              <w:rPr>
                <w:sz w:val="22"/>
              </w:rPr>
              <w:t>construits/mis</w:t>
            </w:r>
            <w:r>
              <w:rPr>
                <w:spacing w:val="-13"/>
                <w:sz w:val="22"/>
              </w:rPr>
              <w:t> </w:t>
            </w:r>
            <w:r>
              <w:rPr>
                <w:sz w:val="22"/>
              </w:rPr>
              <w:t>à niveau et équipés de</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01"/>
              <w:ind w:left="133"/>
              <w:jc w:val="center"/>
              <w:rPr>
                <w:sz w:val="22"/>
              </w:rPr>
            </w:pPr>
            <w:r>
              <w:rPr>
                <w:spacing w:val="-10"/>
                <w:sz w:val="22"/>
              </w:rPr>
              <w:t>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01"/>
              <w:ind w:left="141"/>
              <w:jc w:val="center"/>
              <w:rPr>
                <w:sz w:val="22"/>
              </w:rPr>
            </w:pPr>
            <w:r>
              <w:rPr>
                <w:spacing w:val="-10"/>
                <w:sz w:val="22"/>
              </w:rPr>
              <w:t>3</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01"/>
              <w:ind w:left="134"/>
              <w:jc w:val="center"/>
              <w:rPr>
                <w:sz w:val="22"/>
              </w:rPr>
            </w:pPr>
            <w:r>
              <w:rPr>
                <w:spacing w:val="-10"/>
                <w:sz w:val="22"/>
              </w:rPr>
              <w:t>4</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01"/>
              <w:ind w:right="384"/>
              <w:jc w:val="right"/>
              <w:rPr>
                <w:sz w:val="22"/>
              </w:rPr>
            </w:pPr>
            <w:r>
              <w:rPr>
                <w:spacing w:val="-10"/>
                <w:sz w:val="22"/>
              </w:rPr>
              <w:t>5</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01"/>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60"/>
              <w:ind w:left="186"/>
              <w:rPr>
                <w:sz w:val="22"/>
              </w:rPr>
            </w:pPr>
            <w:r>
              <w:rPr>
                <w:w w:val="85"/>
                <w:sz w:val="22"/>
              </w:rPr>
              <w:t>CPS</w:t>
            </w:r>
            <w:r>
              <w:rPr>
                <w:spacing w:val="-7"/>
                <w:sz w:val="22"/>
              </w:rPr>
              <w:t> </w:t>
            </w:r>
            <w:r>
              <w:rPr>
                <w:spacing w:val="-2"/>
                <w:sz w:val="22"/>
              </w:rPr>
              <w:t>SANTE</w:t>
            </w:r>
          </w:p>
        </w:tc>
      </w:tr>
      <w:tr>
        <w:trPr>
          <w:trHeight w:val="891"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50</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80" w:lineRule="atLeast" w:before="27"/>
              <w:ind w:left="100" w:right="195"/>
              <w:rPr>
                <w:sz w:val="22"/>
              </w:rPr>
            </w:pPr>
            <w:r>
              <w:rPr>
                <w:w w:val="85"/>
                <w:sz w:val="22"/>
              </w:rPr>
              <w:t>Taux d’accessibilité géogra- phique</w:t>
            </w:r>
            <w:r>
              <w:rPr>
                <w:spacing w:val="-9"/>
                <w:w w:val="85"/>
                <w:sz w:val="22"/>
              </w:rPr>
              <w:t> </w:t>
            </w:r>
            <w:r>
              <w:rPr>
                <w:w w:val="85"/>
                <w:sz w:val="22"/>
              </w:rPr>
              <w:t>dans</w:t>
            </w:r>
            <w:r>
              <w:rPr>
                <w:spacing w:val="-6"/>
                <w:w w:val="85"/>
                <w:sz w:val="22"/>
              </w:rPr>
              <w:t> </w:t>
            </w:r>
            <w:r>
              <w:rPr>
                <w:w w:val="85"/>
                <w:sz w:val="22"/>
              </w:rPr>
              <w:t>un</w:t>
            </w:r>
            <w:r>
              <w:rPr>
                <w:spacing w:val="-7"/>
                <w:w w:val="85"/>
                <w:sz w:val="22"/>
              </w:rPr>
              <w:t> </w:t>
            </w:r>
            <w:r>
              <w:rPr>
                <w:w w:val="85"/>
                <w:sz w:val="22"/>
              </w:rPr>
              <w:t>rayon</w:t>
            </w:r>
            <w:r>
              <w:rPr>
                <w:spacing w:val="-5"/>
                <w:w w:val="85"/>
                <w:sz w:val="22"/>
              </w:rPr>
              <w:t> </w:t>
            </w:r>
            <w:r>
              <w:rPr>
                <w:w w:val="85"/>
                <w:sz w:val="22"/>
              </w:rPr>
              <w:t>de</w:t>
            </w:r>
            <w:r>
              <w:rPr>
                <w:spacing w:val="-7"/>
                <w:w w:val="85"/>
                <w:sz w:val="22"/>
              </w:rPr>
              <w:t> </w:t>
            </w:r>
            <w:r>
              <w:rPr>
                <w:w w:val="85"/>
                <w:sz w:val="22"/>
              </w:rPr>
              <w:t>5</w:t>
            </w:r>
            <w:r>
              <w:rPr>
                <w:spacing w:val="-5"/>
                <w:w w:val="85"/>
                <w:sz w:val="22"/>
              </w:rPr>
              <w:t> </w:t>
            </w:r>
            <w:r>
              <w:rPr>
                <w:w w:val="85"/>
                <w:sz w:val="22"/>
              </w:rPr>
              <w:t>km </w:t>
            </w:r>
            <w:r>
              <w:rPr>
                <w:spacing w:val="-4"/>
                <w:w w:val="90"/>
                <w:sz w:val="22"/>
              </w:rPr>
              <w:t>(%)</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81"/>
              <w:rPr>
                <w:b/>
                <w:sz w:val="22"/>
              </w:rPr>
            </w:pPr>
          </w:p>
          <w:p>
            <w:pPr>
              <w:pStyle w:val="TableParagraph"/>
              <w:ind w:left="515"/>
              <w:rPr>
                <w:sz w:val="22"/>
              </w:rPr>
            </w:pPr>
            <w:r>
              <w:rPr>
                <w:spacing w:val="-4"/>
                <w:sz w:val="22"/>
              </w:rPr>
              <w:t>58,6</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81"/>
              <w:rPr>
                <w:b/>
                <w:sz w:val="22"/>
              </w:rPr>
            </w:pPr>
          </w:p>
          <w:p>
            <w:pPr>
              <w:pStyle w:val="TableParagraph"/>
              <w:ind w:left="133" w:right="7"/>
              <w:jc w:val="center"/>
              <w:rPr>
                <w:sz w:val="22"/>
              </w:rPr>
            </w:pPr>
            <w:r>
              <w:rPr>
                <w:spacing w:val="-5"/>
                <w:sz w:val="22"/>
              </w:rPr>
              <w:t>60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81"/>
              <w:rPr>
                <w:b/>
                <w:sz w:val="22"/>
              </w:rPr>
            </w:pPr>
          </w:p>
          <w:p>
            <w:pPr>
              <w:pStyle w:val="TableParagraph"/>
              <w:ind w:left="360"/>
              <w:rPr>
                <w:sz w:val="22"/>
              </w:rPr>
            </w:pPr>
            <w:r>
              <w:rPr>
                <w:spacing w:val="-5"/>
                <w:sz w:val="22"/>
              </w:rPr>
              <w:t>70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81"/>
              <w:rPr>
                <w:b/>
                <w:sz w:val="22"/>
              </w:rPr>
            </w:pPr>
          </w:p>
          <w:p>
            <w:pPr>
              <w:pStyle w:val="TableParagraph"/>
              <w:ind w:left="127"/>
              <w:jc w:val="center"/>
              <w:rPr>
                <w:sz w:val="22"/>
              </w:rPr>
            </w:pPr>
            <w:r>
              <w:rPr>
                <w:spacing w:val="-5"/>
                <w:sz w:val="22"/>
              </w:rPr>
              <w:t>80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81"/>
              <w:rPr>
                <w:b/>
                <w:sz w:val="22"/>
              </w:rPr>
            </w:pPr>
          </w:p>
          <w:p>
            <w:pPr>
              <w:pStyle w:val="TableParagraph"/>
              <w:ind w:right="348"/>
              <w:jc w:val="right"/>
              <w:rPr>
                <w:sz w:val="22"/>
              </w:rPr>
            </w:pPr>
            <w:r>
              <w:rPr>
                <w:spacing w:val="-5"/>
                <w:sz w:val="22"/>
              </w:rPr>
              <w:t>95</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94"/>
              <w:ind w:left="133" w:right="4"/>
              <w:jc w:val="center"/>
              <w:rPr>
                <w:sz w:val="22"/>
              </w:rPr>
            </w:pPr>
            <w:r>
              <w:rPr>
                <w:spacing w:val="-2"/>
                <w:sz w:val="22"/>
              </w:rPr>
              <w:t>DHISD/</w:t>
            </w:r>
          </w:p>
          <w:p>
            <w:pPr>
              <w:pStyle w:val="TableParagraph"/>
              <w:spacing w:before="28"/>
              <w:ind w:left="133" w:right="2"/>
              <w:jc w:val="center"/>
              <w:rPr>
                <w:sz w:val="22"/>
              </w:rPr>
            </w:pPr>
            <w:r>
              <w:rPr>
                <w:w w:val="80"/>
                <w:sz w:val="22"/>
              </w:rPr>
              <w:t>annuel</w:t>
            </w:r>
            <w:r>
              <w:rPr>
                <w:spacing w:val="-5"/>
                <w:w w:val="95"/>
                <w:sz w:val="22"/>
              </w:rPr>
              <w:t> </w:t>
            </w:r>
            <w:r>
              <w:rPr>
                <w:spacing w:val="-4"/>
                <w:w w:val="95"/>
                <w:sz w:val="22"/>
              </w:rPr>
              <w:t>SLIS</w:t>
            </w:r>
          </w:p>
        </w:tc>
        <w:tc>
          <w:tcPr>
            <w:tcW w:w="1446" w:type="dxa"/>
            <w:tcBorders>
              <w:top w:val="single" w:sz="8" w:space="0" w:color="221F1F"/>
              <w:left w:val="single" w:sz="8" w:space="0" w:color="221F1F"/>
              <w:bottom w:val="single" w:sz="8" w:space="0" w:color="221F1F"/>
            </w:tcBorders>
          </w:tcPr>
          <w:p>
            <w:pPr>
              <w:pStyle w:val="TableParagraph"/>
              <w:spacing w:before="81"/>
              <w:rPr>
                <w:b/>
                <w:sz w:val="22"/>
              </w:rPr>
            </w:pPr>
          </w:p>
          <w:p>
            <w:pPr>
              <w:pStyle w:val="TableParagraph"/>
              <w:ind w:left="248"/>
              <w:rPr>
                <w:sz w:val="22"/>
              </w:rPr>
            </w:pPr>
            <w:r>
              <w:rPr>
                <w:spacing w:val="-5"/>
                <w:w w:val="95"/>
                <w:sz w:val="22"/>
              </w:rPr>
              <w:t>DHISD/DGSHP</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51</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62"/>
              <w:ind w:left="100"/>
              <w:rPr>
                <w:sz w:val="22"/>
              </w:rPr>
            </w:pPr>
            <w:r>
              <w:rPr>
                <w:sz w:val="22"/>
              </w:rPr>
              <w:t>Construction</w:t>
            </w:r>
            <w:r>
              <w:rPr>
                <w:spacing w:val="-13"/>
                <w:sz w:val="22"/>
              </w:rPr>
              <w:t> </w:t>
            </w:r>
            <w:r>
              <w:rPr>
                <w:sz w:val="22"/>
              </w:rPr>
              <w:t>de</w:t>
            </w:r>
            <w:r>
              <w:rPr>
                <w:spacing w:val="-13"/>
                <w:sz w:val="22"/>
              </w:rPr>
              <w:t> </w:t>
            </w:r>
            <w:r>
              <w:rPr>
                <w:sz w:val="22"/>
              </w:rPr>
              <w:t>sociétés </w:t>
            </w:r>
            <w:r>
              <w:rPr>
                <w:spacing w:val="-2"/>
                <w:sz w:val="22"/>
              </w:rPr>
              <w:t>minières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01"/>
              <w:ind w:left="109"/>
              <w:rPr>
                <w:sz w:val="22"/>
              </w:rPr>
            </w:pPr>
            <w:r>
              <w:rPr>
                <w:spacing w:val="-5"/>
                <w:sz w:val="22"/>
              </w:rPr>
              <w:t>12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01"/>
              <w:ind w:left="115"/>
              <w:rPr>
                <w:sz w:val="22"/>
              </w:rPr>
            </w:pPr>
            <w:r>
              <w:rPr>
                <w:spacing w:val="-10"/>
                <w:sz w:val="22"/>
              </w:rPr>
              <w:t>3</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01"/>
              <w:ind w:left="134"/>
              <w:jc w:val="center"/>
              <w:rPr>
                <w:sz w:val="22"/>
              </w:rPr>
            </w:pPr>
            <w:r>
              <w:rPr>
                <w:spacing w:val="-10"/>
                <w:sz w:val="22"/>
              </w:rPr>
              <w:t>3</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01"/>
              <w:ind w:right="384"/>
              <w:jc w:val="right"/>
              <w:rPr>
                <w:sz w:val="22"/>
              </w:rPr>
            </w:pPr>
            <w:r>
              <w:rPr>
                <w:spacing w:val="-10"/>
                <w:sz w:val="22"/>
              </w:rPr>
              <w:t>3</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01"/>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62"/>
              <w:ind w:left="18"/>
              <w:rPr>
                <w:sz w:val="22"/>
              </w:rPr>
            </w:pPr>
            <w:r>
              <w:rPr>
                <w:spacing w:val="-2"/>
                <w:sz w:val="22"/>
              </w:rPr>
              <w:t>MIC/MM</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52</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62"/>
              <w:ind w:left="100" w:right="-44"/>
              <w:rPr>
                <w:sz w:val="22"/>
              </w:rPr>
            </w:pPr>
            <w:r>
              <w:rPr>
                <w:sz w:val="22"/>
              </w:rPr>
              <w:t>Constructions</w:t>
            </w:r>
            <w:r>
              <w:rPr>
                <w:spacing w:val="-7"/>
                <w:sz w:val="22"/>
              </w:rPr>
              <w:t> </w:t>
            </w:r>
            <w:r>
              <w:rPr>
                <w:sz w:val="22"/>
              </w:rPr>
              <w:t>de</w:t>
            </w:r>
            <w:r>
              <w:rPr>
                <w:spacing w:val="-4"/>
                <w:sz w:val="22"/>
              </w:rPr>
              <w:t> </w:t>
            </w:r>
            <w:r>
              <w:rPr>
                <w:spacing w:val="-2"/>
                <w:sz w:val="22"/>
              </w:rPr>
              <w:t>Cimenterie</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01"/>
              <w:ind w:left="133"/>
              <w:jc w:val="center"/>
              <w:rPr>
                <w:sz w:val="22"/>
              </w:rPr>
            </w:pPr>
            <w:r>
              <w:rPr>
                <w:spacing w:val="-10"/>
                <w:sz w:val="22"/>
              </w:rPr>
              <w:t>4</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01"/>
              <w:ind w:left="141"/>
              <w:jc w:val="center"/>
              <w:rPr>
                <w:sz w:val="22"/>
              </w:rPr>
            </w:pPr>
            <w:r>
              <w:rPr>
                <w:spacing w:val="-10"/>
                <w:sz w:val="22"/>
              </w:rPr>
              <w:t>1</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01"/>
              <w:ind w:left="134"/>
              <w:jc w:val="center"/>
              <w:rPr>
                <w:sz w:val="22"/>
              </w:rPr>
            </w:pPr>
            <w:r>
              <w:rPr>
                <w:spacing w:val="-10"/>
                <w:sz w:val="22"/>
              </w:rPr>
              <w:t>1</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01"/>
              <w:ind w:right="384"/>
              <w:jc w:val="right"/>
              <w:rPr>
                <w:sz w:val="22"/>
              </w:rPr>
            </w:pPr>
            <w:r>
              <w:rPr>
                <w:spacing w:val="-10"/>
                <w:sz w:val="22"/>
              </w:rPr>
              <w:t>2</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01"/>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62"/>
              <w:ind w:left="186"/>
              <w:rPr>
                <w:sz w:val="22"/>
              </w:rPr>
            </w:pPr>
            <w:r>
              <w:rPr>
                <w:spacing w:val="-2"/>
                <w:sz w:val="22"/>
              </w:rPr>
              <w:t>MIC/MM</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53</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62"/>
              <w:ind w:left="100"/>
              <w:rPr>
                <w:sz w:val="22"/>
              </w:rPr>
            </w:pPr>
            <w:r>
              <w:rPr>
                <w:sz w:val="22"/>
              </w:rPr>
              <w:t>Constructions</w:t>
            </w:r>
            <w:r>
              <w:rPr>
                <w:spacing w:val="-10"/>
                <w:sz w:val="22"/>
              </w:rPr>
              <w:t> </w:t>
            </w:r>
            <w:r>
              <w:rPr>
                <w:spacing w:val="-2"/>
                <w:sz w:val="22"/>
              </w:rPr>
              <w:t>d’unités</w:t>
            </w:r>
          </w:p>
          <w:p>
            <w:pPr>
              <w:pStyle w:val="TableParagraph"/>
              <w:spacing w:before="28"/>
              <w:ind w:left="100"/>
              <w:rPr>
                <w:sz w:val="22"/>
              </w:rPr>
            </w:pPr>
            <w:r>
              <w:rPr>
                <w:spacing w:val="-2"/>
                <w:sz w:val="22"/>
              </w:rPr>
              <w:t>industrielles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rPr>
                <w:rFonts w:ascii="Times New Roman"/>
                <w:sz w:val="18"/>
              </w:rPr>
            </w:pP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01"/>
              <w:ind w:left="133" w:right="7"/>
              <w:jc w:val="center"/>
              <w:rPr>
                <w:sz w:val="22"/>
              </w:rPr>
            </w:pPr>
            <w:r>
              <w:rPr>
                <w:spacing w:val="-5"/>
                <w:sz w:val="22"/>
              </w:rPr>
              <w:t>30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01"/>
              <w:ind w:left="360"/>
              <w:rPr>
                <w:sz w:val="22"/>
              </w:rPr>
            </w:pPr>
            <w:r>
              <w:rPr>
                <w:spacing w:val="-5"/>
                <w:sz w:val="22"/>
              </w:rPr>
              <w:t>30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01"/>
              <w:ind w:left="127"/>
              <w:jc w:val="center"/>
              <w:rPr>
                <w:sz w:val="22"/>
              </w:rPr>
            </w:pPr>
            <w:r>
              <w:rPr>
                <w:spacing w:val="-5"/>
                <w:sz w:val="22"/>
              </w:rPr>
              <w:t>50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01"/>
              <w:ind w:right="348"/>
              <w:jc w:val="right"/>
              <w:rPr>
                <w:sz w:val="22"/>
              </w:rPr>
            </w:pPr>
            <w:r>
              <w:rPr>
                <w:spacing w:val="-5"/>
                <w:sz w:val="22"/>
              </w:rPr>
              <w:t>50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01"/>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62"/>
              <w:ind w:left="186"/>
              <w:rPr>
                <w:sz w:val="22"/>
              </w:rPr>
            </w:pPr>
            <w:r>
              <w:rPr>
                <w:spacing w:val="-5"/>
                <w:sz w:val="22"/>
              </w:rPr>
              <w:t>MIC</w:t>
            </w:r>
          </w:p>
        </w:tc>
      </w:tr>
      <w:tr>
        <w:trPr>
          <w:trHeight w:val="908"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54</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72"/>
              <w:ind w:left="100"/>
              <w:rPr>
                <w:sz w:val="22"/>
              </w:rPr>
            </w:pPr>
            <w:r>
              <w:rPr>
                <w:spacing w:val="2"/>
                <w:w w:val="85"/>
                <w:sz w:val="22"/>
              </w:rPr>
              <w:t>Score/Classement</w:t>
            </w:r>
            <w:r>
              <w:rPr>
                <w:spacing w:val="10"/>
                <w:sz w:val="22"/>
              </w:rPr>
              <w:t> </w:t>
            </w:r>
            <w:r>
              <w:rPr>
                <w:spacing w:val="-5"/>
                <w:sz w:val="22"/>
              </w:rPr>
              <w:t>de</w:t>
            </w:r>
          </w:p>
          <w:p>
            <w:pPr>
              <w:pStyle w:val="TableParagraph"/>
              <w:spacing w:line="280" w:lineRule="atLeast"/>
              <w:ind w:left="100"/>
              <w:rPr>
                <w:sz w:val="22"/>
              </w:rPr>
            </w:pPr>
            <w:r>
              <w:rPr>
                <w:spacing w:val="-2"/>
                <w:w w:val="80"/>
                <w:sz w:val="22"/>
              </w:rPr>
              <w:t>Transparency</w:t>
            </w:r>
            <w:r>
              <w:rPr>
                <w:spacing w:val="-4"/>
                <w:sz w:val="22"/>
              </w:rPr>
              <w:t> </w:t>
            </w:r>
            <w:r>
              <w:rPr>
                <w:spacing w:val="-2"/>
                <w:w w:val="80"/>
                <w:sz w:val="22"/>
              </w:rPr>
              <w:t>International</w:t>
            </w:r>
            <w:r>
              <w:rPr>
                <w:spacing w:val="-6"/>
                <w:sz w:val="22"/>
              </w:rPr>
              <w:t> </w:t>
            </w:r>
            <w:r>
              <w:rPr>
                <w:spacing w:val="-2"/>
                <w:w w:val="80"/>
                <w:sz w:val="22"/>
              </w:rPr>
              <w:t>sur</w:t>
            </w:r>
            <w:r>
              <w:rPr>
                <w:spacing w:val="-5"/>
                <w:sz w:val="22"/>
              </w:rPr>
              <w:t> </w:t>
            </w:r>
            <w:r>
              <w:rPr>
                <w:spacing w:val="-2"/>
                <w:w w:val="80"/>
                <w:sz w:val="22"/>
              </w:rPr>
              <w:t>la</w:t>
            </w:r>
            <w:r>
              <w:rPr>
                <w:spacing w:val="-2"/>
                <w:w w:val="90"/>
                <w:sz w:val="22"/>
              </w:rPr>
              <w:t> </w:t>
            </w:r>
            <w:r>
              <w:rPr>
                <w:w w:val="90"/>
                <w:sz w:val="22"/>
              </w:rPr>
              <w:t>perception</w:t>
            </w:r>
            <w:r>
              <w:rPr>
                <w:spacing w:val="-8"/>
                <w:w w:val="90"/>
                <w:sz w:val="22"/>
              </w:rPr>
              <w:t> </w:t>
            </w:r>
            <w:r>
              <w:rPr>
                <w:w w:val="90"/>
                <w:sz w:val="22"/>
              </w:rPr>
              <w:t>de</w:t>
            </w:r>
            <w:r>
              <w:rPr>
                <w:spacing w:val="-8"/>
                <w:w w:val="90"/>
                <w:sz w:val="22"/>
              </w:rPr>
              <w:t> </w:t>
            </w:r>
            <w:r>
              <w:rPr>
                <w:w w:val="90"/>
                <w:sz w:val="22"/>
              </w:rPr>
              <w:t>la</w:t>
            </w:r>
            <w:r>
              <w:rPr>
                <w:spacing w:val="-7"/>
                <w:w w:val="90"/>
                <w:sz w:val="22"/>
              </w:rPr>
              <w:t> </w:t>
            </w:r>
            <w:r>
              <w:rPr>
                <w:w w:val="90"/>
                <w:sz w:val="22"/>
              </w:rPr>
              <w:t>cor-</w:t>
            </w:r>
            <w:r>
              <w:rPr>
                <w:spacing w:val="-8"/>
                <w:w w:val="90"/>
                <w:sz w:val="22"/>
              </w:rPr>
              <w:t> </w:t>
            </w:r>
            <w:r>
              <w:rPr>
                <w:w w:val="90"/>
                <w:sz w:val="22"/>
              </w:rPr>
              <w:t>ruption</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rPr>
                <w:b/>
                <w:sz w:val="22"/>
              </w:rPr>
            </w:pPr>
          </w:p>
          <w:p>
            <w:pPr>
              <w:pStyle w:val="TableParagraph"/>
              <w:spacing w:before="6"/>
              <w:rPr>
                <w:b/>
                <w:sz w:val="22"/>
              </w:rPr>
            </w:pPr>
          </w:p>
          <w:p>
            <w:pPr>
              <w:pStyle w:val="TableParagraph"/>
              <w:ind w:left="217"/>
              <w:rPr>
                <w:sz w:val="22"/>
              </w:rPr>
            </w:pPr>
            <w:r>
              <w:rPr>
                <w:spacing w:val="-6"/>
                <w:sz w:val="22"/>
              </w:rPr>
              <w:t>28/(136/180)</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4"/>
              <w:rPr>
                <w:b/>
                <w:sz w:val="22"/>
              </w:rPr>
            </w:pPr>
          </w:p>
          <w:p>
            <w:pPr>
              <w:pStyle w:val="TableParagraph"/>
              <w:ind w:left="425"/>
              <w:rPr>
                <w:sz w:val="22"/>
              </w:rPr>
            </w:pPr>
            <w:r>
              <w:rPr>
                <w:spacing w:val="-5"/>
                <w:sz w:val="22"/>
              </w:rPr>
              <w:t>45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4"/>
              <w:rPr>
                <w:b/>
                <w:sz w:val="22"/>
              </w:rPr>
            </w:pPr>
          </w:p>
          <w:p>
            <w:pPr>
              <w:pStyle w:val="TableParagraph"/>
              <w:ind w:left="355"/>
              <w:rPr>
                <w:sz w:val="22"/>
              </w:rPr>
            </w:pPr>
            <w:r>
              <w:rPr>
                <w:spacing w:val="-5"/>
                <w:sz w:val="22"/>
              </w:rPr>
              <w:t>60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4"/>
              <w:rPr>
                <w:b/>
                <w:sz w:val="22"/>
              </w:rPr>
            </w:pPr>
          </w:p>
          <w:p>
            <w:pPr>
              <w:pStyle w:val="TableParagraph"/>
              <w:ind w:left="127"/>
              <w:jc w:val="center"/>
              <w:rPr>
                <w:sz w:val="22"/>
              </w:rPr>
            </w:pPr>
            <w:r>
              <w:rPr>
                <w:spacing w:val="-5"/>
                <w:sz w:val="22"/>
              </w:rPr>
              <w:t>70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4"/>
              <w:rPr>
                <w:b/>
                <w:sz w:val="22"/>
              </w:rPr>
            </w:pPr>
          </w:p>
          <w:p>
            <w:pPr>
              <w:pStyle w:val="TableParagraph"/>
              <w:ind w:right="348"/>
              <w:jc w:val="right"/>
              <w:rPr>
                <w:sz w:val="22"/>
              </w:rPr>
            </w:pPr>
            <w:r>
              <w:rPr>
                <w:spacing w:val="-5"/>
                <w:sz w:val="22"/>
              </w:rPr>
              <w:t>80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4"/>
              <w:rPr>
                <w:b/>
                <w:sz w:val="22"/>
              </w:rPr>
            </w:pPr>
          </w:p>
          <w:p>
            <w:pPr>
              <w:pStyle w:val="TableParagraph"/>
              <w:ind w:left="133" w:right="6"/>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4"/>
              <w:rPr>
                <w:b/>
                <w:sz w:val="22"/>
              </w:rPr>
            </w:pPr>
          </w:p>
          <w:p>
            <w:pPr>
              <w:pStyle w:val="TableParagraph"/>
              <w:ind w:left="150"/>
              <w:rPr>
                <w:sz w:val="22"/>
              </w:rPr>
            </w:pPr>
            <w:r>
              <w:rPr>
                <w:spacing w:val="-2"/>
                <w:w w:val="90"/>
                <w:sz w:val="22"/>
              </w:rPr>
              <w:t>Transparency.org</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55</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8" w:lineRule="auto" w:before="38"/>
              <w:ind w:left="100"/>
              <w:rPr>
                <w:sz w:val="22"/>
              </w:rPr>
            </w:pPr>
            <w:r>
              <w:rPr>
                <w:w w:val="80"/>
                <w:sz w:val="22"/>
              </w:rPr>
              <w:t>Indice du budget ouvert (IBP/100)</w:t>
            </w:r>
            <w:r>
              <w:rPr>
                <w:w w:val="95"/>
                <w:sz w:val="22"/>
              </w:rPr>
              <w:t> </w:t>
            </w:r>
            <w:r>
              <w:rPr>
                <w:spacing w:val="-2"/>
                <w:w w:val="95"/>
                <w:sz w:val="22"/>
              </w:rPr>
              <w:t>Score</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2"/>
              <w:ind w:left="143" w:right="10"/>
              <w:jc w:val="center"/>
              <w:rPr>
                <w:sz w:val="22"/>
              </w:rPr>
            </w:pPr>
            <w:r>
              <w:rPr>
                <w:spacing w:val="-5"/>
                <w:sz w:val="22"/>
              </w:rPr>
              <w:t>65</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
              <w:ind w:left="425"/>
              <w:rPr>
                <w:sz w:val="22"/>
              </w:rPr>
            </w:pPr>
            <w:r>
              <w:rPr>
                <w:spacing w:val="-5"/>
                <w:sz w:val="22"/>
              </w:rPr>
              <w:t>86</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
              <w:ind w:left="357"/>
              <w:rPr>
                <w:sz w:val="22"/>
              </w:rPr>
            </w:pPr>
            <w:r>
              <w:rPr>
                <w:spacing w:val="-5"/>
                <w:sz w:val="22"/>
              </w:rPr>
              <w:t>90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
              <w:ind w:left="127"/>
              <w:jc w:val="center"/>
              <w:rPr>
                <w:sz w:val="22"/>
              </w:rPr>
            </w:pPr>
            <w:r>
              <w:rPr>
                <w:spacing w:val="-5"/>
                <w:sz w:val="22"/>
              </w:rPr>
              <w:t>95</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
              <w:ind w:right="301"/>
              <w:jc w:val="right"/>
              <w:rPr>
                <w:sz w:val="22"/>
              </w:rPr>
            </w:pPr>
            <w:r>
              <w:rPr>
                <w:spacing w:val="-5"/>
                <w:sz w:val="22"/>
              </w:rPr>
              <w:t>100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2"/>
              <w:ind w:left="256" w:right="133"/>
              <w:jc w:val="center"/>
              <w:rPr>
                <w:sz w:val="22"/>
              </w:rPr>
            </w:pPr>
            <w:r>
              <w:rPr>
                <w:spacing w:val="-5"/>
                <w:sz w:val="22"/>
              </w:rPr>
              <w:t>MEF</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56</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108"/>
              <w:ind w:left="100"/>
              <w:rPr>
                <w:sz w:val="22"/>
              </w:rPr>
            </w:pPr>
            <w:r>
              <w:rPr>
                <w:w w:val="80"/>
                <w:sz w:val="22"/>
              </w:rPr>
              <w:t>Ratio</w:t>
            </w:r>
            <w:r>
              <w:rPr>
                <w:spacing w:val="-2"/>
                <w:w w:val="80"/>
                <w:sz w:val="22"/>
              </w:rPr>
              <w:t> </w:t>
            </w:r>
            <w:r>
              <w:rPr>
                <w:spacing w:val="-2"/>
                <w:w w:val="95"/>
                <w:sz w:val="22"/>
              </w:rPr>
              <w:t>Juge/Habitants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2"/>
              <w:ind w:left="356"/>
              <w:rPr>
                <w:sz w:val="22"/>
              </w:rPr>
            </w:pPr>
            <w:r>
              <w:rPr>
                <w:w w:val="85"/>
                <w:sz w:val="22"/>
              </w:rPr>
              <w:t>1/44</w:t>
            </w:r>
            <w:r>
              <w:rPr>
                <w:spacing w:val="-2"/>
                <w:sz w:val="22"/>
              </w:rPr>
              <w:t> </w:t>
            </w:r>
            <w:r>
              <w:rPr>
                <w:spacing w:val="-5"/>
                <w:sz w:val="22"/>
              </w:rPr>
              <w:t>795</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
              <w:ind w:left="226"/>
              <w:rPr>
                <w:sz w:val="22"/>
              </w:rPr>
            </w:pPr>
            <w:r>
              <w:rPr>
                <w:spacing w:val="-2"/>
                <w:sz w:val="22"/>
              </w:rPr>
              <w:t>1/35000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
              <w:ind w:left="158"/>
              <w:rPr>
                <w:sz w:val="22"/>
              </w:rPr>
            </w:pPr>
            <w:r>
              <w:rPr>
                <w:spacing w:val="-2"/>
                <w:w w:val="90"/>
                <w:sz w:val="22"/>
              </w:rPr>
              <w:t>1/30000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
              <w:ind w:left="131"/>
              <w:jc w:val="center"/>
              <w:rPr>
                <w:sz w:val="22"/>
              </w:rPr>
            </w:pPr>
            <w:r>
              <w:rPr>
                <w:spacing w:val="-7"/>
                <w:sz w:val="22"/>
              </w:rPr>
              <w:t>1/25000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line="217" w:lineRule="exact"/>
              <w:ind w:left="141" w:right="13"/>
              <w:jc w:val="center"/>
              <w:rPr>
                <w:sz w:val="22"/>
              </w:rPr>
            </w:pPr>
            <w:r>
              <w:rPr>
                <w:spacing w:val="-2"/>
                <w:sz w:val="22"/>
              </w:rPr>
              <w:t>1/2000</w:t>
            </w:r>
          </w:p>
          <w:p>
            <w:pPr>
              <w:pStyle w:val="TableParagraph"/>
              <w:spacing w:line="246" w:lineRule="exact"/>
              <w:ind w:left="141" w:right="10"/>
              <w:jc w:val="center"/>
              <w:rPr>
                <w:sz w:val="22"/>
              </w:rPr>
            </w:pPr>
            <w:r>
              <w:rPr>
                <w:spacing w:val="-10"/>
                <w:sz w:val="22"/>
              </w:rPr>
              <w:t>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2"/>
              <w:ind w:left="257" w:right="133"/>
              <w:jc w:val="center"/>
              <w:rPr>
                <w:sz w:val="22"/>
              </w:rPr>
            </w:pPr>
            <w:r>
              <w:rPr>
                <w:spacing w:val="-5"/>
                <w:sz w:val="22"/>
              </w:rPr>
              <w:t>CPS</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57</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19"/>
              <w:ind w:left="100"/>
              <w:rPr>
                <w:sz w:val="22"/>
              </w:rPr>
            </w:pPr>
            <w:r>
              <w:rPr>
                <w:w w:val="85"/>
                <w:sz w:val="22"/>
              </w:rPr>
              <w:t>Superficie</w:t>
            </w:r>
            <w:r>
              <w:rPr>
                <w:spacing w:val="10"/>
                <w:sz w:val="22"/>
              </w:rPr>
              <w:t> </w:t>
            </w:r>
            <w:r>
              <w:rPr>
                <w:w w:val="85"/>
                <w:sz w:val="22"/>
              </w:rPr>
              <w:t>de</w:t>
            </w:r>
            <w:r>
              <w:rPr>
                <w:spacing w:val="10"/>
                <w:sz w:val="22"/>
              </w:rPr>
              <w:t> </w:t>
            </w:r>
            <w:r>
              <w:rPr>
                <w:w w:val="85"/>
                <w:sz w:val="22"/>
              </w:rPr>
              <w:t>terres</w:t>
            </w:r>
            <w:r>
              <w:rPr>
                <w:spacing w:val="12"/>
                <w:sz w:val="22"/>
              </w:rPr>
              <w:t> </w:t>
            </w:r>
            <w:r>
              <w:rPr>
                <w:spacing w:val="-2"/>
                <w:w w:val="85"/>
                <w:sz w:val="22"/>
              </w:rPr>
              <w:t>dégradées</w:t>
            </w:r>
          </w:p>
          <w:p>
            <w:pPr>
              <w:pStyle w:val="TableParagraph"/>
              <w:spacing w:before="28"/>
              <w:ind w:left="100"/>
              <w:rPr>
                <w:sz w:val="22"/>
              </w:rPr>
            </w:pPr>
            <w:r>
              <w:rPr>
                <w:w w:val="75"/>
                <w:sz w:val="22"/>
              </w:rPr>
              <w:t>restaurées</w:t>
            </w:r>
            <w:r>
              <w:rPr>
                <w:spacing w:val="11"/>
                <w:sz w:val="22"/>
              </w:rPr>
              <w:t> </w:t>
            </w:r>
            <w:r>
              <w:rPr>
                <w:w w:val="75"/>
                <w:sz w:val="22"/>
              </w:rPr>
              <w:t>(en</w:t>
            </w:r>
            <w:r>
              <w:rPr>
                <w:spacing w:val="12"/>
                <w:sz w:val="22"/>
              </w:rPr>
              <w:t> </w:t>
            </w:r>
            <w:r>
              <w:rPr>
                <w:w w:val="75"/>
                <w:sz w:val="22"/>
              </w:rPr>
              <w:t>milliers</w:t>
            </w:r>
            <w:r>
              <w:rPr>
                <w:spacing w:val="13"/>
                <w:sz w:val="22"/>
              </w:rPr>
              <w:t> </w:t>
            </w:r>
            <w:r>
              <w:rPr>
                <w:spacing w:val="-4"/>
                <w:w w:val="75"/>
                <w:sz w:val="22"/>
              </w:rPr>
              <w:t>d’ha)</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2"/>
              <w:ind w:left="445"/>
              <w:rPr>
                <w:sz w:val="22"/>
              </w:rPr>
            </w:pPr>
            <w:r>
              <w:rPr>
                <w:w w:val="85"/>
                <w:sz w:val="22"/>
              </w:rPr>
              <w:t>343,</w:t>
            </w:r>
            <w:r>
              <w:rPr>
                <w:spacing w:val="-2"/>
                <w:sz w:val="22"/>
              </w:rPr>
              <w:t> </w:t>
            </w:r>
            <w:r>
              <w:rPr>
                <w:spacing w:val="-10"/>
                <w:sz w:val="22"/>
              </w:rPr>
              <w:t>3</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
              <w:ind w:left="293"/>
              <w:rPr>
                <w:sz w:val="22"/>
              </w:rPr>
            </w:pPr>
            <w:r>
              <w:rPr>
                <w:w w:val="85"/>
                <w:sz w:val="22"/>
              </w:rPr>
              <w:t>343,</w:t>
            </w:r>
            <w:r>
              <w:rPr>
                <w:spacing w:val="-2"/>
                <w:sz w:val="22"/>
              </w:rPr>
              <w:t> </w:t>
            </w:r>
            <w:r>
              <w:rPr>
                <w:spacing w:val="-10"/>
                <w:sz w:val="22"/>
              </w:rPr>
              <w:t>3</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
              <w:ind w:left="225"/>
              <w:rPr>
                <w:sz w:val="22"/>
              </w:rPr>
            </w:pPr>
            <w:r>
              <w:rPr>
                <w:w w:val="85"/>
                <w:sz w:val="22"/>
              </w:rPr>
              <w:t>377,</w:t>
            </w:r>
            <w:r>
              <w:rPr>
                <w:spacing w:val="-2"/>
                <w:sz w:val="22"/>
              </w:rPr>
              <w:t> </w:t>
            </w:r>
            <w:r>
              <w:rPr>
                <w:spacing w:val="-10"/>
                <w:sz w:val="22"/>
              </w:rPr>
              <w:t>6</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
              <w:ind w:left="129"/>
              <w:jc w:val="center"/>
              <w:rPr>
                <w:sz w:val="22"/>
              </w:rPr>
            </w:pPr>
            <w:r>
              <w:rPr>
                <w:w w:val="85"/>
                <w:sz w:val="22"/>
              </w:rPr>
              <w:t>415,</w:t>
            </w:r>
            <w:r>
              <w:rPr>
                <w:spacing w:val="-2"/>
                <w:sz w:val="22"/>
              </w:rPr>
              <w:t> </w:t>
            </w:r>
            <w:r>
              <w:rPr>
                <w:spacing w:val="-10"/>
                <w:sz w:val="22"/>
              </w:rPr>
              <w:t>4</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
              <w:ind w:left="19"/>
              <w:rPr>
                <w:sz w:val="22"/>
              </w:rPr>
            </w:pPr>
            <w:r>
              <w:rPr>
                <w:spacing w:val="-2"/>
                <w:sz w:val="22"/>
              </w:rPr>
              <w:t>456,9</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
              <w:ind w:left="133" w:right="4"/>
              <w:jc w:val="center"/>
              <w:rPr>
                <w:sz w:val="22"/>
              </w:rPr>
            </w:pPr>
            <w:r>
              <w:rPr>
                <w:spacing w:val="-2"/>
                <w:sz w:val="22"/>
              </w:rPr>
              <w:t>SNGIE</w:t>
            </w:r>
          </w:p>
        </w:tc>
        <w:tc>
          <w:tcPr>
            <w:tcW w:w="1446" w:type="dxa"/>
            <w:tcBorders>
              <w:top w:val="single" w:sz="8" w:space="0" w:color="221F1F"/>
              <w:left w:val="single" w:sz="8" w:space="0" w:color="221F1F"/>
              <w:bottom w:val="single" w:sz="8" w:space="0" w:color="221F1F"/>
            </w:tcBorders>
          </w:tcPr>
          <w:p>
            <w:pPr>
              <w:pStyle w:val="TableParagraph"/>
              <w:spacing w:before="2"/>
              <w:ind w:left="517"/>
              <w:rPr>
                <w:sz w:val="22"/>
              </w:rPr>
            </w:pPr>
            <w:r>
              <w:rPr>
                <w:spacing w:val="-4"/>
                <w:sz w:val="22"/>
              </w:rPr>
              <w:t>DGEF</w:t>
            </w:r>
          </w:p>
        </w:tc>
      </w:tr>
      <w:tr>
        <w:trPr>
          <w:trHeight w:val="1149"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7"/>
              <w:ind w:left="93" w:right="12"/>
              <w:jc w:val="center"/>
              <w:rPr>
                <w:b/>
                <w:sz w:val="22"/>
              </w:rPr>
            </w:pPr>
            <w:r>
              <w:rPr>
                <w:b/>
                <w:spacing w:val="-5"/>
                <w:sz w:val="22"/>
              </w:rPr>
              <w:t>58</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31"/>
              <w:ind w:left="100" w:right="350"/>
              <w:rPr>
                <w:sz w:val="22"/>
              </w:rPr>
            </w:pPr>
            <w:r>
              <w:rPr>
                <w:w w:val="80"/>
                <w:sz w:val="22"/>
              </w:rPr>
              <w:t>Pourcentage</w:t>
            </w:r>
            <w:r>
              <w:rPr>
                <w:spacing w:val="-3"/>
                <w:w w:val="80"/>
                <w:sz w:val="22"/>
              </w:rPr>
              <w:t> </w:t>
            </w:r>
            <w:r>
              <w:rPr>
                <w:w w:val="80"/>
                <w:sz w:val="22"/>
              </w:rPr>
              <w:t>de</w:t>
            </w:r>
            <w:r>
              <w:rPr>
                <w:spacing w:val="-3"/>
                <w:w w:val="80"/>
                <w:sz w:val="22"/>
              </w:rPr>
              <w:t> </w:t>
            </w:r>
            <w:r>
              <w:rPr>
                <w:w w:val="80"/>
                <w:sz w:val="22"/>
              </w:rPr>
              <w:t>superficie</w:t>
            </w:r>
            <w:r>
              <w:rPr>
                <w:spacing w:val="-2"/>
                <w:w w:val="80"/>
                <w:sz w:val="22"/>
              </w:rPr>
              <w:t> </w:t>
            </w:r>
            <w:r>
              <w:rPr>
                <w:w w:val="80"/>
                <w:sz w:val="22"/>
              </w:rPr>
              <w:t>du</w:t>
            </w:r>
            <w:r>
              <w:rPr>
                <w:w w:val="95"/>
                <w:sz w:val="22"/>
              </w:rPr>
              <w:t> </w:t>
            </w:r>
            <w:r>
              <w:rPr>
                <w:spacing w:val="-2"/>
                <w:w w:val="95"/>
                <w:sz w:val="22"/>
              </w:rPr>
              <w:t>territoire</w:t>
            </w:r>
            <w:r>
              <w:rPr>
                <w:spacing w:val="-12"/>
                <w:w w:val="95"/>
                <w:sz w:val="22"/>
              </w:rPr>
              <w:t> </w:t>
            </w:r>
            <w:r>
              <w:rPr>
                <w:spacing w:val="-2"/>
                <w:w w:val="95"/>
                <w:sz w:val="22"/>
              </w:rPr>
              <w:t>érigé</w:t>
            </w:r>
            <w:r>
              <w:rPr>
                <w:spacing w:val="-11"/>
                <w:w w:val="95"/>
                <w:sz w:val="22"/>
              </w:rPr>
              <w:t> </w:t>
            </w:r>
            <w:r>
              <w:rPr>
                <w:spacing w:val="-2"/>
                <w:w w:val="95"/>
                <w:sz w:val="22"/>
              </w:rPr>
              <w:t>en</w:t>
            </w:r>
            <w:r>
              <w:rPr>
                <w:spacing w:val="-12"/>
                <w:w w:val="95"/>
                <w:sz w:val="22"/>
              </w:rPr>
              <w:t> </w:t>
            </w:r>
            <w:r>
              <w:rPr>
                <w:spacing w:val="-2"/>
                <w:w w:val="95"/>
                <w:sz w:val="22"/>
              </w:rPr>
              <w:t>aires </w:t>
            </w:r>
            <w:r>
              <w:rPr>
                <w:w w:val="95"/>
                <w:sz w:val="22"/>
              </w:rPr>
              <w:t>protégées terrestres et</w:t>
            </w:r>
          </w:p>
          <w:p>
            <w:pPr>
              <w:pStyle w:val="TableParagraph"/>
              <w:spacing w:line="252" w:lineRule="exact"/>
              <w:ind w:left="100"/>
              <w:rPr>
                <w:sz w:val="22"/>
              </w:rPr>
            </w:pPr>
            <w:r>
              <w:rPr>
                <w:spacing w:val="-2"/>
                <w:sz w:val="22"/>
              </w:rPr>
              <w:t>aquatiques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2"/>
              <w:rPr>
                <w:b/>
                <w:sz w:val="22"/>
              </w:rPr>
            </w:pPr>
          </w:p>
          <w:p>
            <w:pPr>
              <w:pStyle w:val="TableParagraph"/>
              <w:ind w:left="445"/>
              <w:rPr>
                <w:sz w:val="22"/>
              </w:rPr>
            </w:pPr>
            <w:r>
              <w:rPr>
                <w:w w:val="85"/>
                <w:sz w:val="22"/>
              </w:rPr>
              <w:t>14,</w:t>
            </w:r>
            <w:r>
              <w:rPr>
                <w:spacing w:val="-4"/>
                <w:sz w:val="22"/>
              </w:rPr>
              <w:t> </w:t>
            </w:r>
            <w:r>
              <w:rPr>
                <w:spacing w:val="-5"/>
                <w:sz w:val="22"/>
              </w:rPr>
              <w:t>14</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2"/>
              <w:rPr>
                <w:b/>
                <w:sz w:val="22"/>
              </w:rPr>
            </w:pPr>
          </w:p>
          <w:p>
            <w:pPr>
              <w:pStyle w:val="TableParagraph"/>
              <w:ind w:left="293"/>
              <w:rPr>
                <w:sz w:val="22"/>
              </w:rPr>
            </w:pPr>
            <w:r>
              <w:rPr>
                <w:w w:val="85"/>
                <w:sz w:val="22"/>
              </w:rPr>
              <w:t>14,</w:t>
            </w:r>
            <w:r>
              <w:rPr>
                <w:spacing w:val="-4"/>
                <w:sz w:val="22"/>
              </w:rPr>
              <w:t> </w:t>
            </w:r>
            <w:r>
              <w:rPr>
                <w:spacing w:val="-5"/>
                <w:sz w:val="22"/>
              </w:rPr>
              <w:t>14</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
              <w:rPr>
                <w:b/>
                <w:sz w:val="22"/>
              </w:rPr>
            </w:pPr>
          </w:p>
          <w:p>
            <w:pPr>
              <w:pStyle w:val="TableParagraph"/>
              <w:ind w:left="355"/>
              <w:rPr>
                <w:sz w:val="22"/>
              </w:rPr>
            </w:pPr>
            <w:r>
              <w:rPr>
                <w:spacing w:val="-5"/>
                <w:sz w:val="22"/>
              </w:rPr>
              <w:t>20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2"/>
              <w:rPr>
                <w:b/>
                <w:sz w:val="22"/>
              </w:rPr>
            </w:pPr>
          </w:p>
          <w:p>
            <w:pPr>
              <w:pStyle w:val="TableParagraph"/>
              <w:ind w:left="127"/>
              <w:jc w:val="center"/>
              <w:rPr>
                <w:sz w:val="22"/>
              </w:rPr>
            </w:pPr>
            <w:r>
              <w:rPr>
                <w:spacing w:val="-5"/>
                <w:sz w:val="22"/>
              </w:rPr>
              <w:t>25</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2"/>
              <w:rPr>
                <w:b/>
                <w:sz w:val="22"/>
              </w:rPr>
            </w:pPr>
          </w:p>
          <w:p>
            <w:pPr>
              <w:pStyle w:val="TableParagraph"/>
              <w:ind w:right="348"/>
              <w:jc w:val="right"/>
              <w:rPr>
                <w:sz w:val="22"/>
              </w:rPr>
            </w:pPr>
            <w:r>
              <w:rPr>
                <w:spacing w:val="-5"/>
                <w:sz w:val="22"/>
              </w:rPr>
              <w:t>30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2"/>
              <w:rPr>
                <w:b/>
                <w:sz w:val="22"/>
              </w:rPr>
            </w:pPr>
          </w:p>
          <w:p>
            <w:pPr>
              <w:pStyle w:val="TableParagraph"/>
              <w:ind w:left="133" w:right="9"/>
              <w:jc w:val="center"/>
              <w:rPr>
                <w:sz w:val="22"/>
              </w:rPr>
            </w:pPr>
            <w:r>
              <w:rPr>
                <w:spacing w:val="-2"/>
                <w:sz w:val="22"/>
              </w:rPr>
              <w:t>SNGIE</w:t>
            </w:r>
          </w:p>
        </w:tc>
        <w:tc>
          <w:tcPr>
            <w:tcW w:w="1446" w:type="dxa"/>
            <w:tcBorders>
              <w:top w:val="single" w:sz="8" w:space="0" w:color="221F1F"/>
              <w:left w:val="single" w:sz="8" w:space="0" w:color="221F1F"/>
              <w:bottom w:val="single" w:sz="8" w:space="0" w:color="221F1F"/>
            </w:tcBorders>
          </w:tcPr>
          <w:p>
            <w:pPr>
              <w:pStyle w:val="TableParagraph"/>
              <w:spacing w:before="2"/>
              <w:rPr>
                <w:b/>
                <w:sz w:val="22"/>
              </w:rPr>
            </w:pPr>
          </w:p>
          <w:p>
            <w:pPr>
              <w:pStyle w:val="TableParagraph"/>
              <w:ind w:left="548"/>
              <w:rPr>
                <w:sz w:val="22"/>
              </w:rPr>
            </w:pPr>
            <w:r>
              <w:rPr>
                <w:spacing w:val="-4"/>
                <w:sz w:val="22"/>
              </w:rPr>
              <w:t>DGEF</w:t>
            </w: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59</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4"/>
              <w:ind w:left="100"/>
              <w:rPr>
                <w:sz w:val="22"/>
              </w:rPr>
            </w:pPr>
            <w:r>
              <w:rPr>
                <w:w w:val="80"/>
                <w:sz w:val="22"/>
              </w:rPr>
              <w:t>Taux</w:t>
            </w:r>
            <w:r>
              <w:rPr>
                <w:spacing w:val="-1"/>
                <w:w w:val="80"/>
                <w:sz w:val="22"/>
              </w:rPr>
              <w:t> </w:t>
            </w:r>
            <w:r>
              <w:rPr>
                <w:w w:val="80"/>
                <w:sz w:val="22"/>
              </w:rPr>
              <w:t>de satisfaction des usagers</w:t>
            </w:r>
            <w:r>
              <w:rPr>
                <w:w w:val="90"/>
                <w:sz w:val="22"/>
              </w:rPr>
              <w:t> des services publics</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143" w:right="10"/>
              <w:jc w:val="center"/>
              <w:rPr>
                <w:sz w:val="22"/>
              </w:rPr>
            </w:pPr>
            <w:r>
              <w:rPr>
                <w:spacing w:val="-5"/>
                <w:sz w:val="22"/>
              </w:rPr>
              <w:t>25</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425"/>
              <w:rPr>
                <w:sz w:val="22"/>
              </w:rPr>
            </w:pPr>
            <w:r>
              <w:rPr>
                <w:spacing w:val="-5"/>
                <w:sz w:val="22"/>
              </w:rPr>
              <w:t>55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355"/>
              <w:rPr>
                <w:sz w:val="22"/>
              </w:rPr>
            </w:pPr>
            <w:r>
              <w:rPr>
                <w:spacing w:val="-5"/>
                <w:sz w:val="22"/>
              </w:rPr>
              <w:t>70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127"/>
              <w:jc w:val="center"/>
              <w:rPr>
                <w:sz w:val="22"/>
              </w:rPr>
            </w:pPr>
            <w:r>
              <w:rPr>
                <w:spacing w:val="-5"/>
                <w:sz w:val="22"/>
              </w:rPr>
              <w:t>80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right="348"/>
              <w:jc w:val="right"/>
              <w:rPr>
                <w:sz w:val="22"/>
              </w:rPr>
            </w:pPr>
            <w:r>
              <w:rPr>
                <w:spacing w:val="-5"/>
                <w:sz w:val="22"/>
              </w:rPr>
              <w:t>90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133" w:right="6"/>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spacing w:before="1"/>
              <w:rPr>
                <w:b/>
                <w:sz w:val="22"/>
              </w:rPr>
            </w:pPr>
          </w:p>
          <w:p>
            <w:pPr>
              <w:pStyle w:val="TableParagraph"/>
              <w:spacing w:before="1"/>
              <w:ind w:left="257" w:right="133"/>
              <w:jc w:val="center"/>
              <w:rPr>
                <w:sz w:val="22"/>
              </w:rPr>
            </w:pPr>
            <w:r>
              <w:rPr>
                <w:spacing w:val="-5"/>
                <w:sz w:val="22"/>
              </w:rPr>
              <w:t>CPS</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60</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93"/>
              <w:ind w:left="100"/>
              <w:rPr>
                <w:sz w:val="22"/>
              </w:rPr>
            </w:pPr>
            <w:r>
              <w:rPr>
                <w:w w:val="80"/>
                <w:sz w:val="22"/>
              </w:rPr>
              <w:t>Inégalités</w:t>
            </w:r>
            <w:r>
              <w:rPr>
                <w:spacing w:val="-2"/>
                <w:w w:val="80"/>
                <w:sz w:val="22"/>
              </w:rPr>
              <w:t> </w:t>
            </w:r>
            <w:r>
              <w:rPr>
                <w:w w:val="80"/>
                <w:sz w:val="22"/>
              </w:rPr>
              <w:t>(indice</w:t>
            </w:r>
            <w:r>
              <w:rPr>
                <w:spacing w:val="-10"/>
                <w:sz w:val="22"/>
              </w:rPr>
              <w:t> </w:t>
            </w:r>
            <w:r>
              <w:rPr>
                <w:w w:val="80"/>
                <w:sz w:val="22"/>
              </w:rPr>
              <w:t>de</w:t>
            </w:r>
            <w:r>
              <w:rPr>
                <w:spacing w:val="-10"/>
                <w:sz w:val="22"/>
              </w:rPr>
              <w:t> </w:t>
            </w:r>
            <w:r>
              <w:rPr>
                <w:spacing w:val="-2"/>
                <w:w w:val="80"/>
                <w:sz w:val="22"/>
              </w:rPr>
              <w:t>GINI)</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ind w:left="510"/>
              <w:rPr>
                <w:sz w:val="22"/>
              </w:rPr>
            </w:pPr>
            <w:r>
              <w:rPr>
                <w:spacing w:val="-4"/>
                <w:sz w:val="22"/>
              </w:rPr>
              <w:t>0.32</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ind w:left="358"/>
              <w:rPr>
                <w:sz w:val="22"/>
              </w:rPr>
            </w:pPr>
            <w:r>
              <w:rPr>
                <w:spacing w:val="-4"/>
                <w:sz w:val="22"/>
              </w:rPr>
              <w:t>0.30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ind w:left="290"/>
              <w:rPr>
                <w:sz w:val="22"/>
              </w:rPr>
            </w:pPr>
            <w:r>
              <w:rPr>
                <w:spacing w:val="-4"/>
                <w:sz w:val="22"/>
              </w:rPr>
              <w:t>0,28</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ind w:left="131"/>
              <w:jc w:val="center"/>
              <w:rPr>
                <w:sz w:val="22"/>
              </w:rPr>
            </w:pPr>
            <w:r>
              <w:rPr>
                <w:spacing w:val="-4"/>
                <w:sz w:val="22"/>
              </w:rPr>
              <w:t>0,26</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ind w:right="279"/>
              <w:jc w:val="right"/>
              <w:rPr>
                <w:sz w:val="22"/>
              </w:rPr>
            </w:pPr>
            <w:r>
              <w:rPr>
                <w:spacing w:val="-4"/>
                <w:sz w:val="22"/>
              </w:rPr>
              <w:t>0,24</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line="208" w:lineRule="auto"/>
              <w:ind w:left="433" w:right="285" w:hanging="77"/>
              <w:rPr>
                <w:sz w:val="22"/>
              </w:rPr>
            </w:pPr>
            <w:r>
              <w:rPr>
                <w:spacing w:val="-2"/>
                <w:w w:val="85"/>
                <w:sz w:val="22"/>
              </w:rPr>
              <w:t>INSTAT/ </w:t>
            </w:r>
            <w:r>
              <w:rPr>
                <w:spacing w:val="-4"/>
                <w:sz w:val="22"/>
              </w:rPr>
              <w:t>DNPD</w:t>
            </w:r>
          </w:p>
        </w:tc>
        <w:tc>
          <w:tcPr>
            <w:tcW w:w="1446" w:type="dxa"/>
            <w:tcBorders>
              <w:top w:val="single" w:sz="8" w:space="0" w:color="221F1F"/>
              <w:left w:val="single" w:sz="8" w:space="0" w:color="221F1F"/>
              <w:bottom w:val="single" w:sz="8" w:space="0" w:color="221F1F"/>
            </w:tcBorders>
          </w:tcPr>
          <w:p>
            <w:pPr>
              <w:pStyle w:val="TableParagraph"/>
              <w:ind w:left="90"/>
              <w:rPr>
                <w:sz w:val="22"/>
              </w:rPr>
            </w:pPr>
            <w:r>
              <w:rPr>
                <w:spacing w:val="-2"/>
                <w:sz w:val="22"/>
              </w:rPr>
              <w:t>INSTAT/DNPD</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61</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before="40"/>
              <w:ind w:left="100"/>
              <w:rPr>
                <w:sz w:val="22"/>
              </w:rPr>
            </w:pPr>
            <w:r>
              <w:rPr>
                <w:w w:val="75"/>
                <w:sz w:val="22"/>
              </w:rPr>
              <w:t>Population</w:t>
            </w:r>
            <w:r>
              <w:rPr>
                <w:spacing w:val="8"/>
                <w:sz w:val="22"/>
              </w:rPr>
              <w:t> </w:t>
            </w:r>
            <w:r>
              <w:rPr>
                <w:w w:val="75"/>
                <w:sz w:val="22"/>
              </w:rPr>
              <w:t>ayant</w:t>
            </w:r>
            <w:r>
              <w:rPr>
                <w:spacing w:val="10"/>
                <w:sz w:val="22"/>
              </w:rPr>
              <w:t> </w:t>
            </w:r>
            <w:r>
              <w:rPr>
                <w:w w:val="75"/>
                <w:sz w:val="22"/>
              </w:rPr>
              <w:t>accès</w:t>
            </w:r>
            <w:r>
              <w:rPr>
                <w:spacing w:val="9"/>
                <w:sz w:val="22"/>
              </w:rPr>
              <w:t> </w:t>
            </w:r>
            <w:r>
              <w:rPr>
                <w:w w:val="75"/>
                <w:sz w:val="22"/>
              </w:rPr>
              <w:t>à</w:t>
            </w:r>
            <w:r>
              <w:rPr>
                <w:spacing w:val="11"/>
                <w:sz w:val="22"/>
              </w:rPr>
              <w:t> </w:t>
            </w:r>
            <w:r>
              <w:rPr>
                <w:spacing w:val="-2"/>
                <w:w w:val="75"/>
                <w:sz w:val="22"/>
              </w:rPr>
              <w:t>l’eau</w:t>
            </w:r>
          </w:p>
          <w:p>
            <w:pPr>
              <w:pStyle w:val="TableParagraph"/>
              <w:spacing w:before="29"/>
              <w:ind w:left="100"/>
              <w:rPr>
                <w:sz w:val="22"/>
              </w:rPr>
            </w:pPr>
            <w:r>
              <w:rPr>
                <w:w w:val="85"/>
                <w:sz w:val="22"/>
              </w:rPr>
              <w:t>potable</w:t>
            </w:r>
            <w:r>
              <w:rPr>
                <w:spacing w:val="16"/>
                <w:sz w:val="22"/>
              </w:rPr>
              <w:t> </w:t>
            </w:r>
            <w:r>
              <w:rPr>
                <w:spacing w:val="-5"/>
                <w:w w:val="95"/>
                <w:sz w:val="22"/>
              </w:rPr>
              <w:t>(%)</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ind w:left="510"/>
              <w:rPr>
                <w:sz w:val="22"/>
              </w:rPr>
            </w:pPr>
            <w:r>
              <w:rPr>
                <w:spacing w:val="-4"/>
                <w:sz w:val="22"/>
              </w:rPr>
              <w:t>72,1</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ind w:left="425"/>
              <w:rPr>
                <w:sz w:val="22"/>
              </w:rPr>
            </w:pPr>
            <w:r>
              <w:rPr>
                <w:spacing w:val="-5"/>
                <w:sz w:val="22"/>
              </w:rPr>
              <w:t>95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ind w:left="312"/>
              <w:rPr>
                <w:sz w:val="22"/>
              </w:rPr>
            </w:pPr>
            <w:r>
              <w:rPr>
                <w:spacing w:val="-5"/>
                <w:sz w:val="22"/>
              </w:rPr>
              <w:t>100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ind w:left="131"/>
              <w:jc w:val="center"/>
              <w:rPr>
                <w:sz w:val="22"/>
              </w:rPr>
            </w:pPr>
            <w:r>
              <w:rPr>
                <w:spacing w:val="-5"/>
                <w:sz w:val="22"/>
              </w:rPr>
              <w:t>100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ind w:right="301"/>
              <w:jc w:val="right"/>
              <w:rPr>
                <w:sz w:val="22"/>
              </w:rPr>
            </w:pPr>
            <w:r>
              <w:rPr>
                <w:spacing w:val="-5"/>
                <w:sz w:val="22"/>
              </w:rPr>
              <w:t>100</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ind w:left="133" w:right="1"/>
              <w:jc w:val="center"/>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ind w:left="257" w:right="133"/>
              <w:jc w:val="center"/>
              <w:rPr>
                <w:sz w:val="22"/>
              </w:rPr>
            </w:pPr>
            <w:r>
              <w:rPr>
                <w:spacing w:val="-5"/>
                <w:sz w:val="22"/>
              </w:rPr>
              <w:t>CPS</w:t>
            </w:r>
          </w:p>
        </w:tc>
      </w:tr>
    </w:tbl>
    <w:p>
      <w:pPr>
        <w:pStyle w:val="TableParagraph"/>
        <w:spacing w:after="0"/>
        <w:jc w:val="center"/>
        <w:rPr>
          <w:sz w:val="22"/>
        </w:rPr>
        <w:sectPr>
          <w:type w:val="continuous"/>
          <w:pgSz w:w="11910" w:h="16840"/>
          <w:pgMar w:header="0" w:footer="680" w:top="1380" w:bottom="1907" w:left="283" w:right="141"/>
        </w:sectPr>
      </w:pPr>
    </w:p>
    <w:tbl>
      <w:tblPr>
        <w:tblW w:w="0" w:type="auto"/>
        <w:jc w:val="left"/>
        <w:tblInd w:w="1132" w:type="dxa"/>
        <w:tblBorders>
          <w:top w:val="single" w:sz="18" w:space="0" w:color="221F1F"/>
          <w:left w:val="single" w:sz="18" w:space="0" w:color="221F1F"/>
          <w:bottom w:val="single" w:sz="18" w:space="0" w:color="221F1F"/>
          <w:right w:val="single" w:sz="18" w:space="0" w:color="221F1F"/>
          <w:insideH w:val="single" w:sz="18" w:space="0" w:color="221F1F"/>
          <w:insideV w:val="single" w:sz="18" w:space="0" w:color="221F1F"/>
        </w:tblBorders>
        <w:tblLayout w:type="fixed"/>
        <w:tblCellMar>
          <w:top w:w="0" w:type="dxa"/>
          <w:left w:w="0" w:type="dxa"/>
          <w:bottom w:w="0" w:type="dxa"/>
          <w:right w:w="0" w:type="dxa"/>
        </w:tblCellMar>
        <w:tblLook w:val="01E0"/>
      </w:tblPr>
      <w:tblGrid>
        <w:gridCol w:w="420"/>
        <w:gridCol w:w="2360"/>
        <w:gridCol w:w="1215"/>
        <w:gridCol w:w="918"/>
        <w:gridCol w:w="774"/>
        <w:gridCol w:w="774"/>
        <w:gridCol w:w="1019"/>
        <w:gridCol w:w="1270"/>
        <w:gridCol w:w="1446"/>
      </w:tblGrid>
      <w:tr>
        <w:trPr>
          <w:trHeight w:val="524" w:hRule="atLeast"/>
        </w:trPr>
        <w:tc>
          <w:tcPr>
            <w:tcW w:w="420" w:type="dxa"/>
            <w:vMerge w:val="restart"/>
            <w:tcBorders>
              <w:bottom w:val="single" w:sz="8" w:space="0" w:color="221F1F"/>
              <w:right w:val="single" w:sz="8" w:space="0" w:color="221F1F"/>
            </w:tcBorders>
            <w:shd w:val="clear" w:color="auto" w:fill="BED7EB"/>
          </w:tcPr>
          <w:p>
            <w:pPr>
              <w:pStyle w:val="TableParagraph"/>
              <w:spacing w:before="150"/>
              <w:rPr>
                <w:b/>
                <w:sz w:val="22"/>
              </w:rPr>
            </w:pPr>
          </w:p>
          <w:p>
            <w:pPr>
              <w:pStyle w:val="TableParagraph"/>
              <w:ind w:left="126"/>
              <w:rPr>
                <w:b/>
                <w:sz w:val="22"/>
              </w:rPr>
            </w:pPr>
            <w:r>
              <w:rPr>
                <w:b/>
                <w:spacing w:val="-5"/>
                <w:sz w:val="22"/>
              </w:rPr>
              <w:t>N°</w:t>
            </w:r>
          </w:p>
        </w:tc>
        <w:tc>
          <w:tcPr>
            <w:tcW w:w="236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50"/>
              <w:rPr>
                <w:b/>
                <w:sz w:val="22"/>
              </w:rPr>
            </w:pPr>
          </w:p>
          <w:p>
            <w:pPr>
              <w:pStyle w:val="TableParagraph"/>
              <w:ind w:left="280"/>
              <w:rPr>
                <w:b/>
                <w:sz w:val="22"/>
              </w:rPr>
            </w:pPr>
            <w:r>
              <w:rPr>
                <w:b/>
                <w:w w:val="80"/>
                <w:sz w:val="22"/>
              </w:rPr>
              <w:t>Intitulé</w:t>
            </w:r>
            <w:r>
              <w:rPr>
                <w:b/>
                <w:spacing w:val="-9"/>
                <w:sz w:val="22"/>
              </w:rPr>
              <w:t> </w:t>
            </w:r>
            <w:r>
              <w:rPr>
                <w:b/>
                <w:w w:val="80"/>
                <w:sz w:val="22"/>
              </w:rPr>
              <w:t>de</w:t>
            </w:r>
            <w:r>
              <w:rPr>
                <w:b/>
                <w:spacing w:val="-9"/>
                <w:sz w:val="22"/>
              </w:rPr>
              <w:t> </w:t>
            </w:r>
            <w:r>
              <w:rPr>
                <w:b/>
                <w:spacing w:val="-2"/>
                <w:w w:val="80"/>
                <w:sz w:val="22"/>
              </w:rPr>
              <w:t>l’indicateur</w:t>
            </w:r>
          </w:p>
        </w:tc>
        <w:tc>
          <w:tcPr>
            <w:tcW w:w="1215"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b/>
                <w:sz w:val="22"/>
              </w:rPr>
            </w:pPr>
          </w:p>
          <w:p>
            <w:pPr>
              <w:pStyle w:val="TableParagraph"/>
              <w:spacing w:line="254" w:lineRule="auto"/>
              <w:ind w:left="114" w:right="75" w:firstLine="228"/>
              <w:rPr>
                <w:b/>
                <w:sz w:val="22"/>
              </w:rPr>
            </w:pPr>
            <w:r>
              <w:rPr>
                <w:b/>
                <w:w w:val="90"/>
                <w:sz w:val="22"/>
              </w:rPr>
              <w:t>Valeur de </w:t>
            </w:r>
            <w:r>
              <w:rPr>
                <w:b/>
                <w:w w:val="75"/>
                <w:sz w:val="22"/>
              </w:rPr>
              <w:t>référence</w:t>
            </w:r>
            <w:r>
              <w:rPr>
                <w:b/>
                <w:spacing w:val="21"/>
                <w:sz w:val="22"/>
              </w:rPr>
              <w:t> </w:t>
            </w:r>
            <w:r>
              <w:rPr>
                <w:b/>
                <w:spacing w:val="-4"/>
                <w:w w:val="80"/>
                <w:sz w:val="22"/>
              </w:rPr>
              <w:t>2023</w:t>
            </w:r>
          </w:p>
        </w:tc>
        <w:tc>
          <w:tcPr>
            <w:tcW w:w="3485" w:type="dxa"/>
            <w:gridSpan w:val="4"/>
            <w:tcBorders>
              <w:left w:val="single" w:sz="8" w:space="0" w:color="221F1F"/>
              <w:bottom w:val="single" w:sz="8" w:space="0" w:color="221F1F"/>
              <w:right w:val="single" w:sz="8" w:space="0" w:color="221F1F"/>
            </w:tcBorders>
            <w:shd w:val="clear" w:color="auto" w:fill="0066B3"/>
          </w:tcPr>
          <w:p>
            <w:pPr>
              <w:pStyle w:val="TableParagraph"/>
              <w:spacing w:before="191"/>
              <w:ind w:left="1021"/>
              <w:rPr>
                <w:b/>
                <w:sz w:val="22"/>
              </w:rPr>
            </w:pPr>
            <w:r>
              <w:rPr>
                <w:b/>
                <w:w w:val="75"/>
                <w:sz w:val="22"/>
              </w:rPr>
              <w:t>Valeur</w:t>
            </w:r>
            <w:r>
              <w:rPr>
                <w:b/>
                <w:spacing w:val="14"/>
                <w:sz w:val="22"/>
              </w:rPr>
              <w:t> </w:t>
            </w:r>
            <w:r>
              <w:rPr>
                <w:b/>
                <w:spacing w:val="-4"/>
                <w:w w:val="95"/>
                <w:sz w:val="22"/>
              </w:rPr>
              <w:t>cible</w:t>
            </w:r>
          </w:p>
        </w:tc>
        <w:tc>
          <w:tcPr>
            <w:tcW w:w="1270" w:type="dxa"/>
            <w:vMerge w:val="restart"/>
            <w:tcBorders>
              <w:left w:val="single" w:sz="8" w:space="0" w:color="221F1F"/>
              <w:bottom w:val="single" w:sz="8" w:space="0" w:color="221F1F"/>
              <w:right w:val="single" w:sz="8" w:space="0" w:color="221F1F"/>
            </w:tcBorders>
            <w:shd w:val="clear" w:color="auto" w:fill="0066B3"/>
          </w:tcPr>
          <w:p>
            <w:pPr>
              <w:pStyle w:val="TableParagraph"/>
              <w:spacing w:before="16"/>
              <w:rPr>
                <w:b/>
                <w:sz w:val="22"/>
              </w:rPr>
            </w:pPr>
          </w:p>
          <w:p>
            <w:pPr>
              <w:pStyle w:val="TableParagraph"/>
              <w:spacing w:line="254" w:lineRule="auto"/>
              <w:ind w:left="169" w:right="285" w:firstLine="55"/>
              <w:rPr>
                <w:b/>
                <w:sz w:val="22"/>
              </w:rPr>
            </w:pPr>
            <w:r>
              <w:rPr>
                <w:b/>
                <w:spacing w:val="-2"/>
                <w:w w:val="85"/>
                <w:sz w:val="22"/>
              </w:rPr>
              <w:t>Source</w:t>
            </w:r>
            <w:r>
              <w:rPr>
                <w:b/>
                <w:spacing w:val="-5"/>
                <w:w w:val="85"/>
                <w:sz w:val="22"/>
              </w:rPr>
              <w:t> </w:t>
            </w:r>
            <w:r>
              <w:rPr>
                <w:b/>
                <w:spacing w:val="-2"/>
                <w:w w:val="85"/>
                <w:sz w:val="22"/>
              </w:rPr>
              <w:t>de </w:t>
            </w:r>
            <w:r>
              <w:rPr>
                <w:b/>
                <w:spacing w:val="-2"/>
                <w:w w:val="80"/>
                <w:sz w:val="22"/>
              </w:rPr>
              <w:t>Vérification</w:t>
            </w:r>
          </w:p>
        </w:tc>
        <w:tc>
          <w:tcPr>
            <w:tcW w:w="1446" w:type="dxa"/>
            <w:vMerge w:val="restart"/>
            <w:tcBorders>
              <w:left w:val="single" w:sz="8" w:space="0" w:color="221F1F"/>
              <w:bottom w:val="single" w:sz="8" w:space="0" w:color="221F1F"/>
            </w:tcBorders>
            <w:shd w:val="clear" w:color="auto" w:fill="0066B3"/>
          </w:tcPr>
          <w:p>
            <w:pPr>
              <w:pStyle w:val="TableParagraph"/>
              <w:spacing w:before="16"/>
              <w:rPr>
                <w:b/>
                <w:sz w:val="22"/>
              </w:rPr>
            </w:pPr>
          </w:p>
          <w:p>
            <w:pPr>
              <w:pStyle w:val="TableParagraph"/>
              <w:spacing w:line="254" w:lineRule="auto"/>
              <w:ind w:left="207" w:firstLine="129"/>
              <w:rPr>
                <w:b/>
                <w:sz w:val="22"/>
              </w:rPr>
            </w:pPr>
            <w:r>
              <w:rPr>
                <w:b/>
                <w:spacing w:val="-4"/>
                <w:w w:val="90"/>
                <w:sz w:val="22"/>
              </w:rPr>
              <w:t>Structure </w:t>
            </w:r>
            <w:r>
              <w:rPr>
                <w:b/>
                <w:spacing w:val="-2"/>
                <w:w w:val="75"/>
                <w:sz w:val="22"/>
              </w:rPr>
              <w:t>responsable</w:t>
            </w:r>
          </w:p>
        </w:tc>
      </w:tr>
      <w:tr>
        <w:trPr>
          <w:trHeight w:val="402" w:hRule="atLeast"/>
        </w:trPr>
        <w:tc>
          <w:tcPr>
            <w:tcW w:w="420" w:type="dxa"/>
            <w:vMerge/>
            <w:tcBorders>
              <w:top w:val="nil"/>
              <w:bottom w:val="single" w:sz="8" w:space="0" w:color="221F1F"/>
              <w:right w:val="single" w:sz="8" w:space="0" w:color="221F1F"/>
            </w:tcBorders>
            <w:shd w:val="clear" w:color="auto" w:fill="BED7EB"/>
          </w:tcPr>
          <w:p>
            <w:pPr>
              <w:rPr>
                <w:sz w:val="2"/>
                <w:szCs w:val="2"/>
              </w:rPr>
            </w:pPr>
          </w:p>
        </w:tc>
        <w:tc>
          <w:tcPr>
            <w:tcW w:w="236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215"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918"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133" w:right="64"/>
              <w:jc w:val="center"/>
              <w:rPr>
                <w:b/>
                <w:sz w:val="22"/>
              </w:rPr>
            </w:pPr>
            <w:r>
              <w:rPr>
                <w:b/>
                <w:spacing w:val="-4"/>
                <w:sz w:val="22"/>
              </w:rPr>
              <w:t>2033</w:t>
            </w:r>
          </w:p>
        </w:tc>
        <w:tc>
          <w:tcPr>
            <w:tcW w:w="774"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77"/>
              <w:jc w:val="center"/>
              <w:rPr>
                <w:b/>
                <w:sz w:val="22"/>
              </w:rPr>
            </w:pPr>
            <w:r>
              <w:rPr>
                <w:b/>
                <w:spacing w:val="-4"/>
                <w:sz w:val="22"/>
              </w:rPr>
              <w:t>2043</w:t>
            </w:r>
          </w:p>
        </w:tc>
        <w:tc>
          <w:tcPr>
            <w:tcW w:w="774"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74"/>
              <w:jc w:val="center"/>
              <w:rPr>
                <w:b/>
                <w:sz w:val="22"/>
              </w:rPr>
            </w:pPr>
            <w:r>
              <w:rPr>
                <w:b/>
                <w:spacing w:val="-4"/>
                <w:sz w:val="22"/>
              </w:rPr>
              <w:t>2053</w:t>
            </w:r>
          </w:p>
        </w:tc>
        <w:tc>
          <w:tcPr>
            <w:tcW w:w="1019" w:type="dxa"/>
            <w:tcBorders>
              <w:top w:val="single" w:sz="8" w:space="0" w:color="221F1F"/>
              <w:left w:val="single" w:sz="8" w:space="0" w:color="221F1F"/>
              <w:bottom w:val="single" w:sz="8" w:space="0" w:color="221F1F"/>
              <w:right w:val="single" w:sz="8" w:space="0" w:color="221F1F"/>
            </w:tcBorders>
            <w:shd w:val="clear" w:color="auto" w:fill="0066B3"/>
          </w:tcPr>
          <w:p>
            <w:pPr>
              <w:pStyle w:val="TableParagraph"/>
              <w:spacing w:before="74"/>
              <w:ind w:left="141" w:right="69"/>
              <w:jc w:val="center"/>
              <w:rPr>
                <w:b/>
                <w:sz w:val="22"/>
              </w:rPr>
            </w:pPr>
            <w:r>
              <w:rPr>
                <w:b/>
                <w:spacing w:val="-4"/>
                <w:sz w:val="22"/>
              </w:rPr>
              <w:t>2063</w:t>
            </w:r>
          </w:p>
        </w:tc>
        <w:tc>
          <w:tcPr>
            <w:tcW w:w="1270" w:type="dxa"/>
            <w:vMerge/>
            <w:tcBorders>
              <w:top w:val="nil"/>
              <w:left w:val="single" w:sz="8" w:space="0" w:color="221F1F"/>
              <w:bottom w:val="single" w:sz="8" w:space="0" w:color="221F1F"/>
              <w:right w:val="single" w:sz="8" w:space="0" w:color="221F1F"/>
            </w:tcBorders>
            <w:shd w:val="clear" w:color="auto" w:fill="0066B3"/>
          </w:tcPr>
          <w:p>
            <w:pPr>
              <w:rPr>
                <w:sz w:val="2"/>
                <w:szCs w:val="2"/>
              </w:rPr>
            </w:pPr>
          </w:p>
        </w:tc>
        <w:tc>
          <w:tcPr>
            <w:tcW w:w="1446" w:type="dxa"/>
            <w:vMerge/>
            <w:tcBorders>
              <w:top w:val="nil"/>
              <w:left w:val="single" w:sz="8" w:space="0" w:color="221F1F"/>
              <w:bottom w:val="single" w:sz="8" w:space="0" w:color="221F1F"/>
            </w:tcBorders>
            <w:shd w:val="clear" w:color="auto" w:fill="0066B3"/>
          </w:tcPr>
          <w:p>
            <w:pPr>
              <w:rPr>
                <w:sz w:val="2"/>
                <w:szCs w:val="2"/>
              </w:rPr>
            </w:pPr>
          </w:p>
        </w:tc>
      </w:tr>
      <w:tr>
        <w:trPr>
          <w:trHeight w:val="723"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62</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36"/>
              <w:ind w:left="100"/>
              <w:rPr>
                <w:sz w:val="22"/>
              </w:rPr>
            </w:pPr>
            <w:r>
              <w:rPr>
                <w:w w:val="80"/>
                <w:sz w:val="22"/>
              </w:rPr>
              <w:t>Taux</w:t>
            </w:r>
            <w:r>
              <w:rPr>
                <w:spacing w:val="-3"/>
                <w:w w:val="80"/>
                <w:sz w:val="22"/>
              </w:rPr>
              <w:t> </w:t>
            </w:r>
            <w:r>
              <w:rPr>
                <w:w w:val="80"/>
                <w:sz w:val="22"/>
              </w:rPr>
              <w:t>d’accès</w:t>
            </w:r>
            <w:r>
              <w:rPr>
                <w:spacing w:val="-3"/>
                <w:w w:val="80"/>
                <w:sz w:val="22"/>
              </w:rPr>
              <w:t> </w:t>
            </w:r>
            <w:r>
              <w:rPr>
                <w:w w:val="80"/>
                <w:sz w:val="22"/>
              </w:rPr>
              <w:t>à</w:t>
            </w:r>
            <w:r>
              <w:rPr>
                <w:spacing w:val="-2"/>
                <w:w w:val="80"/>
                <w:sz w:val="22"/>
              </w:rPr>
              <w:t> </w:t>
            </w:r>
            <w:r>
              <w:rPr>
                <w:w w:val="80"/>
                <w:sz w:val="22"/>
              </w:rPr>
              <w:t>internet</w:t>
            </w:r>
            <w:r>
              <w:rPr>
                <w:spacing w:val="-3"/>
                <w:w w:val="80"/>
                <w:sz w:val="22"/>
              </w:rPr>
              <w:t> </w:t>
            </w:r>
            <w:r>
              <w:rPr>
                <w:w w:val="80"/>
                <w:sz w:val="22"/>
              </w:rPr>
              <w:t>de</w:t>
            </w:r>
            <w:r>
              <w:rPr>
                <w:spacing w:val="-2"/>
                <w:w w:val="80"/>
                <w:sz w:val="22"/>
              </w:rPr>
              <w:t> </w:t>
            </w:r>
            <w:r>
              <w:rPr>
                <w:w w:val="80"/>
                <w:sz w:val="22"/>
              </w:rPr>
              <w:t>6</w:t>
            </w:r>
            <w:r>
              <w:rPr>
                <w:spacing w:val="-9"/>
                <w:sz w:val="22"/>
              </w:rPr>
              <w:t> </w:t>
            </w:r>
            <w:r>
              <w:rPr>
                <w:w w:val="80"/>
                <w:sz w:val="22"/>
              </w:rPr>
              <w:t>Mo</w:t>
            </w:r>
            <w:r>
              <w:rPr>
                <w:w w:val="90"/>
                <w:sz w:val="22"/>
              </w:rPr>
              <w:t> </w:t>
            </w:r>
            <w:r>
              <w:rPr>
                <w:spacing w:val="-4"/>
                <w:w w:val="90"/>
                <w:sz w:val="22"/>
              </w:rPr>
              <w:t>(%)</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ind w:left="143" w:right="9"/>
              <w:jc w:val="center"/>
              <w:rPr>
                <w:sz w:val="22"/>
              </w:rPr>
            </w:pPr>
            <w:r>
              <w:rPr>
                <w:spacing w:val="-2"/>
                <w:sz w:val="22"/>
              </w:rPr>
              <w:t>62,81</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ind w:left="133" w:right="64"/>
              <w:jc w:val="center"/>
              <w:rPr>
                <w:sz w:val="22"/>
              </w:rPr>
            </w:pPr>
            <w:r>
              <w:rPr>
                <w:spacing w:val="-5"/>
                <w:sz w:val="22"/>
              </w:rPr>
              <w:t>80</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ind w:left="77"/>
              <w:jc w:val="center"/>
              <w:rPr>
                <w:sz w:val="22"/>
              </w:rPr>
            </w:pPr>
            <w:r>
              <w:rPr>
                <w:spacing w:val="-5"/>
                <w:sz w:val="22"/>
              </w:rPr>
              <w:t>85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ind w:left="74"/>
              <w:jc w:val="center"/>
              <w:rPr>
                <w:sz w:val="22"/>
              </w:rPr>
            </w:pPr>
            <w:r>
              <w:rPr>
                <w:spacing w:val="-5"/>
                <w:sz w:val="22"/>
              </w:rPr>
              <w:t>90</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ind w:left="141" w:right="69"/>
              <w:jc w:val="center"/>
              <w:rPr>
                <w:sz w:val="22"/>
              </w:rPr>
            </w:pPr>
            <w:r>
              <w:rPr>
                <w:spacing w:val="-5"/>
                <w:sz w:val="22"/>
              </w:rPr>
              <w:t>95</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ind w:left="381"/>
              <w:rPr>
                <w:sz w:val="22"/>
              </w:rPr>
            </w:pPr>
            <w:r>
              <w:rPr>
                <w:spacing w:val="-2"/>
                <w:sz w:val="22"/>
              </w:rPr>
              <w:t>Rapport</w:t>
            </w:r>
          </w:p>
        </w:tc>
        <w:tc>
          <w:tcPr>
            <w:tcW w:w="1446" w:type="dxa"/>
            <w:tcBorders>
              <w:top w:val="single" w:sz="8" w:space="0" w:color="221F1F"/>
              <w:left w:val="single" w:sz="8" w:space="0" w:color="221F1F"/>
              <w:bottom w:val="single" w:sz="8" w:space="0" w:color="221F1F"/>
            </w:tcBorders>
          </w:tcPr>
          <w:p>
            <w:pPr>
              <w:pStyle w:val="TableParagraph"/>
              <w:ind w:left="199" w:right="133"/>
              <w:jc w:val="center"/>
              <w:rPr>
                <w:sz w:val="22"/>
              </w:rPr>
            </w:pPr>
            <w:r>
              <w:rPr>
                <w:spacing w:val="-5"/>
                <w:sz w:val="22"/>
              </w:rPr>
              <w:t>CPS</w:t>
            </w:r>
          </w:p>
        </w:tc>
      </w:tr>
      <w:tr>
        <w:trPr>
          <w:trHeight w:val="724"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63</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69"/>
              <w:ind w:left="100" w:right="-44"/>
              <w:rPr>
                <w:sz w:val="22"/>
              </w:rPr>
            </w:pPr>
            <w:r>
              <w:rPr>
                <w:w w:val="80"/>
                <w:sz w:val="22"/>
              </w:rPr>
              <w:t>Taux de malnutrition aiguë globale</w:t>
            </w:r>
            <w:r>
              <w:rPr>
                <w:w w:val="90"/>
                <w:sz w:val="22"/>
              </w:rPr>
              <w:t> </w:t>
            </w:r>
            <w:r>
              <w:rPr>
                <w:spacing w:val="-4"/>
                <w:w w:val="90"/>
                <w:sz w:val="22"/>
              </w:rPr>
              <w:t>(%)</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ind w:left="143" w:right="10"/>
              <w:jc w:val="center"/>
              <w:rPr>
                <w:sz w:val="22"/>
              </w:rPr>
            </w:pPr>
            <w:r>
              <w:rPr>
                <w:spacing w:val="-5"/>
                <w:sz w:val="22"/>
              </w:rPr>
              <w:t>11</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ind w:left="133" w:right="62"/>
              <w:jc w:val="center"/>
              <w:rPr>
                <w:sz w:val="22"/>
              </w:rPr>
            </w:pPr>
            <w:r>
              <w:rPr>
                <w:spacing w:val="-10"/>
                <w:sz w:val="22"/>
              </w:rPr>
              <w:t>7</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ind w:left="79"/>
              <w:jc w:val="center"/>
              <w:rPr>
                <w:sz w:val="22"/>
              </w:rPr>
            </w:pPr>
            <w:r>
              <w:rPr>
                <w:spacing w:val="-10"/>
                <w:sz w:val="22"/>
              </w:rPr>
              <w:t>5</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ind w:left="76"/>
              <w:jc w:val="center"/>
              <w:rPr>
                <w:sz w:val="22"/>
              </w:rPr>
            </w:pPr>
            <w:r>
              <w:rPr>
                <w:spacing w:val="-5"/>
                <w:sz w:val="22"/>
              </w:rPr>
              <w:t>2,5</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ind w:left="141" w:right="67"/>
              <w:jc w:val="center"/>
              <w:rPr>
                <w:sz w:val="22"/>
              </w:rPr>
            </w:pPr>
            <w:r>
              <w:rPr>
                <w:spacing w:val="-5"/>
                <w:sz w:val="22"/>
              </w:rPr>
              <w:t>2,5</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ind w:left="133" w:right="61"/>
              <w:jc w:val="center"/>
              <w:rPr>
                <w:sz w:val="22"/>
              </w:rPr>
            </w:pPr>
            <w:r>
              <w:rPr>
                <w:spacing w:val="-2"/>
                <w:sz w:val="22"/>
              </w:rPr>
              <w:t>DHISD/</w:t>
            </w:r>
          </w:p>
          <w:p>
            <w:pPr>
              <w:pStyle w:val="TableParagraph"/>
              <w:spacing w:before="2"/>
              <w:ind w:left="133" w:right="57"/>
              <w:jc w:val="center"/>
              <w:rPr>
                <w:sz w:val="22"/>
              </w:rPr>
            </w:pPr>
            <w:r>
              <w:rPr>
                <w:w w:val="85"/>
                <w:sz w:val="22"/>
              </w:rPr>
              <w:t>annuel</w:t>
            </w:r>
            <w:r>
              <w:rPr>
                <w:spacing w:val="2"/>
                <w:sz w:val="22"/>
              </w:rPr>
              <w:t> </w:t>
            </w:r>
            <w:r>
              <w:rPr>
                <w:spacing w:val="-4"/>
                <w:sz w:val="22"/>
              </w:rPr>
              <w:t>SLIS</w:t>
            </w:r>
          </w:p>
        </w:tc>
        <w:tc>
          <w:tcPr>
            <w:tcW w:w="1446" w:type="dxa"/>
            <w:tcBorders>
              <w:top w:val="single" w:sz="8" w:space="0" w:color="221F1F"/>
              <w:left w:val="single" w:sz="8" w:space="0" w:color="221F1F"/>
              <w:bottom w:val="single" w:sz="8" w:space="0" w:color="221F1F"/>
            </w:tcBorders>
          </w:tcPr>
          <w:p>
            <w:pPr>
              <w:pStyle w:val="TableParagraph"/>
              <w:ind w:left="114"/>
              <w:rPr>
                <w:sz w:val="22"/>
              </w:rPr>
            </w:pPr>
            <w:r>
              <w:rPr>
                <w:spacing w:val="-2"/>
                <w:sz w:val="22"/>
              </w:rPr>
              <w:t>DHISD/DGSHP</w:t>
            </w:r>
          </w:p>
        </w:tc>
      </w:tr>
      <w:tr>
        <w:trPr>
          <w:trHeight w:val="1727" w:hRule="atLeast"/>
        </w:trPr>
        <w:tc>
          <w:tcPr>
            <w:tcW w:w="420" w:type="dxa"/>
            <w:tcBorders>
              <w:top w:val="single" w:sz="8" w:space="0" w:color="221F1F"/>
              <w:bottom w:val="single" w:sz="8" w:space="0" w:color="221F1F"/>
              <w:right w:val="single" w:sz="8" w:space="0" w:color="221F1F"/>
            </w:tcBorders>
            <w:shd w:val="clear" w:color="auto" w:fill="BED7EB"/>
          </w:tcPr>
          <w:p>
            <w:pPr>
              <w:pStyle w:val="TableParagraph"/>
              <w:spacing w:before="235"/>
              <w:ind w:left="93" w:right="12"/>
              <w:jc w:val="center"/>
              <w:rPr>
                <w:b/>
                <w:sz w:val="22"/>
              </w:rPr>
            </w:pPr>
            <w:r>
              <w:rPr>
                <w:b/>
                <w:spacing w:val="-5"/>
                <w:sz w:val="22"/>
              </w:rPr>
              <w:t>64</w:t>
            </w:r>
          </w:p>
        </w:tc>
        <w:tc>
          <w:tcPr>
            <w:tcW w:w="2360" w:type="dxa"/>
            <w:tcBorders>
              <w:top w:val="single" w:sz="8" w:space="0" w:color="221F1F"/>
              <w:left w:val="single" w:sz="8" w:space="0" w:color="221F1F"/>
              <w:bottom w:val="single" w:sz="8" w:space="0" w:color="221F1F"/>
              <w:right w:val="single" w:sz="8" w:space="0" w:color="221F1F"/>
            </w:tcBorders>
          </w:tcPr>
          <w:p>
            <w:pPr>
              <w:pStyle w:val="TableParagraph"/>
              <w:spacing w:line="266" w:lineRule="auto" w:before="74"/>
              <w:ind w:left="100" w:right="-44"/>
              <w:rPr>
                <w:sz w:val="22"/>
              </w:rPr>
            </w:pPr>
            <w:r>
              <w:rPr>
                <w:w w:val="90"/>
                <w:sz w:val="22"/>
              </w:rPr>
              <w:t>Pourcentage de la popula- tion </w:t>
            </w:r>
            <w:r>
              <w:rPr>
                <w:spacing w:val="-2"/>
                <w:w w:val="85"/>
                <w:sz w:val="22"/>
              </w:rPr>
              <w:t>couverte</w:t>
            </w:r>
            <w:r>
              <w:rPr>
                <w:spacing w:val="-7"/>
                <w:w w:val="85"/>
                <w:sz w:val="22"/>
              </w:rPr>
              <w:t> </w:t>
            </w:r>
            <w:r>
              <w:rPr>
                <w:spacing w:val="-2"/>
                <w:w w:val="85"/>
                <w:sz w:val="22"/>
              </w:rPr>
              <w:t>par</w:t>
            </w:r>
            <w:r>
              <w:rPr>
                <w:spacing w:val="-5"/>
                <w:w w:val="85"/>
                <w:sz w:val="22"/>
              </w:rPr>
              <w:t> </w:t>
            </w:r>
            <w:r>
              <w:rPr>
                <w:spacing w:val="-2"/>
                <w:w w:val="85"/>
                <w:sz w:val="22"/>
              </w:rPr>
              <w:t>les</w:t>
            </w:r>
            <w:r>
              <w:rPr>
                <w:spacing w:val="-8"/>
                <w:w w:val="85"/>
                <w:sz w:val="22"/>
              </w:rPr>
              <w:t> </w:t>
            </w:r>
            <w:r>
              <w:rPr>
                <w:spacing w:val="-2"/>
                <w:w w:val="85"/>
                <w:sz w:val="22"/>
              </w:rPr>
              <w:t>méca-</w:t>
            </w:r>
            <w:r>
              <w:rPr>
                <w:spacing w:val="-5"/>
                <w:w w:val="85"/>
                <w:sz w:val="22"/>
              </w:rPr>
              <w:t> </w:t>
            </w:r>
            <w:r>
              <w:rPr>
                <w:spacing w:val="-2"/>
                <w:w w:val="85"/>
                <w:sz w:val="22"/>
              </w:rPr>
              <w:t>nismes</w:t>
            </w:r>
            <w:r>
              <w:rPr>
                <w:spacing w:val="-3"/>
                <w:w w:val="85"/>
                <w:sz w:val="22"/>
              </w:rPr>
              <w:t> </w:t>
            </w:r>
            <w:r>
              <w:rPr>
                <w:spacing w:val="-2"/>
                <w:w w:val="85"/>
                <w:sz w:val="22"/>
              </w:rPr>
              <w:t>de </w:t>
            </w:r>
            <w:r>
              <w:rPr>
                <w:w w:val="95"/>
                <w:sz w:val="22"/>
              </w:rPr>
              <w:t>prise</w:t>
            </w:r>
            <w:r>
              <w:rPr>
                <w:spacing w:val="-10"/>
                <w:w w:val="95"/>
                <w:sz w:val="22"/>
              </w:rPr>
              <w:t> </w:t>
            </w:r>
            <w:r>
              <w:rPr>
                <w:w w:val="95"/>
                <w:sz w:val="22"/>
              </w:rPr>
              <w:t>en</w:t>
            </w:r>
            <w:r>
              <w:rPr>
                <w:spacing w:val="-7"/>
                <w:w w:val="95"/>
                <w:sz w:val="22"/>
              </w:rPr>
              <w:t> </w:t>
            </w:r>
            <w:r>
              <w:rPr>
                <w:w w:val="95"/>
                <w:sz w:val="22"/>
              </w:rPr>
              <w:t>charge</w:t>
            </w:r>
            <w:r>
              <w:rPr>
                <w:spacing w:val="-6"/>
                <w:w w:val="95"/>
                <w:sz w:val="22"/>
              </w:rPr>
              <w:t> </w:t>
            </w:r>
            <w:r>
              <w:rPr>
                <w:w w:val="95"/>
                <w:sz w:val="22"/>
              </w:rPr>
              <w:t>de</w:t>
            </w:r>
            <w:r>
              <w:rPr>
                <w:spacing w:val="-15"/>
                <w:w w:val="95"/>
                <w:sz w:val="22"/>
              </w:rPr>
              <w:t> </w:t>
            </w:r>
            <w:r>
              <w:rPr>
                <w:w w:val="95"/>
                <w:sz w:val="22"/>
              </w:rPr>
              <w:t>risque maladie</w:t>
            </w:r>
            <w:r>
              <w:rPr>
                <w:spacing w:val="-11"/>
                <w:w w:val="95"/>
                <w:sz w:val="22"/>
              </w:rPr>
              <w:t> </w:t>
            </w:r>
            <w:r>
              <w:rPr>
                <w:w w:val="95"/>
                <w:sz w:val="22"/>
              </w:rPr>
              <w:t>(AMO,</w:t>
            </w:r>
            <w:r>
              <w:rPr>
                <w:spacing w:val="-10"/>
                <w:w w:val="95"/>
                <w:sz w:val="22"/>
              </w:rPr>
              <w:t> </w:t>
            </w:r>
            <w:r>
              <w:rPr>
                <w:w w:val="95"/>
                <w:sz w:val="22"/>
              </w:rPr>
              <w:t>RAMED,</w:t>
            </w:r>
            <w:r>
              <w:rPr>
                <w:w w:val="95"/>
                <w:sz w:val="22"/>
              </w:rPr>
              <w:t> </w:t>
            </w:r>
            <w:r>
              <w:rPr>
                <w:w w:val="90"/>
                <w:sz w:val="22"/>
              </w:rPr>
              <w:t>Mutuelle de santé)</w:t>
            </w:r>
          </w:p>
          <w:p>
            <w:pPr>
              <w:pStyle w:val="TableParagraph"/>
              <w:spacing w:line="231" w:lineRule="exact" w:before="1"/>
              <w:ind w:left="100"/>
              <w:rPr>
                <w:sz w:val="22"/>
              </w:rPr>
            </w:pPr>
            <w:r>
              <w:rPr>
                <w:w w:val="80"/>
                <w:sz w:val="22"/>
              </w:rPr>
              <w:t>/</w:t>
            </w:r>
            <w:r>
              <w:rPr>
                <w:spacing w:val="-10"/>
                <w:sz w:val="22"/>
              </w:rPr>
              <w:t> </w:t>
            </w:r>
            <w:r>
              <w:rPr>
                <w:w w:val="80"/>
                <w:sz w:val="22"/>
              </w:rPr>
              <w:t>RAMU</w:t>
            </w:r>
            <w:r>
              <w:rPr>
                <w:spacing w:val="-10"/>
                <w:sz w:val="22"/>
              </w:rPr>
              <w:t> </w:t>
            </w:r>
            <w:r>
              <w:rPr>
                <w:spacing w:val="-5"/>
                <w:w w:val="80"/>
                <w:sz w:val="22"/>
              </w:rPr>
              <w:t>(%)</w:t>
            </w:r>
          </w:p>
        </w:tc>
        <w:tc>
          <w:tcPr>
            <w:tcW w:w="1215"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143" w:right="66"/>
              <w:jc w:val="center"/>
              <w:rPr>
                <w:sz w:val="22"/>
              </w:rPr>
            </w:pPr>
            <w:r>
              <w:rPr>
                <w:spacing w:val="-2"/>
                <w:sz w:val="22"/>
              </w:rPr>
              <w:t>21,90</w:t>
            </w:r>
          </w:p>
        </w:tc>
        <w:tc>
          <w:tcPr>
            <w:tcW w:w="918"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133" w:right="7"/>
              <w:jc w:val="center"/>
              <w:rPr>
                <w:sz w:val="22"/>
              </w:rPr>
            </w:pPr>
            <w:r>
              <w:rPr>
                <w:spacing w:val="-5"/>
                <w:sz w:val="22"/>
              </w:rPr>
              <w:t>32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129"/>
              <w:jc w:val="center"/>
              <w:rPr>
                <w:sz w:val="22"/>
              </w:rPr>
            </w:pPr>
            <w:r>
              <w:rPr>
                <w:spacing w:val="-5"/>
                <w:sz w:val="22"/>
              </w:rPr>
              <w:t>42</w:t>
            </w:r>
          </w:p>
        </w:tc>
        <w:tc>
          <w:tcPr>
            <w:tcW w:w="774"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36"/>
              <w:jc w:val="center"/>
              <w:rPr>
                <w:sz w:val="22"/>
              </w:rPr>
            </w:pPr>
            <w:r>
              <w:rPr>
                <w:spacing w:val="-5"/>
                <w:sz w:val="22"/>
              </w:rPr>
              <w:t>52</w:t>
            </w:r>
          </w:p>
        </w:tc>
        <w:tc>
          <w:tcPr>
            <w:tcW w:w="1019"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before="1"/>
              <w:ind w:left="141" w:right="108"/>
              <w:jc w:val="center"/>
              <w:rPr>
                <w:sz w:val="22"/>
              </w:rPr>
            </w:pPr>
            <w:r>
              <w:rPr>
                <w:spacing w:val="-5"/>
                <w:sz w:val="22"/>
              </w:rPr>
              <w:t>62</w:t>
            </w:r>
          </w:p>
        </w:tc>
        <w:tc>
          <w:tcPr>
            <w:tcW w:w="1270" w:type="dxa"/>
            <w:tcBorders>
              <w:top w:val="single" w:sz="8" w:space="0" w:color="221F1F"/>
              <w:left w:val="single" w:sz="8" w:space="0" w:color="221F1F"/>
              <w:bottom w:val="single" w:sz="8" w:space="0" w:color="221F1F"/>
              <w:right w:val="single" w:sz="8" w:space="0" w:color="221F1F"/>
            </w:tcBorders>
          </w:tcPr>
          <w:p>
            <w:pPr>
              <w:pStyle w:val="TableParagraph"/>
              <w:spacing w:before="1"/>
              <w:rPr>
                <w:b/>
                <w:sz w:val="22"/>
              </w:rPr>
            </w:pPr>
          </w:p>
          <w:p>
            <w:pPr>
              <w:pStyle w:val="TableParagraph"/>
              <w:spacing w:line="266" w:lineRule="auto" w:before="1"/>
              <w:ind w:left="268" w:right="456" w:hanging="44"/>
              <w:rPr>
                <w:sz w:val="22"/>
              </w:rPr>
            </w:pPr>
            <w:r>
              <w:rPr>
                <w:spacing w:val="-2"/>
                <w:w w:val="85"/>
                <w:sz w:val="22"/>
              </w:rPr>
              <w:t>Rapport </w:t>
            </w:r>
            <w:r>
              <w:rPr>
                <w:spacing w:val="-6"/>
                <w:sz w:val="22"/>
              </w:rPr>
              <w:t>annuel</w:t>
            </w:r>
          </w:p>
        </w:tc>
        <w:tc>
          <w:tcPr>
            <w:tcW w:w="1446" w:type="dxa"/>
            <w:tcBorders>
              <w:top w:val="single" w:sz="8" w:space="0" w:color="221F1F"/>
              <w:left w:val="single" w:sz="8" w:space="0" w:color="221F1F"/>
              <w:bottom w:val="single" w:sz="8" w:space="0" w:color="221F1F"/>
            </w:tcBorders>
          </w:tcPr>
          <w:p>
            <w:pPr>
              <w:pStyle w:val="TableParagraph"/>
              <w:spacing w:before="1"/>
              <w:rPr>
                <w:b/>
                <w:sz w:val="22"/>
              </w:rPr>
            </w:pPr>
          </w:p>
          <w:p>
            <w:pPr>
              <w:pStyle w:val="TableParagraph"/>
              <w:spacing w:before="1"/>
              <w:ind w:left="395"/>
              <w:rPr>
                <w:sz w:val="22"/>
              </w:rPr>
            </w:pPr>
            <w:r>
              <w:rPr>
                <w:spacing w:val="-2"/>
                <w:sz w:val="22"/>
              </w:rPr>
              <w:t>DNPSES</w:t>
            </w:r>
          </w:p>
        </w:tc>
      </w:tr>
    </w:tbl>
    <w:sectPr>
      <w:type w:val="continuous"/>
      <w:pgSz w:w="11910" w:h="16840"/>
      <w:pgMar w:header="0" w:footer="680" w:top="1380" w:bottom="880" w:left="28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Black">
    <w:altName w:val="Arial Black"/>
    <w:charset w:val="1"/>
    <w:family w:val="swiss"/>
    <w:pitch w:val="variable"/>
  </w:font>
  <w:font w:name="Arial Narrow">
    <w:altName w:val="Arial Narrow"/>
    <w:charset w:val="1"/>
    <w:family w:val="swiss"/>
    <w:pitch w:val="variable"/>
  </w:font>
  <w:font w:name="Calibri">
    <w:altName w:val="Calibri"/>
    <w:charset w:val="1"/>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232128">
              <wp:simplePos x="0" y="0"/>
              <wp:positionH relativeFrom="page">
                <wp:posOffset>6985761</wp:posOffset>
              </wp:positionH>
              <wp:positionV relativeFrom="page">
                <wp:posOffset>10341864</wp:posOffset>
              </wp:positionV>
              <wp:extent cx="342265" cy="6413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42265" cy="64135"/>
                      </a:xfrm>
                      <a:custGeom>
                        <a:avLst/>
                        <a:gdLst/>
                        <a:ahLst/>
                        <a:cxnLst/>
                        <a:rect l="l" t="t" r="r" b="b"/>
                        <a:pathLst>
                          <a:path w="342265" h="64135">
                            <a:moveTo>
                              <a:pt x="341680" y="0"/>
                            </a:moveTo>
                            <a:lnTo>
                              <a:pt x="0" y="0"/>
                            </a:lnTo>
                            <a:lnTo>
                              <a:pt x="0" y="64008"/>
                            </a:lnTo>
                            <a:lnTo>
                              <a:pt x="341680" y="64008"/>
                            </a:lnTo>
                            <a:lnTo>
                              <a:pt x="341680"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50.059998pt;margin-top:814.320007pt;width:26.904pt;height:5.04pt;mso-position-horizontal-relative:page;mso-position-vertical-relative:page;z-index:-18084352" id="docshape1" filled="true" fillcolor="#a4a4a4" stroked="false">
              <v:fill type="solid"/>
              <w10:wrap type="none"/>
            </v:rect>
          </w:pict>
        </mc:Fallback>
      </mc:AlternateContent>
    </w:r>
    <w:r>
      <w:rPr>
        <w:sz w:val="20"/>
      </w:rPr>
      <mc:AlternateContent>
        <mc:Choice Requires="wps">
          <w:drawing>
            <wp:anchor distT="0" distB="0" distL="0" distR="0" allowOverlap="1" layoutInCell="1" locked="0" behindDoc="1" simplePos="0" relativeHeight="485232640">
              <wp:simplePos x="0" y="0"/>
              <wp:positionH relativeFrom="page">
                <wp:posOffset>6985761</wp:posOffset>
              </wp:positionH>
              <wp:positionV relativeFrom="page">
                <wp:posOffset>10082783</wp:posOffset>
              </wp:positionV>
              <wp:extent cx="342265" cy="184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42265" cy="18415"/>
                      </a:xfrm>
                      <a:custGeom>
                        <a:avLst/>
                        <a:gdLst/>
                        <a:ahLst/>
                        <a:cxnLst/>
                        <a:rect l="l" t="t" r="r" b="b"/>
                        <a:pathLst>
                          <a:path w="342265" h="18415">
                            <a:moveTo>
                              <a:pt x="341680" y="0"/>
                            </a:moveTo>
                            <a:lnTo>
                              <a:pt x="0" y="0"/>
                            </a:lnTo>
                            <a:lnTo>
                              <a:pt x="0" y="18287"/>
                            </a:lnTo>
                            <a:lnTo>
                              <a:pt x="341680" y="18287"/>
                            </a:lnTo>
                            <a:lnTo>
                              <a:pt x="341680"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50.059998pt;margin-top:793.919983pt;width:26.904pt;height:1.44pt;mso-position-horizontal-relative:page;mso-position-vertical-relative:page;z-index:-18083840" id="docshape2" filled="true" fillcolor="#a4a4a4" stroked="false">
              <v:fill type="solid"/>
              <w10:wrap type="none"/>
            </v:rect>
          </w:pict>
        </mc:Fallback>
      </mc:AlternateContent>
    </w:r>
    <w:r>
      <w:rPr>
        <w:sz w:val="20"/>
      </w:rPr>
      <mc:AlternateContent>
        <mc:Choice Requires="wps">
          <w:drawing>
            <wp:anchor distT="0" distB="0" distL="0" distR="0" allowOverlap="1" layoutInCell="1" locked="0" behindDoc="1" simplePos="0" relativeHeight="485233152">
              <wp:simplePos x="0" y="0"/>
              <wp:positionH relativeFrom="page">
                <wp:posOffset>7053833</wp:posOffset>
              </wp:positionH>
              <wp:positionV relativeFrom="page">
                <wp:posOffset>10137520</wp:posOffset>
              </wp:positionV>
              <wp:extent cx="205740" cy="2038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5740" cy="203835"/>
                      </a:xfrm>
                      <a:prstGeom prst="rect">
                        <a:avLst/>
                      </a:prstGeom>
                    </wps:spPr>
                    <wps:txbx>
                      <w:txbxContent>
                        <w:p>
                          <w:pPr>
                            <w:spacing w:line="306" w:lineRule="exact" w:before="0"/>
                            <w:ind w:left="20" w:right="0" w:firstLine="0"/>
                            <w:jc w:val="left"/>
                            <w:rPr>
                              <w:rFonts w:ascii="Calibri"/>
                              <w:sz w:val="28"/>
                            </w:rPr>
                          </w:pPr>
                          <w:r>
                            <w:rPr>
                              <w:rFonts w:ascii="Calibri"/>
                              <w:spacing w:val="-5"/>
                              <w:sz w:val="28"/>
                            </w:rPr>
                            <w:fldChar w:fldCharType="begin"/>
                          </w:r>
                          <w:r>
                            <w:rPr>
                              <w:rFonts w:ascii="Calibri"/>
                              <w:spacing w:val="-5"/>
                              <w:sz w:val="28"/>
                            </w:rPr>
                            <w:instrText> PAGE </w:instrText>
                          </w:r>
                          <w:r>
                            <w:rPr>
                              <w:rFonts w:ascii="Calibri"/>
                              <w:spacing w:val="-5"/>
                              <w:sz w:val="28"/>
                            </w:rPr>
                            <w:fldChar w:fldCharType="separate"/>
                          </w:r>
                          <w:r>
                            <w:rPr>
                              <w:rFonts w:ascii="Calibri"/>
                              <w:spacing w:val="-5"/>
                              <w:sz w:val="28"/>
                            </w:rPr>
                            <w:t>21</w:t>
                          </w:r>
                          <w:r>
                            <w:rPr>
                              <w:rFonts w:ascii="Calibri"/>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5.419983pt;margin-top:798.22998pt;width:16.2pt;height:16.05pt;mso-position-horizontal-relative:page;mso-position-vertical-relative:page;z-index:-18083328" type="#_x0000_t202" id="docshape3" filled="false" stroked="false">
              <v:textbox inset="0,0,0,0">
                <w:txbxContent>
                  <w:p>
                    <w:pPr>
                      <w:spacing w:line="306" w:lineRule="exact" w:before="0"/>
                      <w:ind w:left="20" w:right="0" w:firstLine="0"/>
                      <w:jc w:val="left"/>
                      <w:rPr>
                        <w:rFonts w:ascii="Calibri"/>
                        <w:sz w:val="28"/>
                      </w:rPr>
                    </w:pPr>
                    <w:r>
                      <w:rPr>
                        <w:rFonts w:ascii="Calibri"/>
                        <w:spacing w:val="-5"/>
                        <w:sz w:val="28"/>
                      </w:rPr>
                      <w:fldChar w:fldCharType="begin"/>
                    </w:r>
                    <w:r>
                      <w:rPr>
                        <w:rFonts w:ascii="Calibri"/>
                        <w:spacing w:val="-5"/>
                        <w:sz w:val="28"/>
                      </w:rPr>
                      <w:instrText> PAGE </w:instrText>
                    </w:r>
                    <w:r>
                      <w:rPr>
                        <w:rFonts w:ascii="Calibri"/>
                        <w:spacing w:val="-5"/>
                        <w:sz w:val="28"/>
                      </w:rPr>
                      <w:fldChar w:fldCharType="separate"/>
                    </w:r>
                    <w:r>
                      <w:rPr>
                        <w:rFonts w:ascii="Calibri"/>
                        <w:spacing w:val="-5"/>
                        <w:sz w:val="28"/>
                      </w:rPr>
                      <w:t>21</w:t>
                    </w:r>
                    <w:r>
                      <w:rPr>
                        <w:rFonts w:ascii="Calibri"/>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232128">
              <wp:simplePos x="0" y="0"/>
              <wp:positionH relativeFrom="page">
                <wp:posOffset>6985761</wp:posOffset>
              </wp:positionH>
              <wp:positionV relativeFrom="page">
                <wp:posOffset>10341864</wp:posOffset>
              </wp:positionV>
              <wp:extent cx="342265" cy="6413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42265" cy="64135"/>
                      </a:xfrm>
                      <a:custGeom>
                        <a:avLst/>
                        <a:gdLst/>
                        <a:ahLst/>
                        <a:cxnLst/>
                        <a:rect l="l" t="t" r="r" b="b"/>
                        <a:pathLst>
                          <a:path w="342265" h="64135">
                            <a:moveTo>
                              <a:pt x="341680" y="0"/>
                            </a:moveTo>
                            <a:lnTo>
                              <a:pt x="0" y="0"/>
                            </a:lnTo>
                            <a:lnTo>
                              <a:pt x="0" y="64008"/>
                            </a:lnTo>
                            <a:lnTo>
                              <a:pt x="341680" y="64008"/>
                            </a:lnTo>
                            <a:lnTo>
                              <a:pt x="341680"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50.059998pt;margin-top:814.320007pt;width:26.904pt;height:5.04pt;mso-position-horizontal-relative:page;mso-position-vertical-relative:page;z-index:-18084352" id="docshape4" filled="true" fillcolor="#a4a4a4" stroked="false">
              <v:fill type="solid"/>
              <w10:wrap type="none"/>
            </v:rect>
          </w:pict>
        </mc:Fallback>
      </mc:AlternateContent>
    </w:r>
    <w:r>
      <w:rPr>
        <w:sz w:val="20"/>
      </w:rPr>
      <mc:AlternateContent>
        <mc:Choice Requires="wps">
          <w:drawing>
            <wp:anchor distT="0" distB="0" distL="0" distR="0" allowOverlap="1" layoutInCell="1" locked="0" behindDoc="1" simplePos="0" relativeHeight="485232640">
              <wp:simplePos x="0" y="0"/>
              <wp:positionH relativeFrom="page">
                <wp:posOffset>6985761</wp:posOffset>
              </wp:positionH>
              <wp:positionV relativeFrom="page">
                <wp:posOffset>10082783</wp:posOffset>
              </wp:positionV>
              <wp:extent cx="342265" cy="184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42265" cy="18415"/>
                      </a:xfrm>
                      <a:custGeom>
                        <a:avLst/>
                        <a:gdLst/>
                        <a:ahLst/>
                        <a:cxnLst/>
                        <a:rect l="l" t="t" r="r" b="b"/>
                        <a:pathLst>
                          <a:path w="342265" h="18415">
                            <a:moveTo>
                              <a:pt x="341680" y="0"/>
                            </a:moveTo>
                            <a:lnTo>
                              <a:pt x="0" y="0"/>
                            </a:lnTo>
                            <a:lnTo>
                              <a:pt x="0" y="18287"/>
                            </a:lnTo>
                            <a:lnTo>
                              <a:pt x="341680" y="18287"/>
                            </a:lnTo>
                            <a:lnTo>
                              <a:pt x="341680"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rect style="position:absolute;margin-left:550.059998pt;margin-top:793.919983pt;width:26.904pt;height:1.44pt;mso-position-horizontal-relative:page;mso-position-vertical-relative:page;z-index:-18083840" id="docshape5" filled="true" fillcolor="#a4a4a4" stroked="false">
              <v:fill type="solid"/>
              <w10:wrap type="none"/>
            </v:rect>
          </w:pict>
        </mc:Fallback>
      </mc:AlternateContent>
    </w:r>
    <w:r>
      <w:rPr>
        <w:sz w:val="20"/>
      </w:rPr>
      <mc:AlternateContent>
        <mc:Choice Requires="wps">
          <w:drawing>
            <wp:anchor distT="0" distB="0" distL="0" distR="0" allowOverlap="1" layoutInCell="1" locked="0" behindDoc="1" simplePos="0" relativeHeight="485233152">
              <wp:simplePos x="0" y="0"/>
              <wp:positionH relativeFrom="page">
                <wp:posOffset>7053833</wp:posOffset>
              </wp:positionH>
              <wp:positionV relativeFrom="page">
                <wp:posOffset>10137520</wp:posOffset>
              </wp:positionV>
              <wp:extent cx="205740" cy="2038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5740" cy="203835"/>
                      </a:xfrm>
                      <a:prstGeom prst="rect">
                        <a:avLst/>
                      </a:prstGeom>
                    </wps:spPr>
                    <wps:txbx>
                      <w:txbxContent>
                        <w:p>
                          <w:pPr>
                            <w:spacing w:line="306" w:lineRule="exact" w:before="0"/>
                            <w:ind w:left="20" w:right="0" w:firstLine="0"/>
                            <w:jc w:val="left"/>
                            <w:rPr>
                              <w:rFonts w:ascii="Calibri"/>
                              <w:sz w:val="28"/>
                            </w:rPr>
                          </w:pPr>
                          <w:r>
                            <w:rPr>
                              <w:rFonts w:ascii="Calibri"/>
                              <w:spacing w:val="-5"/>
                              <w:sz w:val="28"/>
                            </w:rPr>
                            <w:fldChar w:fldCharType="begin"/>
                          </w:r>
                          <w:r>
                            <w:rPr>
                              <w:rFonts w:ascii="Calibri"/>
                              <w:spacing w:val="-5"/>
                              <w:sz w:val="28"/>
                            </w:rPr>
                            <w:instrText> PAGE </w:instrText>
                          </w:r>
                          <w:r>
                            <w:rPr>
                              <w:rFonts w:ascii="Calibri"/>
                              <w:spacing w:val="-5"/>
                              <w:sz w:val="28"/>
                            </w:rPr>
                            <w:fldChar w:fldCharType="separate"/>
                          </w:r>
                          <w:r>
                            <w:rPr>
                              <w:rFonts w:ascii="Calibri"/>
                              <w:spacing w:val="-5"/>
                              <w:sz w:val="28"/>
                            </w:rPr>
                            <w:t>21</w:t>
                          </w:r>
                          <w:r>
                            <w:rPr>
                              <w:rFonts w:ascii="Calibri"/>
                              <w:spacing w:val="-5"/>
                              <w:sz w:val="28"/>
                            </w:rPr>
                            <w:fldChar w:fldCharType="end"/>
                          </w:r>
                        </w:p>
                      </w:txbxContent>
                    </wps:txbx>
                    <wps:bodyPr wrap="square" lIns="0" tIns="0" rIns="0" bIns="0" rtlCol="0">
                      <a:noAutofit/>
                    </wps:bodyPr>
                  </wps:wsp>
                </a:graphicData>
              </a:graphic>
            </wp:anchor>
          </w:drawing>
        </mc:Choice>
        <mc:Fallback>
          <w:pict>
            <v:shape style="position:absolute;margin-left:555.419983pt;margin-top:798.22998pt;width:16.2pt;height:16.05pt;mso-position-horizontal-relative:page;mso-position-vertical-relative:page;z-index:-18083328" type="#_x0000_t202" id="docshape6" filled="false" stroked="false">
              <v:textbox inset="0,0,0,0">
                <w:txbxContent>
                  <w:p>
                    <w:pPr>
                      <w:spacing w:line="306" w:lineRule="exact" w:before="0"/>
                      <w:ind w:left="20" w:right="0" w:firstLine="0"/>
                      <w:jc w:val="left"/>
                      <w:rPr>
                        <w:rFonts w:ascii="Calibri"/>
                        <w:sz w:val="28"/>
                      </w:rPr>
                    </w:pPr>
                    <w:r>
                      <w:rPr>
                        <w:rFonts w:ascii="Calibri"/>
                        <w:spacing w:val="-5"/>
                        <w:sz w:val="28"/>
                      </w:rPr>
                      <w:fldChar w:fldCharType="begin"/>
                    </w:r>
                    <w:r>
                      <w:rPr>
                        <w:rFonts w:ascii="Calibri"/>
                        <w:spacing w:val="-5"/>
                        <w:sz w:val="28"/>
                      </w:rPr>
                      <w:instrText> PAGE </w:instrText>
                    </w:r>
                    <w:r>
                      <w:rPr>
                        <w:rFonts w:ascii="Calibri"/>
                        <w:spacing w:val="-5"/>
                        <w:sz w:val="28"/>
                      </w:rPr>
                      <w:fldChar w:fldCharType="separate"/>
                    </w:r>
                    <w:r>
                      <w:rPr>
                        <w:rFonts w:ascii="Calibri"/>
                        <w:spacing w:val="-5"/>
                        <w:sz w:val="28"/>
                      </w:rPr>
                      <w:t>21</w:t>
                    </w:r>
                    <w:r>
                      <w:rPr>
                        <w:rFonts w:ascii="Calibri"/>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0"/>
      <w:numFmt w:val="bullet"/>
      <w:lvlText w:val=""/>
      <w:lvlJc w:val="left"/>
      <w:pPr>
        <w:ind w:left="1853" w:hanging="348"/>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822" w:hanging="348"/>
      </w:pPr>
      <w:rPr>
        <w:rFonts w:hint="default"/>
        <w:lang w:val="fr-FR" w:eastAsia="en-US" w:bidi="ar-SA"/>
      </w:rPr>
    </w:lvl>
    <w:lvl w:ilvl="2">
      <w:start w:val="0"/>
      <w:numFmt w:val="bullet"/>
      <w:lvlText w:val="•"/>
      <w:lvlJc w:val="left"/>
      <w:pPr>
        <w:ind w:left="3784" w:hanging="348"/>
      </w:pPr>
      <w:rPr>
        <w:rFonts w:hint="default"/>
        <w:lang w:val="fr-FR" w:eastAsia="en-US" w:bidi="ar-SA"/>
      </w:rPr>
    </w:lvl>
    <w:lvl w:ilvl="3">
      <w:start w:val="0"/>
      <w:numFmt w:val="bullet"/>
      <w:lvlText w:val="•"/>
      <w:lvlJc w:val="left"/>
      <w:pPr>
        <w:ind w:left="4746" w:hanging="348"/>
      </w:pPr>
      <w:rPr>
        <w:rFonts w:hint="default"/>
        <w:lang w:val="fr-FR" w:eastAsia="en-US" w:bidi="ar-SA"/>
      </w:rPr>
    </w:lvl>
    <w:lvl w:ilvl="4">
      <w:start w:val="0"/>
      <w:numFmt w:val="bullet"/>
      <w:lvlText w:val="•"/>
      <w:lvlJc w:val="left"/>
      <w:pPr>
        <w:ind w:left="5708" w:hanging="348"/>
      </w:pPr>
      <w:rPr>
        <w:rFonts w:hint="default"/>
        <w:lang w:val="fr-FR" w:eastAsia="en-US" w:bidi="ar-SA"/>
      </w:rPr>
    </w:lvl>
    <w:lvl w:ilvl="5">
      <w:start w:val="0"/>
      <w:numFmt w:val="bullet"/>
      <w:lvlText w:val="•"/>
      <w:lvlJc w:val="left"/>
      <w:pPr>
        <w:ind w:left="6671" w:hanging="348"/>
      </w:pPr>
      <w:rPr>
        <w:rFonts w:hint="default"/>
        <w:lang w:val="fr-FR" w:eastAsia="en-US" w:bidi="ar-SA"/>
      </w:rPr>
    </w:lvl>
    <w:lvl w:ilvl="6">
      <w:start w:val="0"/>
      <w:numFmt w:val="bullet"/>
      <w:lvlText w:val="•"/>
      <w:lvlJc w:val="left"/>
      <w:pPr>
        <w:ind w:left="7633" w:hanging="348"/>
      </w:pPr>
      <w:rPr>
        <w:rFonts w:hint="default"/>
        <w:lang w:val="fr-FR" w:eastAsia="en-US" w:bidi="ar-SA"/>
      </w:rPr>
    </w:lvl>
    <w:lvl w:ilvl="7">
      <w:start w:val="0"/>
      <w:numFmt w:val="bullet"/>
      <w:lvlText w:val="•"/>
      <w:lvlJc w:val="left"/>
      <w:pPr>
        <w:ind w:left="8595" w:hanging="348"/>
      </w:pPr>
      <w:rPr>
        <w:rFonts w:hint="default"/>
        <w:lang w:val="fr-FR" w:eastAsia="en-US" w:bidi="ar-SA"/>
      </w:rPr>
    </w:lvl>
    <w:lvl w:ilvl="8">
      <w:start w:val="0"/>
      <w:numFmt w:val="bullet"/>
      <w:lvlText w:val="•"/>
      <w:lvlJc w:val="left"/>
      <w:pPr>
        <w:ind w:left="9557" w:hanging="348"/>
      </w:pPr>
      <w:rPr>
        <w:rFonts w:hint="default"/>
        <w:lang w:val="fr-FR" w:eastAsia="en-US" w:bidi="ar-SA"/>
      </w:rPr>
    </w:lvl>
  </w:abstractNum>
  <w:abstractNum w:abstractNumId="21">
    <w:multiLevelType w:val="hybridMultilevel"/>
    <w:lvl w:ilvl="0">
      <w:start w:val="5"/>
      <w:numFmt w:val="decimal"/>
      <w:lvlText w:val="%1"/>
      <w:lvlJc w:val="left"/>
      <w:pPr>
        <w:ind w:left="1519" w:hanging="386"/>
        <w:jc w:val="left"/>
      </w:pPr>
      <w:rPr>
        <w:rFonts w:hint="default"/>
        <w:lang w:val="fr-FR" w:eastAsia="en-US" w:bidi="ar-SA"/>
      </w:rPr>
    </w:lvl>
    <w:lvl w:ilvl="1">
      <w:start w:val="1"/>
      <w:numFmt w:val="decimal"/>
      <w:lvlText w:val="%1.%2."/>
      <w:lvlJc w:val="left"/>
      <w:pPr>
        <w:ind w:left="1519" w:hanging="386"/>
        <w:jc w:val="left"/>
      </w:pPr>
      <w:rPr>
        <w:rFonts w:hint="default"/>
        <w:spacing w:val="-1"/>
        <w:w w:val="100"/>
        <w:lang w:val="fr-FR" w:eastAsia="en-US" w:bidi="ar-SA"/>
      </w:rPr>
    </w:lvl>
    <w:lvl w:ilvl="2">
      <w:start w:val="1"/>
      <w:numFmt w:val="decimal"/>
      <w:lvlText w:val="%1.%2.%3."/>
      <w:lvlJc w:val="left"/>
      <w:pPr>
        <w:ind w:left="1682" w:hanging="549"/>
        <w:jc w:val="left"/>
      </w:pPr>
      <w:rPr>
        <w:rFonts w:hint="default" w:ascii="Arial Narrow" w:hAnsi="Arial Narrow" w:eastAsia="Arial Narrow" w:cs="Arial Narrow"/>
        <w:b/>
        <w:bCs/>
        <w:i w:val="0"/>
        <w:iCs w:val="0"/>
        <w:spacing w:val="-2"/>
        <w:w w:val="100"/>
        <w:sz w:val="24"/>
        <w:szCs w:val="24"/>
        <w:lang w:val="fr-FR" w:eastAsia="en-US" w:bidi="ar-SA"/>
      </w:rPr>
    </w:lvl>
    <w:lvl w:ilvl="3">
      <w:start w:val="0"/>
      <w:numFmt w:val="bullet"/>
      <w:lvlText w:val="•"/>
      <w:lvlJc w:val="left"/>
      <w:pPr>
        <w:ind w:left="3858" w:hanging="549"/>
      </w:pPr>
      <w:rPr>
        <w:rFonts w:hint="default"/>
        <w:lang w:val="fr-FR" w:eastAsia="en-US" w:bidi="ar-SA"/>
      </w:rPr>
    </w:lvl>
    <w:lvl w:ilvl="4">
      <w:start w:val="0"/>
      <w:numFmt w:val="bullet"/>
      <w:lvlText w:val="•"/>
      <w:lvlJc w:val="left"/>
      <w:pPr>
        <w:ind w:left="4947" w:hanging="549"/>
      </w:pPr>
      <w:rPr>
        <w:rFonts w:hint="default"/>
        <w:lang w:val="fr-FR" w:eastAsia="en-US" w:bidi="ar-SA"/>
      </w:rPr>
    </w:lvl>
    <w:lvl w:ilvl="5">
      <w:start w:val="0"/>
      <w:numFmt w:val="bullet"/>
      <w:lvlText w:val="•"/>
      <w:lvlJc w:val="left"/>
      <w:pPr>
        <w:ind w:left="6036" w:hanging="549"/>
      </w:pPr>
      <w:rPr>
        <w:rFonts w:hint="default"/>
        <w:lang w:val="fr-FR" w:eastAsia="en-US" w:bidi="ar-SA"/>
      </w:rPr>
    </w:lvl>
    <w:lvl w:ilvl="6">
      <w:start w:val="0"/>
      <w:numFmt w:val="bullet"/>
      <w:lvlText w:val="•"/>
      <w:lvlJc w:val="left"/>
      <w:pPr>
        <w:ind w:left="7125" w:hanging="549"/>
      </w:pPr>
      <w:rPr>
        <w:rFonts w:hint="default"/>
        <w:lang w:val="fr-FR" w:eastAsia="en-US" w:bidi="ar-SA"/>
      </w:rPr>
    </w:lvl>
    <w:lvl w:ilvl="7">
      <w:start w:val="0"/>
      <w:numFmt w:val="bullet"/>
      <w:lvlText w:val="•"/>
      <w:lvlJc w:val="left"/>
      <w:pPr>
        <w:ind w:left="8214" w:hanging="549"/>
      </w:pPr>
      <w:rPr>
        <w:rFonts w:hint="default"/>
        <w:lang w:val="fr-FR" w:eastAsia="en-US" w:bidi="ar-SA"/>
      </w:rPr>
    </w:lvl>
    <w:lvl w:ilvl="8">
      <w:start w:val="0"/>
      <w:numFmt w:val="bullet"/>
      <w:lvlText w:val="•"/>
      <w:lvlJc w:val="left"/>
      <w:pPr>
        <w:ind w:left="9304" w:hanging="549"/>
      </w:pPr>
      <w:rPr>
        <w:rFonts w:hint="default"/>
        <w:lang w:val="fr-FR" w:eastAsia="en-US" w:bidi="ar-SA"/>
      </w:rPr>
    </w:lvl>
  </w:abstractNum>
  <w:abstractNum w:abstractNumId="20">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19">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18">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17">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16">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15">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14">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13">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12">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11">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10">
    <w:multiLevelType w:val="hybridMultilevel"/>
    <w:lvl w:ilvl="0">
      <w:start w:val="0"/>
      <w:numFmt w:val="bullet"/>
      <w:lvlText w:val=""/>
      <w:lvlJc w:val="left"/>
      <w:pPr>
        <w:ind w:left="177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2750" w:hanging="360"/>
      </w:pPr>
      <w:rPr>
        <w:rFonts w:hint="default"/>
        <w:lang w:val="fr-FR" w:eastAsia="en-US" w:bidi="ar-SA"/>
      </w:rPr>
    </w:lvl>
    <w:lvl w:ilvl="2">
      <w:start w:val="0"/>
      <w:numFmt w:val="bullet"/>
      <w:lvlText w:val="•"/>
      <w:lvlJc w:val="left"/>
      <w:pPr>
        <w:ind w:left="3720" w:hanging="360"/>
      </w:pPr>
      <w:rPr>
        <w:rFonts w:hint="default"/>
        <w:lang w:val="fr-FR" w:eastAsia="en-US" w:bidi="ar-SA"/>
      </w:rPr>
    </w:lvl>
    <w:lvl w:ilvl="3">
      <w:start w:val="0"/>
      <w:numFmt w:val="bullet"/>
      <w:lvlText w:val="•"/>
      <w:lvlJc w:val="left"/>
      <w:pPr>
        <w:ind w:left="4690" w:hanging="360"/>
      </w:pPr>
      <w:rPr>
        <w:rFonts w:hint="default"/>
        <w:lang w:val="fr-FR" w:eastAsia="en-US" w:bidi="ar-SA"/>
      </w:rPr>
    </w:lvl>
    <w:lvl w:ilvl="4">
      <w:start w:val="0"/>
      <w:numFmt w:val="bullet"/>
      <w:lvlText w:val="•"/>
      <w:lvlJc w:val="left"/>
      <w:pPr>
        <w:ind w:left="5660" w:hanging="360"/>
      </w:pPr>
      <w:rPr>
        <w:rFonts w:hint="default"/>
        <w:lang w:val="fr-FR" w:eastAsia="en-US" w:bidi="ar-SA"/>
      </w:rPr>
    </w:lvl>
    <w:lvl w:ilvl="5">
      <w:start w:val="0"/>
      <w:numFmt w:val="bullet"/>
      <w:lvlText w:val="•"/>
      <w:lvlJc w:val="left"/>
      <w:pPr>
        <w:ind w:left="6631" w:hanging="360"/>
      </w:pPr>
      <w:rPr>
        <w:rFonts w:hint="default"/>
        <w:lang w:val="fr-FR" w:eastAsia="en-US" w:bidi="ar-SA"/>
      </w:rPr>
    </w:lvl>
    <w:lvl w:ilvl="6">
      <w:start w:val="0"/>
      <w:numFmt w:val="bullet"/>
      <w:lvlText w:val="•"/>
      <w:lvlJc w:val="left"/>
      <w:pPr>
        <w:ind w:left="7601" w:hanging="360"/>
      </w:pPr>
      <w:rPr>
        <w:rFonts w:hint="default"/>
        <w:lang w:val="fr-FR" w:eastAsia="en-US" w:bidi="ar-SA"/>
      </w:rPr>
    </w:lvl>
    <w:lvl w:ilvl="7">
      <w:start w:val="0"/>
      <w:numFmt w:val="bullet"/>
      <w:lvlText w:val="•"/>
      <w:lvlJc w:val="left"/>
      <w:pPr>
        <w:ind w:left="8571" w:hanging="360"/>
      </w:pPr>
      <w:rPr>
        <w:rFonts w:hint="default"/>
        <w:lang w:val="fr-FR" w:eastAsia="en-US" w:bidi="ar-SA"/>
      </w:rPr>
    </w:lvl>
    <w:lvl w:ilvl="8">
      <w:start w:val="0"/>
      <w:numFmt w:val="bullet"/>
      <w:lvlText w:val="•"/>
      <w:lvlJc w:val="left"/>
      <w:pPr>
        <w:ind w:left="9541" w:hanging="360"/>
      </w:pPr>
      <w:rPr>
        <w:rFonts w:hint="default"/>
        <w:lang w:val="fr-FR" w:eastAsia="en-US" w:bidi="ar-SA"/>
      </w:rPr>
    </w:lvl>
  </w:abstractNum>
  <w:abstractNum w:abstractNumId="9">
    <w:multiLevelType w:val="hybridMultilevel"/>
    <w:lvl w:ilvl="0">
      <w:start w:val="3"/>
      <w:numFmt w:val="decimal"/>
      <w:lvlText w:val="%1"/>
      <w:lvlJc w:val="left"/>
      <w:pPr>
        <w:ind w:left="1519" w:hanging="386"/>
        <w:jc w:val="left"/>
      </w:pPr>
      <w:rPr>
        <w:rFonts w:hint="default"/>
        <w:lang w:val="fr-FR" w:eastAsia="en-US" w:bidi="ar-SA"/>
      </w:rPr>
    </w:lvl>
    <w:lvl w:ilvl="1">
      <w:start w:val="1"/>
      <w:numFmt w:val="decimal"/>
      <w:lvlText w:val="%1.%2."/>
      <w:lvlJc w:val="left"/>
      <w:pPr>
        <w:ind w:left="1519" w:hanging="386"/>
        <w:jc w:val="left"/>
      </w:pPr>
      <w:rPr>
        <w:rFonts w:hint="default" w:ascii="Arial Narrow" w:hAnsi="Arial Narrow" w:eastAsia="Arial Narrow" w:cs="Arial Narrow"/>
        <w:b/>
        <w:bCs/>
        <w:i w:val="0"/>
        <w:iCs w:val="0"/>
        <w:color w:val="2E5395"/>
        <w:spacing w:val="-1"/>
        <w:w w:val="100"/>
        <w:sz w:val="24"/>
        <w:szCs w:val="24"/>
        <w:lang w:val="fr-FR" w:eastAsia="en-US" w:bidi="ar-SA"/>
      </w:rPr>
    </w:lvl>
    <w:lvl w:ilvl="2">
      <w:start w:val="1"/>
      <w:numFmt w:val="decimal"/>
      <w:lvlText w:val="%1.%2.%3."/>
      <w:lvlJc w:val="left"/>
      <w:pPr>
        <w:ind w:left="1738" w:hanging="605"/>
        <w:jc w:val="left"/>
      </w:pPr>
      <w:rPr>
        <w:rFonts w:hint="default"/>
        <w:spacing w:val="-2"/>
        <w:w w:val="100"/>
        <w:lang w:val="fr-FR" w:eastAsia="en-US" w:bidi="ar-SA"/>
      </w:rPr>
    </w:lvl>
    <w:lvl w:ilvl="3">
      <w:start w:val="0"/>
      <w:numFmt w:val="bullet"/>
      <w:lvlText w:val="•"/>
      <w:lvlJc w:val="left"/>
      <w:pPr>
        <w:ind w:left="1740" w:hanging="605"/>
      </w:pPr>
      <w:rPr>
        <w:rFonts w:hint="default"/>
        <w:lang w:val="fr-FR" w:eastAsia="en-US" w:bidi="ar-SA"/>
      </w:rPr>
    </w:lvl>
    <w:lvl w:ilvl="4">
      <w:start w:val="0"/>
      <w:numFmt w:val="bullet"/>
      <w:lvlText w:val="•"/>
      <w:lvlJc w:val="left"/>
      <w:pPr>
        <w:ind w:left="3131" w:hanging="605"/>
      </w:pPr>
      <w:rPr>
        <w:rFonts w:hint="default"/>
        <w:lang w:val="fr-FR" w:eastAsia="en-US" w:bidi="ar-SA"/>
      </w:rPr>
    </w:lvl>
    <w:lvl w:ilvl="5">
      <w:start w:val="0"/>
      <w:numFmt w:val="bullet"/>
      <w:lvlText w:val="•"/>
      <w:lvlJc w:val="left"/>
      <w:pPr>
        <w:ind w:left="4523" w:hanging="605"/>
      </w:pPr>
      <w:rPr>
        <w:rFonts w:hint="default"/>
        <w:lang w:val="fr-FR" w:eastAsia="en-US" w:bidi="ar-SA"/>
      </w:rPr>
    </w:lvl>
    <w:lvl w:ilvl="6">
      <w:start w:val="0"/>
      <w:numFmt w:val="bullet"/>
      <w:lvlText w:val="•"/>
      <w:lvlJc w:val="left"/>
      <w:pPr>
        <w:ind w:left="5915" w:hanging="605"/>
      </w:pPr>
      <w:rPr>
        <w:rFonts w:hint="default"/>
        <w:lang w:val="fr-FR" w:eastAsia="en-US" w:bidi="ar-SA"/>
      </w:rPr>
    </w:lvl>
    <w:lvl w:ilvl="7">
      <w:start w:val="0"/>
      <w:numFmt w:val="bullet"/>
      <w:lvlText w:val="•"/>
      <w:lvlJc w:val="left"/>
      <w:pPr>
        <w:ind w:left="7307" w:hanging="605"/>
      </w:pPr>
      <w:rPr>
        <w:rFonts w:hint="default"/>
        <w:lang w:val="fr-FR" w:eastAsia="en-US" w:bidi="ar-SA"/>
      </w:rPr>
    </w:lvl>
    <w:lvl w:ilvl="8">
      <w:start w:val="0"/>
      <w:numFmt w:val="bullet"/>
      <w:lvlText w:val="•"/>
      <w:lvlJc w:val="left"/>
      <w:pPr>
        <w:ind w:left="8698" w:hanging="605"/>
      </w:pPr>
      <w:rPr>
        <w:rFonts w:hint="default"/>
        <w:lang w:val="fr-FR" w:eastAsia="en-US" w:bidi="ar-SA"/>
      </w:rPr>
    </w:lvl>
  </w:abstractNum>
  <w:abstractNum w:abstractNumId="8">
    <w:multiLevelType w:val="hybridMultilevel"/>
    <w:lvl w:ilvl="0">
      <w:start w:val="0"/>
      <w:numFmt w:val="bullet"/>
      <w:lvlText w:val=""/>
      <w:lvlJc w:val="left"/>
      <w:pPr>
        <w:ind w:left="235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272" w:hanging="360"/>
      </w:pPr>
      <w:rPr>
        <w:rFonts w:hint="default"/>
        <w:lang w:val="fr-FR" w:eastAsia="en-US" w:bidi="ar-SA"/>
      </w:rPr>
    </w:lvl>
    <w:lvl w:ilvl="2">
      <w:start w:val="0"/>
      <w:numFmt w:val="bullet"/>
      <w:lvlText w:val="•"/>
      <w:lvlJc w:val="left"/>
      <w:pPr>
        <w:ind w:left="4184" w:hanging="360"/>
      </w:pPr>
      <w:rPr>
        <w:rFonts w:hint="default"/>
        <w:lang w:val="fr-FR" w:eastAsia="en-US" w:bidi="ar-SA"/>
      </w:rPr>
    </w:lvl>
    <w:lvl w:ilvl="3">
      <w:start w:val="0"/>
      <w:numFmt w:val="bullet"/>
      <w:lvlText w:val="•"/>
      <w:lvlJc w:val="left"/>
      <w:pPr>
        <w:ind w:left="5096" w:hanging="360"/>
      </w:pPr>
      <w:rPr>
        <w:rFonts w:hint="default"/>
        <w:lang w:val="fr-FR" w:eastAsia="en-US" w:bidi="ar-SA"/>
      </w:rPr>
    </w:lvl>
    <w:lvl w:ilvl="4">
      <w:start w:val="0"/>
      <w:numFmt w:val="bullet"/>
      <w:lvlText w:val="•"/>
      <w:lvlJc w:val="left"/>
      <w:pPr>
        <w:ind w:left="6008" w:hanging="360"/>
      </w:pPr>
      <w:rPr>
        <w:rFonts w:hint="default"/>
        <w:lang w:val="fr-FR" w:eastAsia="en-US" w:bidi="ar-SA"/>
      </w:rPr>
    </w:lvl>
    <w:lvl w:ilvl="5">
      <w:start w:val="0"/>
      <w:numFmt w:val="bullet"/>
      <w:lvlText w:val="•"/>
      <w:lvlJc w:val="left"/>
      <w:pPr>
        <w:ind w:left="6921" w:hanging="360"/>
      </w:pPr>
      <w:rPr>
        <w:rFonts w:hint="default"/>
        <w:lang w:val="fr-FR" w:eastAsia="en-US" w:bidi="ar-SA"/>
      </w:rPr>
    </w:lvl>
    <w:lvl w:ilvl="6">
      <w:start w:val="0"/>
      <w:numFmt w:val="bullet"/>
      <w:lvlText w:val="•"/>
      <w:lvlJc w:val="left"/>
      <w:pPr>
        <w:ind w:left="7833" w:hanging="360"/>
      </w:pPr>
      <w:rPr>
        <w:rFonts w:hint="default"/>
        <w:lang w:val="fr-FR" w:eastAsia="en-US" w:bidi="ar-SA"/>
      </w:rPr>
    </w:lvl>
    <w:lvl w:ilvl="7">
      <w:start w:val="0"/>
      <w:numFmt w:val="bullet"/>
      <w:lvlText w:val="•"/>
      <w:lvlJc w:val="left"/>
      <w:pPr>
        <w:ind w:left="8745" w:hanging="360"/>
      </w:pPr>
      <w:rPr>
        <w:rFonts w:hint="default"/>
        <w:lang w:val="fr-FR" w:eastAsia="en-US" w:bidi="ar-SA"/>
      </w:rPr>
    </w:lvl>
    <w:lvl w:ilvl="8">
      <w:start w:val="0"/>
      <w:numFmt w:val="bullet"/>
      <w:lvlText w:val="•"/>
      <w:lvlJc w:val="left"/>
      <w:pPr>
        <w:ind w:left="9657" w:hanging="360"/>
      </w:pPr>
      <w:rPr>
        <w:rFonts w:hint="default"/>
        <w:lang w:val="fr-FR" w:eastAsia="en-US" w:bidi="ar-SA"/>
      </w:rPr>
    </w:lvl>
  </w:abstractNum>
  <w:abstractNum w:abstractNumId="7">
    <w:multiLevelType w:val="hybridMultilevel"/>
    <w:lvl w:ilvl="0">
      <w:start w:val="2"/>
      <w:numFmt w:val="decimal"/>
      <w:lvlText w:val="%1"/>
      <w:lvlJc w:val="left"/>
      <w:pPr>
        <w:ind w:left="1517" w:hanging="384"/>
        <w:jc w:val="left"/>
      </w:pPr>
      <w:rPr>
        <w:rFonts w:hint="default"/>
        <w:lang w:val="fr-FR" w:eastAsia="en-US" w:bidi="ar-SA"/>
      </w:rPr>
    </w:lvl>
    <w:lvl w:ilvl="1">
      <w:start w:val="1"/>
      <w:numFmt w:val="decimal"/>
      <w:lvlText w:val="%1.%2."/>
      <w:lvlJc w:val="left"/>
      <w:pPr>
        <w:ind w:left="1517" w:hanging="384"/>
        <w:jc w:val="left"/>
      </w:pPr>
      <w:rPr>
        <w:rFonts w:hint="default" w:ascii="Arial Narrow" w:hAnsi="Arial Narrow" w:eastAsia="Arial Narrow" w:cs="Arial Narrow"/>
        <w:b/>
        <w:bCs/>
        <w:i w:val="0"/>
        <w:iCs w:val="0"/>
        <w:color w:val="2E5395"/>
        <w:spacing w:val="-1"/>
        <w:w w:val="100"/>
        <w:sz w:val="24"/>
        <w:szCs w:val="24"/>
        <w:lang w:val="fr-FR" w:eastAsia="en-US" w:bidi="ar-SA"/>
      </w:rPr>
    </w:lvl>
    <w:lvl w:ilvl="2">
      <w:start w:val="0"/>
      <w:numFmt w:val="bullet"/>
      <w:lvlText w:val="•"/>
      <w:lvlJc w:val="left"/>
      <w:pPr>
        <w:ind w:left="3512" w:hanging="384"/>
      </w:pPr>
      <w:rPr>
        <w:rFonts w:hint="default"/>
        <w:lang w:val="fr-FR" w:eastAsia="en-US" w:bidi="ar-SA"/>
      </w:rPr>
    </w:lvl>
    <w:lvl w:ilvl="3">
      <w:start w:val="0"/>
      <w:numFmt w:val="bullet"/>
      <w:lvlText w:val="•"/>
      <w:lvlJc w:val="left"/>
      <w:pPr>
        <w:ind w:left="4508" w:hanging="384"/>
      </w:pPr>
      <w:rPr>
        <w:rFonts w:hint="default"/>
        <w:lang w:val="fr-FR" w:eastAsia="en-US" w:bidi="ar-SA"/>
      </w:rPr>
    </w:lvl>
    <w:lvl w:ilvl="4">
      <w:start w:val="0"/>
      <w:numFmt w:val="bullet"/>
      <w:lvlText w:val="•"/>
      <w:lvlJc w:val="left"/>
      <w:pPr>
        <w:ind w:left="5504" w:hanging="384"/>
      </w:pPr>
      <w:rPr>
        <w:rFonts w:hint="default"/>
        <w:lang w:val="fr-FR" w:eastAsia="en-US" w:bidi="ar-SA"/>
      </w:rPr>
    </w:lvl>
    <w:lvl w:ilvl="5">
      <w:start w:val="0"/>
      <w:numFmt w:val="bullet"/>
      <w:lvlText w:val="•"/>
      <w:lvlJc w:val="left"/>
      <w:pPr>
        <w:ind w:left="6501" w:hanging="384"/>
      </w:pPr>
      <w:rPr>
        <w:rFonts w:hint="default"/>
        <w:lang w:val="fr-FR" w:eastAsia="en-US" w:bidi="ar-SA"/>
      </w:rPr>
    </w:lvl>
    <w:lvl w:ilvl="6">
      <w:start w:val="0"/>
      <w:numFmt w:val="bullet"/>
      <w:lvlText w:val="•"/>
      <w:lvlJc w:val="left"/>
      <w:pPr>
        <w:ind w:left="7497" w:hanging="384"/>
      </w:pPr>
      <w:rPr>
        <w:rFonts w:hint="default"/>
        <w:lang w:val="fr-FR" w:eastAsia="en-US" w:bidi="ar-SA"/>
      </w:rPr>
    </w:lvl>
    <w:lvl w:ilvl="7">
      <w:start w:val="0"/>
      <w:numFmt w:val="bullet"/>
      <w:lvlText w:val="•"/>
      <w:lvlJc w:val="left"/>
      <w:pPr>
        <w:ind w:left="8493" w:hanging="384"/>
      </w:pPr>
      <w:rPr>
        <w:rFonts w:hint="default"/>
        <w:lang w:val="fr-FR" w:eastAsia="en-US" w:bidi="ar-SA"/>
      </w:rPr>
    </w:lvl>
    <w:lvl w:ilvl="8">
      <w:start w:val="0"/>
      <w:numFmt w:val="bullet"/>
      <w:lvlText w:val="•"/>
      <w:lvlJc w:val="left"/>
      <w:pPr>
        <w:ind w:left="9489" w:hanging="384"/>
      </w:pPr>
      <w:rPr>
        <w:rFonts w:hint="default"/>
        <w:lang w:val="fr-FR" w:eastAsia="en-US" w:bidi="ar-SA"/>
      </w:rPr>
    </w:lvl>
  </w:abstractNum>
  <w:abstractNum w:abstractNumId="6">
    <w:multiLevelType w:val="hybridMultilevel"/>
    <w:lvl w:ilvl="0">
      <w:start w:val="1"/>
      <w:numFmt w:val="decimal"/>
      <w:lvlText w:val="%1"/>
      <w:lvlJc w:val="left"/>
      <w:pPr>
        <w:ind w:left="1519" w:hanging="387"/>
        <w:jc w:val="left"/>
      </w:pPr>
      <w:rPr>
        <w:rFonts w:hint="default"/>
        <w:lang w:val="fr-FR" w:eastAsia="en-US" w:bidi="ar-SA"/>
      </w:rPr>
    </w:lvl>
    <w:lvl w:ilvl="1">
      <w:start w:val="1"/>
      <w:numFmt w:val="decimal"/>
      <w:lvlText w:val="%1.%2."/>
      <w:lvlJc w:val="left"/>
      <w:pPr>
        <w:ind w:left="1519" w:hanging="387"/>
        <w:jc w:val="left"/>
      </w:pPr>
      <w:rPr>
        <w:rFonts w:hint="default" w:ascii="Arial Narrow" w:hAnsi="Arial Narrow" w:eastAsia="Arial Narrow" w:cs="Arial Narrow"/>
        <w:b/>
        <w:bCs/>
        <w:i w:val="0"/>
        <w:iCs w:val="0"/>
        <w:color w:val="2E5395"/>
        <w:spacing w:val="-1"/>
        <w:w w:val="100"/>
        <w:sz w:val="24"/>
        <w:szCs w:val="24"/>
        <w:lang w:val="fr-FR" w:eastAsia="en-US" w:bidi="ar-SA"/>
      </w:rPr>
    </w:lvl>
    <w:lvl w:ilvl="2">
      <w:start w:val="0"/>
      <w:numFmt w:val="bullet"/>
      <w:lvlText w:val="•"/>
      <w:lvlJc w:val="left"/>
      <w:pPr>
        <w:ind w:left="3512" w:hanging="387"/>
      </w:pPr>
      <w:rPr>
        <w:rFonts w:hint="default"/>
        <w:lang w:val="fr-FR" w:eastAsia="en-US" w:bidi="ar-SA"/>
      </w:rPr>
    </w:lvl>
    <w:lvl w:ilvl="3">
      <w:start w:val="0"/>
      <w:numFmt w:val="bullet"/>
      <w:lvlText w:val="•"/>
      <w:lvlJc w:val="left"/>
      <w:pPr>
        <w:ind w:left="4508" w:hanging="387"/>
      </w:pPr>
      <w:rPr>
        <w:rFonts w:hint="default"/>
        <w:lang w:val="fr-FR" w:eastAsia="en-US" w:bidi="ar-SA"/>
      </w:rPr>
    </w:lvl>
    <w:lvl w:ilvl="4">
      <w:start w:val="0"/>
      <w:numFmt w:val="bullet"/>
      <w:lvlText w:val="•"/>
      <w:lvlJc w:val="left"/>
      <w:pPr>
        <w:ind w:left="5504" w:hanging="387"/>
      </w:pPr>
      <w:rPr>
        <w:rFonts w:hint="default"/>
        <w:lang w:val="fr-FR" w:eastAsia="en-US" w:bidi="ar-SA"/>
      </w:rPr>
    </w:lvl>
    <w:lvl w:ilvl="5">
      <w:start w:val="0"/>
      <w:numFmt w:val="bullet"/>
      <w:lvlText w:val="•"/>
      <w:lvlJc w:val="left"/>
      <w:pPr>
        <w:ind w:left="6501" w:hanging="387"/>
      </w:pPr>
      <w:rPr>
        <w:rFonts w:hint="default"/>
        <w:lang w:val="fr-FR" w:eastAsia="en-US" w:bidi="ar-SA"/>
      </w:rPr>
    </w:lvl>
    <w:lvl w:ilvl="6">
      <w:start w:val="0"/>
      <w:numFmt w:val="bullet"/>
      <w:lvlText w:val="•"/>
      <w:lvlJc w:val="left"/>
      <w:pPr>
        <w:ind w:left="7497" w:hanging="387"/>
      </w:pPr>
      <w:rPr>
        <w:rFonts w:hint="default"/>
        <w:lang w:val="fr-FR" w:eastAsia="en-US" w:bidi="ar-SA"/>
      </w:rPr>
    </w:lvl>
    <w:lvl w:ilvl="7">
      <w:start w:val="0"/>
      <w:numFmt w:val="bullet"/>
      <w:lvlText w:val="•"/>
      <w:lvlJc w:val="left"/>
      <w:pPr>
        <w:ind w:left="8493" w:hanging="387"/>
      </w:pPr>
      <w:rPr>
        <w:rFonts w:hint="default"/>
        <w:lang w:val="fr-FR" w:eastAsia="en-US" w:bidi="ar-SA"/>
      </w:rPr>
    </w:lvl>
    <w:lvl w:ilvl="8">
      <w:start w:val="0"/>
      <w:numFmt w:val="bullet"/>
      <w:lvlText w:val="•"/>
      <w:lvlJc w:val="left"/>
      <w:pPr>
        <w:ind w:left="9489" w:hanging="387"/>
      </w:pPr>
      <w:rPr>
        <w:rFonts w:hint="default"/>
        <w:lang w:val="fr-FR" w:eastAsia="en-US" w:bidi="ar-SA"/>
      </w:rPr>
    </w:lvl>
  </w:abstractNum>
  <w:abstractNum w:abstractNumId="5">
    <w:multiLevelType w:val="hybridMultilevel"/>
    <w:lvl w:ilvl="0">
      <w:start w:val="1"/>
      <w:numFmt w:val="upperRoman"/>
      <w:lvlText w:val="%1."/>
      <w:lvlJc w:val="left"/>
      <w:pPr>
        <w:ind w:left="1327" w:hanging="195"/>
        <w:jc w:val="left"/>
      </w:pPr>
      <w:rPr>
        <w:rFonts w:hint="default" w:ascii="Arial Narrow" w:hAnsi="Arial Narrow" w:eastAsia="Arial Narrow" w:cs="Arial Narrow"/>
        <w:b/>
        <w:bCs/>
        <w:i w:val="0"/>
        <w:iCs w:val="0"/>
        <w:spacing w:val="0"/>
        <w:w w:val="100"/>
        <w:sz w:val="28"/>
        <w:szCs w:val="28"/>
        <w:lang w:val="fr-FR" w:eastAsia="en-US" w:bidi="ar-SA"/>
      </w:rPr>
    </w:lvl>
    <w:lvl w:ilvl="1">
      <w:start w:val="0"/>
      <w:numFmt w:val="bullet"/>
      <w:lvlText w:val="•"/>
      <w:lvlJc w:val="left"/>
      <w:pPr>
        <w:ind w:left="2336" w:hanging="195"/>
      </w:pPr>
      <w:rPr>
        <w:rFonts w:hint="default"/>
        <w:lang w:val="fr-FR" w:eastAsia="en-US" w:bidi="ar-SA"/>
      </w:rPr>
    </w:lvl>
    <w:lvl w:ilvl="2">
      <w:start w:val="0"/>
      <w:numFmt w:val="bullet"/>
      <w:lvlText w:val="•"/>
      <w:lvlJc w:val="left"/>
      <w:pPr>
        <w:ind w:left="3352" w:hanging="195"/>
      </w:pPr>
      <w:rPr>
        <w:rFonts w:hint="default"/>
        <w:lang w:val="fr-FR" w:eastAsia="en-US" w:bidi="ar-SA"/>
      </w:rPr>
    </w:lvl>
    <w:lvl w:ilvl="3">
      <w:start w:val="0"/>
      <w:numFmt w:val="bullet"/>
      <w:lvlText w:val="•"/>
      <w:lvlJc w:val="left"/>
      <w:pPr>
        <w:ind w:left="4368" w:hanging="195"/>
      </w:pPr>
      <w:rPr>
        <w:rFonts w:hint="default"/>
        <w:lang w:val="fr-FR" w:eastAsia="en-US" w:bidi="ar-SA"/>
      </w:rPr>
    </w:lvl>
    <w:lvl w:ilvl="4">
      <w:start w:val="0"/>
      <w:numFmt w:val="bullet"/>
      <w:lvlText w:val="•"/>
      <w:lvlJc w:val="left"/>
      <w:pPr>
        <w:ind w:left="5384" w:hanging="195"/>
      </w:pPr>
      <w:rPr>
        <w:rFonts w:hint="default"/>
        <w:lang w:val="fr-FR" w:eastAsia="en-US" w:bidi="ar-SA"/>
      </w:rPr>
    </w:lvl>
    <w:lvl w:ilvl="5">
      <w:start w:val="0"/>
      <w:numFmt w:val="bullet"/>
      <w:lvlText w:val="•"/>
      <w:lvlJc w:val="left"/>
      <w:pPr>
        <w:ind w:left="6401" w:hanging="195"/>
      </w:pPr>
      <w:rPr>
        <w:rFonts w:hint="default"/>
        <w:lang w:val="fr-FR" w:eastAsia="en-US" w:bidi="ar-SA"/>
      </w:rPr>
    </w:lvl>
    <w:lvl w:ilvl="6">
      <w:start w:val="0"/>
      <w:numFmt w:val="bullet"/>
      <w:lvlText w:val="•"/>
      <w:lvlJc w:val="left"/>
      <w:pPr>
        <w:ind w:left="7417" w:hanging="195"/>
      </w:pPr>
      <w:rPr>
        <w:rFonts w:hint="default"/>
        <w:lang w:val="fr-FR" w:eastAsia="en-US" w:bidi="ar-SA"/>
      </w:rPr>
    </w:lvl>
    <w:lvl w:ilvl="7">
      <w:start w:val="0"/>
      <w:numFmt w:val="bullet"/>
      <w:lvlText w:val="•"/>
      <w:lvlJc w:val="left"/>
      <w:pPr>
        <w:ind w:left="8433" w:hanging="195"/>
      </w:pPr>
      <w:rPr>
        <w:rFonts w:hint="default"/>
        <w:lang w:val="fr-FR" w:eastAsia="en-US" w:bidi="ar-SA"/>
      </w:rPr>
    </w:lvl>
    <w:lvl w:ilvl="8">
      <w:start w:val="0"/>
      <w:numFmt w:val="bullet"/>
      <w:lvlText w:val="•"/>
      <w:lvlJc w:val="left"/>
      <w:pPr>
        <w:ind w:left="9449" w:hanging="195"/>
      </w:pPr>
      <w:rPr>
        <w:rFonts w:hint="default"/>
        <w:lang w:val="fr-FR" w:eastAsia="en-US" w:bidi="ar-SA"/>
      </w:rPr>
    </w:lvl>
  </w:abstractNum>
  <w:abstractNum w:abstractNumId="4">
    <w:multiLevelType w:val="hybridMultilevel"/>
    <w:lvl w:ilvl="0">
      <w:start w:val="5"/>
      <w:numFmt w:val="decimal"/>
      <w:lvlText w:val="%1"/>
      <w:lvlJc w:val="left"/>
      <w:pPr>
        <w:ind w:left="1707" w:hanging="353"/>
        <w:jc w:val="left"/>
      </w:pPr>
      <w:rPr>
        <w:rFonts w:hint="default"/>
        <w:lang w:val="fr-FR" w:eastAsia="en-US" w:bidi="ar-SA"/>
      </w:rPr>
    </w:lvl>
    <w:lvl w:ilvl="1">
      <w:start w:val="1"/>
      <w:numFmt w:val="decimal"/>
      <w:lvlText w:val="%1.%2."/>
      <w:lvlJc w:val="left"/>
      <w:pPr>
        <w:ind w:left="1707" w:hanging="353"/>
        <w:jc w:val="left"/>
      </w:pPr>
      <w:rPr>
        <w:rFonts w:hint="default" w:ascii="Arial Narrow" w:hAnsi="Arial Narrow" w:eastAsia="Arial Narrow" w:cs="Arial Narrow"/>
        <w:b w:val="0"/>
        <w:bCs w:val="0"/>
        <w:i w:val="0"/>
        <w:iCs w:val="0"/>
        <w:spacing w:val="0"/>
        <w:w w:val="100"/>
        <w:sz w:val="22"/>
        <w:szCs w:val="22"/>
        <w:lang w:val="fr-FR" w:eastAsia="en-US" w:bidi="ar-SA"/>
      </w:rPr>
    </w:lvl>
    <w:lvl w:ilvl="2">
      <w:start w:val="1"/>
      <w:numFmt w:val="decimal"/>
      <w:lvlText w:val="%1.%2.%3."/>
      <w:lvlJc w:val="left"/>
      <w:pPr>
        <w:ind w:left="2076" w:hanging="505"/>
        <w:jc w:val="left"/>
      </w:pPr>
      <w:rPr>
        <w:rFonts w:hint="default" w:ascii="Arial Narrow" w:hAnsi="Arial Narrow" w:eastAsia="Arial Narrow" w:cs="Arial Narrow"/>
        <w:b w:val="0"/>
        <w:bCs w:val="0"/>
        <w:i w:val="0"/>
        <w:iCs w:val="0"/>
        <w:spacing w:val="0"/>
        <w:w w:val="100"/>
        <w:sz w:val="22"/>
        <w:szCs w:val="22"/>
        <w:lang w:val="fr-FR" w:eastAsia="en-US" w:bidi="ar-SA"/>
      </w:rPr>
    </w:lvl>
    <w:lvl w:ilvl="3">
      <w:start w:val="0"/>
      <w:numFmt w:val="bullet"/>
      <w:lvlText w:val="•"/>
      <w:lvlJc w:val="left"/>
      <w:pPr>
        <w:ind w:left="4169" w:hanging="505"/>
      </w:pPr>
      <w:rPr>
        <w:rFonts w:hint="default"/>
        <w:lang w:val="fr-FR" w:eastAsia="en-US" w:bidi="ar-SA"/>
      </w:rPr>
    </w:lvl>
    <w:lvl w:ilvl="4">
      <w:start w:val="0"/>
      <w:numFmt w:val="bullet"/>
      <w:lvlText w:val="•"/>
      <w:lvlJc w:val="left"/>
      <w:pPr>
        <w:ind w:left="5214" w:hanging="505"/>
      </w:pPr>
      <w:rPr>
        <w:rFonts w:hint="default"/>
        <w:lang w:val="fr-FR" w:eastAsia="en-US" w:bidi="ar-SA"/>
      </w:rPr>
    </w:lvl>
    <w:lvl w:ilvl="5">
      <w:start w:val="0"/>
      <w:numFmt w:val="bullet"/>
      <w:lvlText w:val="•"/>
      <w:lvlJc w:val="left"/>
      <w:pPr>
        <w:ind w:left="6258" w:hanging="505"/>
      </w:pPr>
      <w:rPr>
        <w:rFonts w:hint="default"/>
        <w:lang w:val="fr-FR" w:eastAsia="en-US" w:bidi="ar-SA"/>
      </w:rPr>
    </w:lvl>
    <w:lvl w:ilvl="6">
      <w:start w:val="0"/>
      <w:numFmt w:val="bullet"/>
      <w:lvlText w:val="•"/>
      <w:lvlJc w:val="left"/>
      <w:pPr>
        <w:ind w:left="7303" w:hanging="505"/>
      </w:pPr>
      <w:rPr>
        <w:rFonts w:hint="default"/>
        <w:lang w:val="fr-FR" w:eastAsia="en-US" w:bidi="ar-SA"/>
      </w:rPr>
    </w:lvl>
    <w:lvl w:ilvl="7">
      <w:start w:val="0"/>
      <w:numFmt w:val="bullet"/>
      <w:lvlText w:val="•"/>
      <w:lvlJc w:val="left"/>
      <w:pPr>
        <w:ind w:left="8348" w:hanging="505"/>
      </w:pPr>
      <w:rPr>
        <w:rFonts w:hint="default"/>
        <w:lang w:val="fr-FR" w:eastAsia="en-US" w:bidi="ar-SA"/>
      </w:rPr>
    </w:lvl>
    <w:lvl w:ilvl="8">
      <w:start w:val="0"/>
      <w:numFmt w:val="bullet"/>
      <w:lvlText w:val="•"/>
      <w:lvlJc w:val="left"/>
      <w:pPr>
        <w:ind w:left="9392" w:hanging="505"/>
      </w:pPr>
      <w:rPr>
        <w:rFonts w:hint="default"/>
        <w:lang w:val="fr-FR" w:eastAsia="en-US" w:bidi="ar-SA"/>
      </w:rPr>
    </w:lvl>
  </w:abstractNum>
  <w:abstractNum w:abstractNumId="3">
    <w:multiLevelType w:val="hybridMultilevel"/>
    <w:lvl w:ilvl="0">
      <w:start w:val="3"/>
      <w:numFmt w:val="decimal"/>
      <w:lvlText w:val="%1"/>
      <w:lvlJc w:val="left"/>
      <w:pPr>
        <w:ind w:left="1707" w:hanging="353"/>
        <w:jc w:val="left"/>
      </w:pPr>
      <w:rPr>
        <w:rFonts w:hint="default"/>
        <w:lang w:val="fr-FR" w:eastAsia="en-US" w:bidi="ar-SA"/>
      </w:rPr>
    </w:lvl>
    <w:lvl w:ilvl="1">
      <w:start w:val="1"/>
      <w:numFmt w:val="decimal"/>
      <w:lvlText w:val="%1.%2."/>
      <w:lvlJc w:val="left"/>
      <w:pPr>
        <w:ind w:left="1707" w:hanging="353"/>
        <w:jc w:val="left"/>
      </w:pPr>
      <w:rPr>
        <w:rFonts w:hint="default" w:ascii="Arial Narrow" w:hAnsi="Arial Narrow" w:eastAsia="Arial Narrow" w:cs="Arial Narrow"/>
        <w:b w:val="0"/>
        <w:bCs w:val="0"/>
        <w:i w:val="0"/>
        <w:iCs w:val="0"/>
        <w:spacing w:val="0"/>
        <w:w w:val="100"/>
        <w:sz w:val="22"/>
        <w:szCs w:val="22"/>
        <w:lang w:val="fr-FR" w:eastAsia="en-US" w:bidi="ar-SA"/>
      </w:rPr>
    </w:lvl>
    <w:lvl w:ilvl="2">
      <w:start w:val="1"/>
      <w:numFmt w:val="decimal"/>
      <w:lvlText w:val="%1.%2.%3."/>
      <w:lvlJc w:val="left"/>
      <w:pPr>
        <w:ind w:left="2076" w:hanging="505"/>
        <w:jc w:val="left"/>
      </w:pPr>
      <w:rPr>
        <w:rFonts w:hint="default" w:ascii="Arial Narrow" w:hAnsi="Arial Narrow" w:eastAsia="Arial Narrow" w:cs="Arial Narrow"/>
        <w:b w:val="0"/>
        <w:bCs w:val="0"/>
        <w:i w:val="0"/>
        <w:iCs w:val="0"/>
        <w:spacing w:val="0"/>
        <w:w w:val="100"/>
        <w:sz w:val="22"/>
        <w:szCs w:val="22"/>
        <w:lang w:val="fr-FR" w:eastAsia="en-US" w:bidi="ar-SA"/>
      </w:rPr>
    </w:lvl>
    <w:lvl w:ilvl="3">
      <w:start w:val="0"/>
      <w:numFmt w:val="bullet"/>
      <w:lvlText w:val="•"/>
      <w:lvlJc w:val="left"/>
      <w:pPr>
        <w:ind w:left="3255" w:hanging="505"/>
      </w:pPr>
      <w:rPr>
        <w:rFonts w:hint="default"/>
        <w:lang w:val="fr-FR" w:eastAsia="en-US" w:bidi="ar-SA"/>
      </w:rPr>
    </w:lvl>
    <w:lvl w:ilvl="4">
      <w:start w:val="0"/>
      <w:numFmt w:val="bullet"/>
      <w:lvlText w:val="•"/>
      <w:lvlJc w:val="left"/>
      <w:pPr>
        <w:ind w:left="4430" w:hanging="505"/>
      </w:pPr>
      <w:rPr>
        <w:rFonts w:hint="default"/>
        <w:lang w:val="fr-FR" w:eastAsia="en-US" w:bidi="ar-SA"/>
      </w:rPr>
    </w:lvl>
    <w:lvl w:ilvl="5">
      <w:start w:val="0"/>
      <w:numFmt w:val="bullet"/>
      <w:lvlText w:val="•"/>
      <w:lvlJc w:val="left"/>
      <w:pPr>
        <w:ind w:left="5605" w:hanging="505"/>
      </w:pPr>
      <w:rPr>
        <w:rFonts w:hint="default"/>
        <w:lang w:val="fr-FR" w:eastAsia="en-US" w:bidi="ar-SA"/>
      </w:rPr>
    </w:lvl>
    <w:lvl w:ilvl="6">
      <w:start w:val="0"/>
      <w:numFmt w:val="bullet"/>
      <w:lvlText w:val="•"/>
      <w:lvlJc w:val="left"/>
      <w:pPr>
        <w:ind w:left="6781" w:hanging="505"/>
      </w:pPr>
      <w:rPr>
        <w:rFonts w:hint="default"/>
        <w:lang w:val="fr-FR" w:eastAsia="en-US" w:bidi="ar-SA"/>
      </w:rPr>
    </w:lvl>
    <w:lvl w:ilvl="7">
      <w:start w:val="0"/>
      <w:numFmt w:val="bullet"/>
      <w:lvlText w:val="•"/>
      <w:lvlJc w:val="left"/>
      <w:pPr>
        <w:ind w:left="7956" w:hanging="505"/>
      </w:pPr>
      <w:rPr>
        <w:rFonts w:hint="default"/>
        <w:lang w:val="fr-FR" w:eastAsia="en-US" w:bidi="ar-SA"/>
      </w:rPr>
    </w:lvl>
    <w:lvl w:ilvl="8">
      <w:start w:val="0"/>
      <w:numFmt w:val="bullet"/>
      <w:lvlText w:val="•"/>
      <w:lvlJc w:val="left"/>
      <w:pPr>
        <w:ind w:left="9131" w:hanging="505"/>
      </w:pPr>
      <w:rPr>
        <w:rFonts w:hint="default"/>
        <w:lang w:val="fr-FR" w:eastAsia="en-US" w:bidi="ar-SA"/>
      </w:rPr>
    </w:lvl>
  </w:abstractNum>
  <w:abstractNum w:abstractNumId="2">
    <w:multiLevelType w:val="hybridMultilevel"/>
    <w:lvl w:ilvl="0">
      <w:start w:val="2"/>
      <w:numFmt w:val="decimal"/>
      <w:lvlText w:val="%1"/>
      <w:lvlJc w:val="left"/>
      <w:pPr>
        <w:ind w:left="1706" w:hanging="353"/>
        <w:jc w:val="left"/>
      </w:pPr>
      <w:rPr>
        <w:rFonts w:hint="default"/>
        <w:lang w:val="fr-FR" w:eastAsia="en-US" w:bidi="ar-SA"/>
      </w:rPr>
    </w:lvl>
    <w:lvl w:ilvl="1">
      <w:start w:val="1"/>
      <w:numFmt w:val="decimal"/>
      <w:lvlText w:val="%1.%2."/>
      <w:lvlJc w:val="left"/>
      <w:pPr>
        <w:ind w:left="1706" w:hanging="353"/>
        <w:jc w:val="left"/>
      </w:pPr>
      <w:rPr>
        <w:rFonts w:hint="default" w:ascii="Arial Narrow" w:hAnsi="Arial Narrow" w:eastAsia="Arial Narrow" w:cs="Arial Narrow"/>
        <w:b w:val="0"/>
        <w:bCs w:val="0"/>
        <w:i w:val="0"/>
        <w:iCs w:val="0"/>
        <w:spacing w:val="0"/>
        <w:w w:val="100"/>
        <w:sz w:val="22"/>
        <w:szCs w:val="22"/>
        <w:lang w:val="fr-FR" w:eastAsia="en-US" w:bidi="ar-SA"/>
      </w:rPr>
    </w:lvl>
    <w:lvl w:ilvl="2">
      <w:start w:val="0"/>
      <w:numFmt w:val="bullet"/>
      <w:lvlText w:val="•"/>
      <w:lvlJc w:val="left"/>
      <w:pPr>
        <w:ind w:left="3656" w:hanging="353"/>
      </w:pPr>
      <w:rPr>
        <w:rFonts w:hint="default"/>
        <w:lang w:val="fr-FR" w:eastAsia="en-US" w:bidi="ar-SA"/>
      </w:rPr>
    </w:lvl>
    <w:lvl w:ilvl="3">
      <w:start w:val="0"/>
      <w:numFmt w:val="bullet"/>
      <w:lvlText w:val="•"/>
      <w:lvlJc w:val="left"/>
      <w:pPr>
        <w:ind w:left="4634" w:hanging="353"/>
      </w:pPr>
      <w:rPr>
        <w:rFonts w:hint="default"/>
        <w:lang w:val="fr-FR" w:eastAsia="en-US" w:bidi="ar-SA"/>
      </w:rPr>
    </w:lvl>
    <w:lvl w:ilvl="4">
      <w:start w:val="0"/>
      <w:numFmt w:val="bullet"/>
      <w:lvlText w:val="•"/>
      <w:lvlJc w:val="left"/>
      <w:pPr>
        <w:ind w:left="5612" w:hanging="353"/>
      </w:pPr>
      <w:rPr>
        <w:rFonts w:hint="default"/>
        <w:lang w:val="fr-FR" w:eastAsia="en-US" w:bidi="ar-SA"/>
      </w:rPr>
    </w:lvl>
    <w:lvl w:ilvl="5">
      <w:start w:val="0"/>
      <w:numFmt w:val="bullet"/>
      <w:lvlText w:val="•"/>
      <w:lvlJc w:val="left"/>
      <w:pPr>
        <w:ind w:left="6591" w:hanging="353"/>
      </w:pPr>
      <w:rPr>
        <w:rFonts w:hint="default"/>
        <w:lang w:val="fr-FR" w:eastAsia="en-US" w:bidi="ar-SA"/>
      </w:rPr>
    </w:lvl>
    <w:lvl w:ilvl="6">
      <w:start w:val="0"/>
      <w:numFmt w:val="bullet"/>
      <w:lvlText w:val="•"/>
      <w:lvlJc w:val="left"/>
      <w:pPr>
        <w:ind w:left="7569" w:hanging="353"/>
      </w:pPr>
      <w:rPr>
        <w:rFonts w:hint="default"/>
        <w:lang w:val="fr-FR" w:eastAsia="en-US" w:bidi="ar-SA"/>
      </w:rPr>
    </w:lvl>
    <w:lvl w:ilvl="7">
      <w:start w:val="0"/>
      <w:numFmt w:val="bullet"/>
      <w:lvlText w:val="•"/>
      <w:lvlJc w:val="left"/>
      <w:pPr>
        <w:ind w:left="8547" w:hanging="353"/>
      </w:pPr>
      <w:rPr>
        <w:rFonts w:hint="default"/>
        <w:lang w:val="fr-FR" w:eastAsia="en-US" w:bidi="ar-SA"/>
      </w:rPr>
    </w:lvl>
    <w:lvl w:ilvl="8">
      <w:start w:val="0"/>
      <w:numFmt w:val="bullet"/>
      <w:lvlText w:val="•"/>
      <w:lvlJc w:val="left"/>
      <w:pPr>
        <w:ind w:left="9525" w:hanging="353"/>
      </w:pPr>
      <w:rPr>
        <w:rFonts w:hint="default"/>
        <w:lang w:val="fr-FR" w:eastAsia="en-US" w:bidi="ar-SA"/>
      </w:rPr>
    </w:lvl>
  </w:abstractNum>
  <w:abstractNum w:abstractNumId="1">
    <w:multiLevelType w:val="hybridMultilevel"/>
    <w:lvl w:ilvl="0">
      <w:start w:val="1"/>
      <w:numFmt w:val="decimal"/>
      <w:lvlText w:val="%1"/>
      <w:lvlJc w:val="left"/>
      <w:pPr>
        <w:ind w:left="1706" w:hanging="353"/>
        <w:jc w:val="left"/>
      </w:pPr>
      <w:rPr>
        <w:rFonts w:hint="default"/>
        <w:lang w:val="fr-FR" w:eastAsia="en-US" w:bidi="ar-SA"/>
      </w:rPr>
    </w:lvl>
    <w:lvl w:ilvl="1">
      <w:start w:val="1"/>
      <w:numFmt w:val="decimal"/>
      <w:lvlText w:val="%1.%2."/>
      <w:lvlJc w:val="left"/>
      <w:pPr>
        <w:ind w:left="1706" w:hanging="353"/>
        <w:jc w:val="left"/>
      </w:pPr>
      <w:rPr>
        <w:rFonts w:hint="default" w:ascii="Arial Narrow" w:hAnsi="Arial Narrow" w:eastAsia="Arial Narrow" w:cs="Arial Narrow"/>
        <w:b w:val="0"/>
        <w:bCs w:val="0"/>
        <w:i w:val="0"/>
        <w:iCs w:val="0"/>
        <w:spacing w:val="0"/>
        <w:w w:val="100"/>
        <w:sz w:val="22"/>
        <w:szCs w:val="22"/>
        <w:lang w:val="fr-FR" w:eastAsia="en-US" w:bidi="ar-SA"/>
      </w:rPr>
    </w:lvl>
    <w:lvl w:ilvl="2">
      <w:start w:val="0"/>
      <w:numFmt w:val="bullet"/>
      <w:lvlText w:val="•"/>
      <w:lvlJc w:val="left"/>
      <w:pPr>
        <w:ind w:left="3656" w:hanging="353"/>
      </w:pPr>
      <w:rPr>
        <w:rFonts w:hint="default"/>
        <w:lang w:val="fr-FR" w:eastAsia="en-US" w:bidi="ar-SA"/>
      </w:rPr>
    </w:lvl>
    <w:lvl w:ilvl="3">
      <w:start w:val="0"/>
      <w:numFmt w:val="bullet"/>
      <w:lvlText w:val="•"/>
      <w:lvlJc w:val="left"/>
      <w:pPr>
        <w:ind w:left="4634" w:hanging="353"/>
      </w:pPr>
      <w:rPr>
        <w:rFonts w:hint="default"/>
        <w:lang w:val="fr-FR" w:eastAsia="en-US" w:bidi="ar-SA"/>
      </w:rPr>
    </w:lvl>
    <w:lvl w:ilvl="4">
      <w:start w:val="0"/>
      <w:numFmt w:val="bullet"/>
      <w:lvlText w:val="•"/>
      <w:lvlJc w:val="left"/>
      <w:pPr>
        <w:ind w:left="5612" w:hanging="353"/>
      </w:pPr>
      <w:rPr>
        <w:rFonts w:hint="default"/>
        <w:lang w:val="fr-FR" w:eastAsia="en-US" w:bidi="ar-SA"/>
      </w:rPr>
    </w:lvl>
    <w:lvl w:ilvl="5">
      <w:start w:val="0"/>
      <w:numFmt w:val="bullet"/>
      <w:lvlText w:val="•"/>
      <w:lvlJc w:val="left"/>
      <w:pPr>
        <w:ind w:left="6591" w:hanging="353"/>
      </w:pPr>
      <w:rPr>
        <w:rFonts w:hint="default"/>
        <w:lang w:val="fr-FR" w:eastAsia="en-US" w:bidi="ar-SA"/>
      </w:rPr>
    </w:lvl>
    <w:lvl w:ilvl="6">
      <w:start w:val="0"/>
      <w:numFmt w:val="bullet"/>
      <w:lvlText w:val="•"/>
      <w:lvlJc w:val="left"/>
      <w:pPr>
        <w:ind w:left="7569" w:hanging="353"/>
      </w:pPr>
      <w:rPr>
        <w:rFonts w:hint="default"/>
        <w:lang w:val="fr-FR" w:eastAsia="en-US" w:bidi="ar-SA"/>
      </w:rPr>
    </w:lvl>
    <w:lvl w:ilvl="7">
      <w:start w:val="0"/>
      <w:numFmt w:val="bullet"/>
      <w:lvlText w:val="•"/>
      <w:lvlJc w:val="left"/>
      <w:pPr>
        <w:ind w:left="8547" w:hanging="353"/>
      </w:pPr>
      <w:rPr>
        <w:rFonts w:hint="default"/>
        <w:lang w:val="fr-FR" w:eastAsia="en-US" w:bidi="ar-SA"/>
      </w:rPr>
    </w:lvl>
    <w:lvl w:ilvl="8">
      <w:start w:val="0"/>
      <w:numFmt w:val="bullet"/>
      <w:lvlText w:val="•"/>
      <w:lvlJc w:val="left"/>
      <w:pPr>
        <w:ind w:left="9525" w:hanging="353"/>
      </w:pPr>
      <w:rPr>
        <w:rFonts w:hint="default"/>
        <w:lang w:val="fr-FR" w:eastAsia="en-US" w:bidi="ar-SA"/>
      </w:rPr>
    </w:lvl>
  </w:abstractNum>
  <w:abstractNum w:abstractNumId="0">
    <w:multiLevelType w:val="hybridMultilevel"/>
    <w:lvl w:ilvl="0">
      <w:start w:val="1"/>
      <w:numFmt w:val="upperRoman"/>
      <w:lvlText w:val="%1."/>
      <w:lvlJc w:val="left"/>
      <w:pPr>
        <w:ind w:left="1284" w:hanging="152"/>
        <w:jc w:val="left"/>
      </w:pPr>
      <w:rPr>
        <w:rFonts w:hint="default" w:ascii="Arial Narrow" w:hAnsi="Arial Narrow" w:eastAsia="Arial Narrow" w:cs="Arial Narrow"/>
        <w:b w:val="0"/>
        <w:bCs w:val="0"/>
        <w:i w:val="0"/>
        <w:iCs w:val="0"/>
        <w:spacing w:val="0"/>
        <w:w w:val="100"/>
        <w:sz w:val="22"/>
        <w:szCs w:val="22"/>
        <w:lang w:val="fr-FR" w:eastAsia="en-US" w:bidi="ar-SA"/>
      </w:rPr>
    </w:lvl>
    <w:lvl w:ilvl="1">
      <w:start w:val="1"/>
      <w:numFmt w:val="decimal"/>
      <w:lvlText w:val="%2."/>
      <w:lvlJc w:val="left"/>
      <w:pPr>
        <w:ind w:left="1491" w:hanging="358"/>
        <w:jc w:val="left"/>
      </w:pPr>
      <w:rPr>
        <w:rFonts w:hint="default"/>
        <w:spacing w:val="0"/>
        <w:w w:val="100"/>
        <w:lang w:val="fr-FR" w:eastAsia="en-US" w:bidi="ar-SA"/>
      </w:rPr>
    </w:lvl>
    <w:lvl w:ilvl="2">
      <w:start w:val="0"/>
      <w:numFmt w:val="bullet"/>
      <w:lvlText w:val=""/>
      <w:lvlJc w:val="left"/>
      <w:pPr>
        <w:ind w:left="2393" w:hanging="360"/>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2400" w:hanging="360"/>
      </w:pPr>
      <w:rPr>
        <w:rFonts w:hint="default"/>
        <w:lang w:val="fr-FR" w:eastAsia="en-US" w:bidi="ar-SA"/>
      </w:rPr>
    </w:lvl>
    <w:lvl w:ilvl="4">
      <w:start w:val="0"/>
      <w:numFmt w:val="bullet"/>
      <w:lvlText w:val="•"/>
      <w:lvlJc w:val="left"/>
      <w:pPr>
        <w:ind w:left="3697" w:hanging="360"/>
      </w:pPr>
      <w:rPr>
        <w:rFonts w:hint="default"/>
        <w:lang w:val="fr-FR" w:eastAsia="en-US" w:bidi="ar-SA"/>
      </w:rPr>
    </w:lvl>
    <w:lvl w:ilvl="5">
      <w:start w:val="0"/>
      <w:numFmt w:val="bullet"/>
      <w:lvlText w:val="•"/>
      <w:lvlJc w:val="left"/>
      <w:pPr>
        <w:ind w:left="4994" w:hanging="360"/>
      </w:pPr>
      <w:rPr>
        <w:rFonts w:hint="default"/>
        <w:lang w:val="fr-FR" w:eastAsia="en-US" w:bidi="ar-SA"/>
      </w:rPr>
    </w:lvl>
    <w:lvl w:ilvl="6">
      <w:start w:val="0"/>
      <w:numFmt w:val="bullet"/>
      <w:lvlText w:val="•"/>
      <w:lvlJc w:val="left"/>
      <w:pPr>
        <w:ind w:left="6292" w:hanging="360"/>
      </w:pPr>
      <w:rPr>
        <w:rFonts w:hint="default"/>
        <w:lang w:val="fr-FR" w:eastAsia="en-US" w:bidi="ar-SA"/>
      </w:rPr>
    </w:lvl>
    <w:lvl w:ilvl="7">
      <w:start w:val="0"/>
      <w:numFmt w:val="bullet"/>
      <w:lvlText w:val="•"/>
      <w:lvlJc w:val="left"/>
      <w:pPr>
        <w:ind w:left="7589" w:hanging="360"/>
      </w:pPr>
      <w:rPr>
        <w:rFonts w:hint="default"/>
        <w:lang w:val="fr-FR" w:eastAsia="en-US" w:bidi="ar-SA"/>
      </w:rPr>
    </w:lvl>
    <w:lvl w:ilvl="8">
      <w:start w:val="0"/>
      <w:numFmt w:val="bullet"/>
      <w:lvlText w:val="•"/>
      <w:lvlJc w:val="left"/>
      <w:pPr>
        <w:ind w:left="8887" w:hanging="360"/>
      </w:pPr>
      <w:rPr>
        <w:rFonts w:hint="default"/>
        <w:lang w:val="fr-FR"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Narrow" w:hAnsi="Arial Narrow" w:eastAsia="Arial Narrow" w:cs="Arial Narrow"/>
      <w:lang w:val="fr-FR" w:eastAsia="en-US" w:bidi="ar-SA"/>
    </w:rPr>
  </w:style>
  <w:style w:styleId="TOC1" w:type="paragraph">
    <w:name w:val="TOC 1"/>
    <w:basedOn w:val="Normal"/>
    <w:uiPriority w:val="1"/>
    <w:qFormat/>
    <w:pPr>
      <w:spacing w:before="120"/>
      <w:ind w:left="1133"/>
    </w:pPr>
    <w:rPr>
      <w:rFonts w:ascii="Arial Narrow" w:hAnsi="Arial Narrow" w:eastAsia="Arial Narrow" w:cs="Arial Narrow"/>
      <w:sz w:val="22"/>
      <w:szCs w:val="22"/>
      <w:lang w:val="fr-FR" w:eastAsia="en-US" w:bidi="ar-SA"/>
    </w:rPr>
  </w:style>
  <w:style w:styleId="TOC2" w:type="paragraph">
    <w:name w:val="TOC 2"/>
    <w:basedOn w:val="Normal"/>
    <w:uiPriority w:val="1"/>
    <w:qFormat/>
    <w:pPr>
      <w:spacing w:before="120"/>
      <w:ind w:left="1706" w:hanging="352"/>
    </w:pPr>
    <w:rPr>
      <w:rFonts w:ascii="Arial Narrow" w:hAnsi="Arial Narrow" w:eastAsia="Arial Narrow" w:cs="Arial Narrow"/>
      <w:sz w:val="22"/>
      <w:szCs w:val="22"/>
      <w:lang w:val="fr-FR" w:eastAsia="en-US" w:bidi="ar-SA"/>
    </w:rPr>
  </w:style>
  <w:style w:styleId="TOC3" w:type="paragraph">
    <w:name w:val="TOC 3"/>
    <w:basedOn w:val="Normal"/>
    <w:uiPriority w:val="1"/>
    <w:qFormat/>
    <w:pPr>
      <w:spacing w:before="119"/>
      <w:ind w:left="2075" w:hanging="503"/>
    </w:pPr>
    <w:rPr>
      <w:rFonts w:ascii="Arial Narrow" w:hAnsi="Arial Narrow" w:eastAsia="Arial Narrow" w:cs="Arial Narrow"/>
      <w:sz w:val="22"/>
      <w:szCs w:val="22"/>
      <w:lang w:val="fr-FR" w:eastAsia="en-US" w:bidi="ar-SA"/>
    </w:rPr>
  </w:style>
  <w:style w:styleId="BodyText" w:type="paragraph">
    <w:name w:val="Body Text"/>
    <w:basedOn w:val="Normal"/>
    <w:uiPriority w:val="1"/>
    <w:qFormat/>
    <w:pPr>
      <w:spacing w:before="183"/>
      <w:ind w:left="1493" w:hanging="360"/>
      <w:jc w:val="both"/>
    </w:pPr>
    <w:rPr>
      <w:rFonts w:ascii="Arial Narrow" w:hAnsi="Arial Narrow" w:eastAsia="Arial Narrow" w:cs="Arial Narrow"/>
      <w:sz w:val="24"/>
      <w:szCs w:val="24"/>
      <w:lang w:val="fr-FR" w:eastAsia="en-US" w:bidi="ar-SA"/>
    </w:rPr>
  </w:style>
  <w:style w:styleId="Heading1" w:type="paragraph">
    <w:name w:val="Heading 1"/>
    <w:basedOn w:val="Normal"/>
    <w:uiPriority w:val="1"/>
    <w:qFormat/>
    <w:pPr>
      <w:ind w:left="1133"/>
      <w:outlineLvl w:val="1"/>
    </w:pPr>
    <w:rPr>
      <w:rFonts w:ascii="Arial Narrow" w:hAnsi="Arial Narrow" w:eastAsia="Arial Narrow" w:cs="Arial Narrow"/>
      <w:b/>
      <w:bCs/>
      <w:sz w:val="28"/>
      <w:szCs w:val="28"/>
      <w:lang w:val="fr-FR" w:eastAsia="en-US" w:bidi="ar-SA"/>
    </w:rPr>
  </w:style>
  <w:style w:styleId="Heading2" w:type="paragraph">
    <w:name w:val="Heading 2"/>
    <w:basedOn w:val="Normal"/>
    <w:uiPriority w:val="1"/>
    <w:qFormat/>
    <w:pPr>
      <w:spacing w:before="183"/>
      <w:ind w:left="1547" w:hanging="414"/>
      <w:outlineLvl w:val="2"/>
    </w:pPr>
    <w:rPr>
      <w:rFonts w:ascii="Arial Narrow" w:hAnsi="Arial Narrow" w:eastAsia="Arial Narrow" w:cs="Arial Narrow"/>
      <w:b/>
      <w:bCs/>
      <w:sz w:val="26"/>
      <w:szCs w:val="26"/>
      <w:lang w:val="fr-FR" w:eastAsia="en-US" w:bidi="ar-SA"/>
    </w:rPr>
  </w:style>
  <w:style w:styleId="Heading3" w:type="paragraph">
    <w:name w:val="Heading 3"/>
    <w:basedOn w:val="Normal"/>
    <w:uiPriority w:val="1"/>
    <w:qFormat/>
    <w:pPr>
      <w:spacing w:before="184"/>
      <w:ind w:left="1635"/>
      <w:outlineLvl w:val="3"/>
    </w:pPr>
    <w:rPr>
      <w:rFonts w:ascii="Arial Narrow" w:hAnsi="Arial Narrow" w:eastAsia="Arial Narrow" w:cs="Arial Narrow"/>
      <w:b/>
      <w:bCs/>
      <w:sz w:val="24"/>
      <w:szCs w:val="24"/>
      <w:lang w:val="fr-FR" w:eastAsia="en-US" w:bidi="ar-SA"/>
    </w:rPr>
  </w:style>
  <w:style w:styleId="ListParagraph" w:type="paragraph">
    <w:name w:val="List Paragraph"/>
    <w:basedOn w:val="Normal"/>
    <w:uiPriority w:val="1"/>
    <w:qFormat/>
    <w:pPr>
      <w:spacing w:before="183"/>
      <w:ind w:left="1493" w:hanging="360"/>
      <w:jc w:val="both"/>
    </w:pPr>
    <w:rPr>
      <w:rFonts w:ascii="Arial Narrow" w:hAnsi="Arial Narrow" w:eastAsia="Arial Narrow" w:cs="Arial Narrow"/>
      <w:lang w:val="fr-FR" w:eastAsia="en-US" w:bidi="ar-SA"/>
    </w:rPr>
  </w:style>
  <w:style w:styleId="TableParagraph" w:type="paragraph">
    <w:name w:val="Table Paragraph"/>
    <w:basedOn w:val="Normal"/>
    <w:uiPriority w:val="1"/>
    <w:qFormat/>
    <w:pPr/>
    <w:rPr>
      <w:rFonts w:ascii="Arial Narrow" w:hAnsi="Arial Narrow" w:eastAsia="Arial Narrow" w:cs="Arial Narrow"/>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SYNTHESE DES DOCUMENTS DE LA VISION MALI 2063 ET DE LA STRATEGIE NATIONALE DE DEVELLOPPEMENT DU MALI</dc:title>
  <dcterms:created xsi:type="dcterms:W3CDTF">2026-03-11T06:40:44Z</dcterms:created>
  <dcterms:modified xsi:type="dcterms:W3CDTF">2026-03-11T06:40:44Z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Creator">
    <vt:lpwstr>Microsoft® Word pour Microsoft 365</vt:lpwstr>
  </property>
  <property fmtid="{D5CDD505-2E9C-101B-9397-08002B2CF9AE}" pid="4" name="LastSaved">
    <vt:filetime>2026-03-11T00:00:00Z</vt:filetime>
  </property>
  <property fmtid="{D5CDD505-2E9C-101B-9397-08002B2CF9AE}" pid="5" name="Producer">
    <vt:lpwstr>3-Heights(TM) PDF Security Shell 4.8.25.2 (http://www.pdf-tools.com)</vt:lpwstr>
  </property>
</Properties>
</file>