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3569" w14:textId="77777777" w:rsidR="004F0DF6" w:rsidRPr="009B0B5A" w:rsidRDefault="004F0DF6" w:rsidP="00791CDD">
      <w:pPr>
        <w:spacing w:line="480" w:lineRule="auto"/>
        <w:jc w:val="both"/>
        <w:rPr>
          <w:b/>
          <w:bCs/>
          <w:sz w:val="28"/>
          <w:szCs w:val="28"/>
          <w:lang w:val="da-DK"/>
        </w:rPr>
      </w:pPr>
      <w:r w:rsidRPr="009B0B5A">
        <w:rPr>
          <w:b/>
          <w:bCs/>
          <w:sz w:val="28"/>
          <w:szCs w:val="28"/>
          <w:lang w:val="da-DK"/>
        </w:rPr>
        <w:t xml:space="preserve">1. </w:t>
      </w:r>
      <w:r w:rsidR="00791CDD" w:rsidRPr="009B0B5A">
        <w:rPr>
          <w:b/>
          <w:bCs/>
          <w:sz w:val="28"/>
          <w:szCs w:val="28"/>
          <w:lang w:val="da-DK"/>
        </w:rPr>
        <w:t>A Brief Introduction</w:t>
      </w:r>
      <w:r w:rsidRPr="009B0B5A">
        <w:rPr>
          <w:b/>
          <w:bCs/>
          <w:sz w:val="28"/>
          <w:szCs w:val="28"/>
          <w:lang w:val="da-DK"/>
        </w:rPr>
        <w:t xml:space="preserve"> </w:t>
      </w:r>
    </w:p>
    <w:p w14:paraId="4596E1EC" w14:textId="77777777" w:rsidR="004F0DF6" w:rsidRPr="009B0B5A" w:rsidRDefault="0079267E" w:rsidP="00375D57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9B0B5A">
        <w:t xml:space="preserve">For compressibility factor prediction, </w:t>
      </w:r>
      <w:r w:rsidR="0072763F" w:rsidRPr="009B0B5A">
        <w:t>based</w:t>
      </w:r>
      <w:r w:rsidR="004F0DF6" w:rsidRPr="009B0B5A">
        <w:t xml:space="preserve"> on M-factor theory, </w:t>
      </w:r>
      <w:r w:rsidR="0072763F" w:rsidRPr="009B0B5A">
        <w:t xml:space="preserve">recently </w:t>
      </w:r>
      <w:r w:rsidR="004F0DF6" w:rsidRPr="009B0B5A">
        <w:t xml:space="preserve">Mohammadikhah et al. </w:t>
      </w:r>
      <w:r w:rsidR="004A3B8E" w:rsidRPr="009B0B5A">
        <w:t>[</w:t>
      </w:r>
      <w:r w:rsidR="00B77E64" w:rsidRPr="009B0B5A">
        <w:rPr>
          <w:b/>
          <w:bCs/>
        </w:rPr>
        <w:t>1</w:t>
      </w:r>
      <w:r w:rsidR="004A3B8E" w:rsidRPr="009B0B5A">
        <w:t>]</w:t>
      </w:r>
      <w:r w:rsidR="004F0DF6" w:rsidRPr="009B0B5A">
        <w:t xml:space="preserve"> </w:t>
      </w:r>
      <w:r w:rsidR="0072763F" w:rsidRPr="009B0B5A">
        <w:t xml:space="preserve">have </w:t>
      </w:r>
      <w:r w:rsidR="004F0DF6" w:rsidRPr="009B0B5A">
        <w:t>present</w:t>
      </w:r>
      <w:r w:rsidR="004A3B8E" w:rsidRPr="009B0B5A">
        <w:t>ed</w:t>
      </w:r>
      <w:r w:rsidR="004F0DF6" w:rsidRPr="009B0B5A">
        <w:t xml:space="preserve"> a new piecewise </w:t>
      </w:r>
      <w:r w:rsidR="006D3514" w:rsidRPr="009B0B5A">
        <w:t>equation of state (</w:t>
      </w:r>
      <w:r w:rsidR="004F0DF6" w:rsidRPr="009B0B5A">
        <w:t>EOS</w:t>
      </w:r>
      <w:r w:rsidR="006D3514" w:rsidRPr="009B0B5A">
        <w:t>)</w:t>
      </w:r>
      <w:r w:rsidR="0072763F" w:rsidRPr="009B0B5A">
        <w:t xml:space="preserve">. Following </w:t>
      </w:r>
      <w:r w:rsidR="004F0DF6" w:rsidRPr="009B0B5A">
        <w:t xml:space="preserve">this EOS, Jafari Nejad et al. </w:t>
      </w:r>
      <w:r w:rsidR="004A3B8E" w:rsidRPr="009B0B5A">
        <w:t>[</w:t>
      </w:r>
      <w:r w:rsidR="00B77E64" w:rsidRPr="009B0B5A">
        <w:rPr>
          <w:b/>
          <w:bCs/>
        </w:rPr>
        <w:t>2</w:t>
      </w:r>
      <w:r w:rsidR="004A3B8E" w:rsidRPr="009B0B5A">
        <w:t>]</w:t>
      </w:r>
      <w:r w:rsidR="004F0DF6" w:rsidRPr="009B0B5A">
        <w:t xml:space="preserve"> </w:t>
      </w:r>
      <w:r w:rsidR="0072763F" w:rsidRPr="009B0B5A">
        <w:t xml:space="preserve">have </w:t>
      </w:r>
      <w:r w:rsidR="004F0DF6" w:rsidRPr="009B0B5A">
        <w:t>develop</w:t>
      </w:r>
      <w:r w:rsidR="004A3B8E" w:rsidRPr="009B0B5A">
        <w:t>ed</w:t>
      </w:r>
      <w:r w:rsidR="004F0DF6" w:rsidRPr="009B0B5A">
        <w:t xml:space="preserve"> </w:t>
      </w:r>
      <w:r w:rsidR="0072763F" w:rsidRPr="009B0B5A">
        <w:t xml:space="preserve">a novel </w:t>
      </w:r>
      <w:r w:rsidR="004F0DF6" w:rsidRPr="009B0B5A">
        <w:t>EOS for the special case of T</w:t>
      </w:r>
      <w:r w:rsidR="004F0DF6" w:rsidRPr="009B0B5A">
        <w:rPr>
          <w:vertAlign w:val="subscript"/>
        </w:rPr>
        <w:t>r</w:t>
      </w:r>
      <w:r w:rsidR="004F0DF6" w:rsidRPr="009B0B5A">
        <w:t xml:space="preserve">&lt;1.1 together with a specialized mixing rule, as the classical mixing rules can never be applied for predicting the compressibility factor under special conditions. </w:t>
      </w:r>
      <w:r w:rsidR="00AE4E70" w:rsidRPr="009B0B5A">
        <w:t>T</w:t>
      </w:r>
      <w:r w:rsidR="004F0DF6" w:rsidRPr="009B0B5A">
        <w:t>he S</w:t>
      </w:r>
      <w:r w:rsidR="004F0DF6" w:rsidRPr="009B0B5A">
        <w:rPr>
          <w:vertAlign w:val="subscript"/>
        </w:rPr>
        <w:t>ij</w:t>
      </w:r>
      <w:r w:rsidR="0072763F" w:rsidRPr="009B0B5A">
        <w:t xml:space="preserve"> in </w:t>
      </w:r>
      <w:r w:rsidR="001A1535" w:rsidRPr="009B0B5A">
        <w:rPr>
          <w:b/>
          <w:bCs/>
        </w:rPr>
        <w:t>Eq. 1</w:t>
      </w:r>
      <w:r w:rsidR="0072763F" w:rsidRPr="009B0B5A">
        <w:rPr>
          <w:b/>
          <w:bCs/>
        </w:rPr>
        <w:t xml:space="preserve"> </w:t>
      </w:r>
      <w:r w:rsidR="0072763F" w:rsidRPr="009B0B5A">
        <w:t>(</w:t>
      </w:r>
      <w:r w:rsidR="00D52DE5" w:rsidRPr="009B0B5A">
        <w:t xml:space="preserve">for detailed </w:t>
      </w:r>
      <w:r w:rsidR="0072763F" w:rsidRPr="009B0B5A">
        <w:t xml:space="preserve">development of the </w:t>
      </w:r>
      <w:r w:rsidR="00D52DE5" w:rsidRPr="009B0B5A">
        <w:t>Equations refer to [</w:t>
      </w:r>
      <w:r w:rsidR="00D52DE5" w:rsidRPr="009B0B5A">
        <w:rPr>
          <w:b/>
          <w:bCs/>
        </w:rPr>
        <w:t>2</w:t>
      </w:r>
      <w:r w:rsidR="00D52DE5" w:rsidRPr="009B0B5A">
        <w:t>]</w:t>
      </w:r>
      <w:r w:rsidR="001A1535" w:rsidRPr="009B0B5A">
        <w:t>)</w:t>
      </w:r>
      <w:r w:rsidR="00A371B7" w:rsidRPr="009B0B5A">
        <w:t xml:space="preserve">, </w:t>
      </w:r>
      <w:r w:rsidR="00CE3E45" w:rsidRPr="009B0B5A">
        <w:t xml:space="preserve">is </w:t>
      </w:r>
      <w:r w:rsidR="00A371B7" w:rsidRPr="009B0B5A">
        <w:t>the</w:t>
      </w:r>
      <w:r w:rsidR="004F0DF6" w:rsidRPr="009B0B5A">
        <w:t xml:space="preserve"> </w:t>
      </w:r>
      <w:r w:rsidR="00AE4E70" w:rsidRPr="009B0B5A">
        <w:t>special</w:t>
      </w:r>
      <w:r w:rsidR="004F0DF6" w:rsidRPr="009B0B5A">
        <w:t xml:space="preserve"> parameter of the</w:t>
      </w:r>
      <w:r w:rsidR="00CE3E45" w:rsidRPr="009B0B5A">
        <w:t xml:space="preserve"> new EOS, which </w:t>
      </w:r>
      <w:r w:rsidR="00DB5570" w:rsidRPr="009B0B5A">
        <w:t xml:space="preserve">appeared in </w:t>
      </w:r>
      <w:r w:rsidR="003D6E19" w:rsidRPr="009B0B5A">
        <w:t xml:space="preserve">Eq. </w:t>
      </w:r>
      <w:r w:rsidR="00DB5570" w:rsidRPr="009B0B5A">
        <w:t>43</w:t>
      </w:r>
      <w:r w:rsidR="00104EF4" w:rsidRPr="009B0B5A">
        <w:t xml:space="preserve"> of</w:t>
      </w:r>
      <w:r w:rsidR="00CE3E45" w:rsidRPr="009B0B5A">
        <w:t xml:space="preserve"> Ref.</w:t>
      </w:r>
      <w:r w:rsidR="00104EF4" w:rsidRPr="009B0B5A">
        <w:t xml:space="preserve"> [</w:t>
      </w:r>
      <w:r w:rsidR="00104EF4" w:rsidRPr="009B0B5A">
        <w:rPr>
          <w:b/>
          <w:bCs/>
        </w:rPr>
        <w:t>2</w:t>
      </w:r>
      <w:proofErr w:type="gramStart"/>
      <w:r w:rsidR="00104EF4" w:rsidRPr="009B0B5A">
        <w:t>]</w:t>
      </w:r>
      <w:r w:rsidR="003D6E19" w:rsidRPr="009B0B5A">
        <w:t xml:space="preserve">, </w:t>
      </w:r>
      <w:r w:rsidR="00CE3E45" w:rsidRPr="009B0B5A">
        <w:t xml:space="preserve"> and</w:t>
      </w:r>
      <w:proofErr w:type="gramEnd"/>
      <w:r w:rsidR="00CE3E45" w:rsidRPr="009B0B5A">
        <w:t xml:space="preserve"> </w:t>
      </w:r>
      <w:r w:rsidR="00AE4E70" w:rsidRPr="009B0B5A">
        <w:t xml:space="preserve">must be </w:t>
      </w:r>
      <w:r w:rsidR="004948A8" w:rsidRPr="009B0B5A">
        <w:t xml:space="preserve">estimated till the </w:t>
      </w:r>
      <w:r w:rsidR="00AE4E70" w:rsidRPr="009B0B5A">
        <w:t>optim</w:t>
      </w:r>
      <w:r w:rsidR="004948A8" w:rsidRPr="009B0B5A">
        <w:t>um value (</w:t>
      </w:r>
      <w:r w:rsidR="00AD5A82" w:rsidRPr="009B0B5A">
        <w:t xml:space="preserve">often </w:t>
      </w:r>
      <w:r w:rsidR="004948A8" w:rsidRPr="009B0B5A">
        <w:t>with some</w:t>
      </w:r>
      <w:r w:rsidR="00AD5A82" w:rsidRPr="009B0B5A">
        <w:t xml:space="preserve"> large</w:t>
      </w:r>
      <w:r w:rsidR="004948A8" w:rsidRPr="009B0B5A">
        <w:t xml:space="preserve"> errors) obtained</w:t>
      </w:r>
      <w:r w:rsidR="00104EF4" w:rsidRPr="009B0B5A">
        <w:t xml:space="preserve"> which requires high computation time and </w:t>
      </w:r>
      <w:r w:rsidR="005C7E0F" w:rsidRPr="009B0B5A">
        <w:t>attempts</w:t>
      </w:r>
      <w:r w:rsidR="004948A8" w:rsidRPr="009B0B5A">
        <w:t xml:space="preserve">. </w:t>
      </w:r>
      <w:r w:rsidR="00926C85" w:rsidRPr="009B0B5A">
        <w:t xml:space="preserve">As the studies on this novel model show great agreement with experimental </w:t>
      </w:r>
      <w:r w:rsidR="00375D57" w:rsidRPr="009B0B5A">
        <w:t>data</w:t>
      </w:r>
      <w:r w:rsidR="00926C85" w:rsidRPr="009B0B5A">
        <w:t>, thus it’s worthwhile to find a relationship for S</w:t>
      </w:r>
      <w:r w:rsidR="00926C85" w:rsidRPr="009B0B5A">
        <w:rPr>
          <w:vertAlign w:val="subscript"/>
        </w:rPr>
        <w:t>ij</w:t>
      </w:r>
      <w:r w:rsidR="00926C85" w:rsidRPr="009B0B5A">
        <w:t xml:space="preserve"> for a straightforward predictive model.</w:t>
      </w:r>
    </w:p>
    <w:p w14:paraId="48660056" w14:textId="77777777" w:rsidR="009214D3" w:rsidRPr="009B0B5A" w:rsidRDefault="00AE4E70" w:rsidP="00AE4E70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</w:pPr>
      <w:r w:rsidRPr="009B0B5A">
        <w:rPr>
          <w:position w:val="-102"/>
        </w:rPr>
        <w:object w:dxaOrig="8559" w:dyaOrig="2160" w14:anchorId="556C0B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108pt" o:ole="">
            <v:imagedata r:id="rId7" o:title=""/>
          </v:shape>
          <o:OLEObject Type="Embed" ProgID="Equation.DSMT4" ShapeID="_x0000_i1025" DrawAspect="Content" ObjectID="_1773904459" r:id="rId8"/>
        </w:object>
      </w:r>
    </w:p>
    <w:p w14:paraId="0C27C8C6" w14:textId="77777777" w:rsidR="004F0DF6" w:rsidRPr="009B0B5A" w:rsidRDefault="00010FAE" w:rsidP="00BA0586">
      <w:pPr>
        <w:autoSpaceDE w:val="0"/>
        <w:autoSpaceDN w:val="0"/>
        <w:adjustRightInd w:val="0"/>
        <w:spacing w:line="480" w:lineRule="auto"/>
        <w:ind w:firstLine="360"/>
        <w:jc w:val="both"/>
      </w:pPr>
      <w:r w:rsidRPr="009B0B5A">
        <w:t>Gathering</w:t>
      </w:r>
      <w:r w:rsidR="00B30391" w:rsidRPr="009B0B5A">
        <w:t xml:space="preserve"> thirty dyes solubility data in supercritical carbon dioxide, the model </w:t>
      </w:r>
      <w:proofErr w:type="gramStart"/>
      <w:r w:rsidR="00180D05" w:rsidRPr="009B0B5A">
        <w:t>were</w:t>
      </w:r>
      <w:proofErr w:type="gramEnd"/>
      <w:r w:rsidR="00995663" w:rsidRPr="009B0B5A">
        <w:t xml:space="preserve"> </w:t>
      </w:r>
      <w:r w:rsidR="00146F83" w:rsidRPr="009B0B5A">
        <w:t xml:space="preserve">analyzed and modified </w:t>
      </w:r>
      <w:r w:rsidR="00B30391" w:rsidRPr="009B0B5A">
        <w:t xml:space="preserve">critically. It’s </w:t>
      </w:r>
      <w:r w:rsidR="004F0DF6" w:rsidRPr="009B0B5A">
        <w:t>found that the S</w:t>
      </w:r>
      <w:r w:rsidR="004F0DF6" w:rsidRPr="009B0B5A">
        <w:rPr>
          <w:vertAlign w:val="subscript"/>
        </w:rPr>
        <w:t>ij</w:t>
      </w:r>
      <w:r w:rsidR="004F0DF6" w:rsidRPr="009B0B5A">
        <w:t xml:space="preserve"> </w:t>
      </w:r>
      <w:r w:rsidR="00625457" w:rsidRPr="009B0B5A">
        <w:t>can be expressed in as an explicit</w:t>
      </w:r>
      <w:r w:rsidR="004F0DF6" w:rsidRPr="009B0B5A">
        <w:t xml:space="preserve"> function of temperature and pressure</w:t>
      </w:r>
      <w:r w:rsidRPr="009B0B5A">
        <w:t xml:space="preserve"> of each solute</w:t>
      </w:r>
      <w:r w:rsidR="004F0DF6" w:rsidRPr="009B0B5A">
        <w:t xml:space="preserve">, thus two relations for </w:t>
      </w:r>
      <w:r w:rsidR="006735FA" w:rsidRPr="009B0B5A">
        <w:t xml:space="preserve">precise </w:t>
      </w:r>
      <w:r w:rsidR="004F0DF6" w:rsidRPr="009B0B5A">
        <w:t>estimation of S</w:t>
      </w:r>
      <w:r w:rsidR="004F0DF6" w:rsidRPr="009B0B5A">
        <w:rPr>
          <w:vertAlign w:val="subscript"/>
        </w:rPr>
        <w:t>ij</w:t>
      </w:r>
      <w:r w:rsidR="004F0DF6" w:rsidRPr="009B0B5A">
        <w:t xml:space="preserve"> </w:t>
      </w:r>
      <w:r w:rsidR="00B30391" w:rsidRPr="009B0B5A">
        <w:t xml:space="preserve">have </w:t>
      </w:r>
      <w:r w:rsidR="004F0DF6" w:rsidRPr="009B0B5A">
        <w:t>be</w:t>
      </w:r>
      <w:r w:rsidR="00B30391" w:rsidRPr="009B0B5A">
        <w:t>en</w:t>
      </w:r>
      <w:r w:rsidR="004F0DF6" w:rsidRPr="009B0B5A">
        <w:t xml:space="preserve"> present here: (</w:t>
      </w:r>
      <w:r w:rsidR="001F59AA" w:rsidRPr="009B0B5A">
        <w:rPr>
          <w:b/>
          <w:bCs/>
        </w:rPr>
        <w:t>I</w:t>
      </w:r>
      <w:r w:rsidR="004F0DF6" w:rsidRPr="009B0B5A">
        <w:t xml:space="preserve">) An empirical model which uses the experimental pressures (bar) and temperatures (K) of each solute (dye) </w:t>
      </w:r>
      <w:r w:rsidR="00BD04B3" w:rsidRPr="009B0B5A">
        <w:t>And</w:t>
      </w:r>
      <w:r w:rsidR="004F0DF6" w:rsidRPr="009B0B5A">
        <w:t xml:space="preserve"> (</w:t>
      </w:r>
      <w:r w:rsidR="001F59AA" w:rsidRPr="009B0B5A">
        <w:rPr>
          <w:b/>
          <w:bCs/>
        </w:rPr>
        <w:t>II</w:t>
      </w:r>
      <w:r w:rsidR="004F0DF6" w:rsidRPr="009B0B5A">
        <w:t xml:space="preserve">) </w:t>
      </w:r>
      <w:r w:rsidR="00BD04B3" w:rsidRPr="009B0B5A">
        <w:t>a</w:t>
      </w:r>
      <w:r w:rsidR="004F0DF6" w:rsidRPr="009B0B5A">
        <w:t xml:space="preserve"> general equation which use the critical properties </w:t>
      </w:r>
      <w:r w:rsidR="00797808" w:rsidRPr="009B0B5A">
        <w:t>i.e.</w:t>
      </w:r>
      <w:r w:rsidR="004F0DF6" w:rsidRPr="009B0B5A">
        <w:t xml:space="preserve"> reduced temperature and pressure of the dye to estimate the S</w:t>
      </w:r>
      <w:r w:rsidR="004F0DF6" w:rsidRPr="009B0B5A">
        <w:rPr>
          <w:vertAlign w:val="subscript"/>
        </w:rPr>
        <w:t>ij</w:t>
      </w:r>
      <w:r w:rsidR="004F0DF6" w:rsidRPr="009B0B5A">
        <w:t>.</w:t>
      </w:r>
      <w:r w:rsidR="00BA0586" w:rsidRPr="009B0B5A">
        <w:t xml:space="preserve"> It must be noted that for this parameter, we have</w:t>
      </w:r>
      <w:r w:rsidR="00BA0586" w:rsidRPr="009B0B5A">
        <w:rPr>
          <w:position w:val="-14"/>
        </w:rPr>
        <w:object w:dxaOrig="1100" w:dyaOrig="380" w14:anchorId="2CF3849F">
          <v:shape id="_x0000_i1026" type="#_x0000_t75" style="width:54.75pt;height:18.75pt" o:ole="">
            <v:imagedata r:id="rId9" o:title=""/>
          </v:shape>
          <o:OLEObject Type="Embed" ProgID="Equation.DSMT4" ShapeID="_x0000_i1026" DrawAspect="Content" ObjectID="_1773904460" r:id="rId10"/>
        </w:object>
      </w:r>
      <w:r w:rsidR="00BA0586" w:rsidRPr="009B0B5A">
        <w:t>.</w:t>
      </w:r>
    </w:p>
    <w:p w14:paraId="6D4E0C20" w14:textId="77777777" w:rsidR="004F0DF6" w:rsidRPr="009B0B5A" w:rsidRDefault="00A01E60" w:rsidP="00256B12">
      <w:pPr>
        <w:spacing w:line="480" w:lineRule="auto"/>
        <w:ind w:firstLine="720"/>
        <w:jc w:val="both"/>
      </w:pPr>
      <w:r w:rsidRPr="009B0B5A">
        <w:t>Without application of modifications presented in this work, the</w:t>
      </w:r>
      <w:r w:rsidR="004F0DF6" w:rsidRPr="009B0B5A">
        <w:t xml:space="preserve"> proposed EOS </w:t>
      </w:r>
      <w:r w:rsidR="00AD6FB2" w:rsidRPr="009B0B5A">
        <w:t>[</w:t>
      </w:r>
      <w:r w:rsidR="00AD6FB2" w:rsidRPr="009B0B5A">
        <w:rPr>
          <w:b/>
          <w:bCs/>
        </w:rPr>
        <w:t>2</w:t>
      </w:r>
      <w:r w:rsidR="00AD6FB2" w:rsidRPr="009B0B5A">
        <w:t xml:space="preserve">] </w:t>
      </w:r>
      <w:r w:rsidR="004F0DF6" w:rsidRPr="009B0B5A">
        <w:t>only can be used in isobaric condition</w:t>
      </w:r>
      <w:r w:rsidR="00956579" w:rsidRPr="009B0B5A">
        <w:t>s</w:t>
      </w:r>
      <w:r w:rsidR="00DE6F44" w:rsidRPr="009B0B5A">
        <w:t xml:space="preserve"> and </w:t>
      </w:r>
      <w:r w:rsidR="004F0DF6" w:rsidRPr="009B0B5A">
        <w:rPr>
          <w:u w:val="single"/>
        </w:rPr>
        <w:t>high errors will be encountered</w:t>
      </w:r>
      <w:r w:rsidR="00C16047" w:rsidRPr="009B0B5A">
        <w:t xml:space="preserve"> if one </w:t>
      </w:r>
      <w:r w:rsidR="00BA0586" w:rsidRPr="009B0B5A">
        <w:t>chooses</w:t>
      </w:r>
      <w:r w:rsidR="00C16047" w:rsidRPr="009B0B5A">
        <w:t xml:space="preserve"> </w:t>
      </w:r>
      <w:r w:rsidRPr="009B0B5A">
        <w:t>improper</w:t>
      </w:r>
      <w:r w:rsidR="00C16047" w:rsidRPr="009B0B5A">
        <w:t xml:space="preserve"> values for S</w:t>
      </w:r>
      <w:r w:rsidR="00C16047" w:rsidRPr="009B0B5A">
        <w:rPr>
          <w:vertAlign w:val="subscript"/>
        </w:rPr>
        <w:t>ij</w:t>
      </w:r>
      <w:r w:rsidR="004F0DF6" w:rsidRPr="009B0B5A">
        <w:t>.</w:t>
      </w:r>
      <w:r w:rsidR="00353C73" w:rsidRPr="009B0B5A">
        <w:t xml:space="preserve"> </w:t>
      </w:r>
      <w:r w:rsidR="00E159CF" w:rsidRPr="009B0B5A">
        <w:t xml:space="preserve">For example, in a previously study, some of the authors reported the results of </w:t>
      </w:r>
      <w:r w:rsidR="00E159CF" w:rsidRPr="009B0B5A">
        <w:lastRenderedPageBreak/>
        <w:t>application of this model to three systems (</w:t>
      </w:r>
      <w:r w:rsidR="00E159CF" w:rsidRPr="009B0B5A">
        <w:rPr>
          <w:color w:val="000000"/>
        </w:rPr>
        <w:t>D1, D2 and D3)</w:t>
      </w:r>
      <w:r w:rsidR="00315AA9" w:rsidRPr="009B0B5A">
        <w:rPr>
          <w:color w:val="000000"/>
        </w:rPr>
        <w:t xml:space="preserve"> [</w:t>
      </w:r>
      <w:r w:rsidR="00315AA9" w:rsidRPr="009B0B5A">
        <w:rPr>
          <w:b/>
          <w:bCs/>
          <w:color w:val="000000"/>
        </w:rPr>
        <w:t>24</w:t>
      </w:r>
      <w:r w:rsidR="00315AA9" w:rsidRPr="009B0B5A">
        <w:rPr>
          <w:color w:val="000000"/>
        </w:rPr>
        <w:t>]</w:t>
      </w:r>
      <w:r w:rsidR="00E159CF" w:rsidRPr="009B0B5A">
        <w:rPr>
          <w:color w:val="000000"/>
        </w:rPr>
        <w:t>.</w:t>
      </w:r>
      <w:r w:rsidR="00E25CC7" w:rsidRPr="009B0B5A">
        <w:rPr>
          <w:color w:val="000000"/>
        </w:rPr>
        <w:t xml:space="preserve"> It must be noted that the values for </w:t>
      </w:r>
      <w:r w:rsidR="00E25CC7" w:rsidRPr="009B0B5A">
        <w:t>S</w:t>
      </w:r>
      <w:r w:rsidR="00E25CC7" w:rsidRPr="009B0B5A">
        <w:rPr>
          <w:vertAlign w:val="subscript"/>
        </w:rPr>
        <w:t>ij</w:t>
      </w:r>
      <w:r w:rsidR="00E25CC7" w:rsidRPr="009B0B5A">
        <w:t xml:space="preserve"> in that work were an average of individual absolute values of S</w:t>
      </w:r>
      <w:r w:rsidR="00E25CC7" w:rsidRPr="009B0B5A">
        <w:rPr>
          <w:vertAlign w:val="subscript"/>
        </w:rPr>
        <w:t>ij</w:t>
      </w:r>
      <w:r w:rsidR="00256B12" w:rsidRPr="009B0B5A">
        <w:t xml:space="preserve"> in each temperature. Thus, here, we provide the precise assessment of the EOS and modify it to CMM EOS (The modified model is named CMM by authors, shortly). </w:t>
      </w:r>
      <w:r w:rsidRPr="009B0B5A">
        <w:t xml:space="preserve">While </w:t>
      </w:r>
      <w:r w:rsidR="00353C73" w:rsidRPr="009B0B5A">
        <w:t>using our modifications, the solubility prediction/correlation will be a straightforward calculation</w:t>
      </w:r>
      <w:r w:rsidR="00FB523F" w:rsidRPr="009B0B5A">
        <w:t xml:space="preserve"> using the available data of system under study.</w:t>
      </w:r>
      <w:r w:rsidR="000E17E3" w:rsidRPr="009B0B5A">
        <w:t xml:space="preserve"> </w:t>
      </w:r>
      <w:r w:rsidR="00546F29" w:rsidRPr="009B0B5A">
        <w:t>The CMM EOS, now, can be simply applied with highly accurate predictions. The current model is highly recommended.</w:t>
      </w:r>
    </w:p>
    <w:p w14:paraId="66340A4E" w14:textId="77777777" w:rsidR="00A833BE" w:rsidRPr="009B0B5A" w:rsidRDefault="00751E29" w:rsidP="00133A24">
      <w:pPr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 w:rsidRPr="009B0B5A">
        <w:rPr>
          <w:b/>
          <w:bCs/>
          <w:sz w:val="28"/>
          <w:szCs w:val="28"/>
        </w:rPr>
        <w:t>2</w:t>
      </w:r>
      <w:r w:rsidR="00A833BE" w:rsidRPr="009B0B5A">
        <w:rPr>
          <w:b/>
          <w:bCs/>
          <w:sz w:val="28"/>
          <w:szCs w:val="28"/>
        </w:rPr>
        <w:t xml:space="preserve">. </w:t>
      </w:r>
      <w:r w:rsidR="00133A24" w:rsidRPr="009B0B5A">
        <w:rPr>
          <w:b/>
          <w:bCs/>
          <w:sz w:val="28"/>
          <w:szCs w:val="28"/>
        </w:rPr>
        <w:t xml:space="preserve">Calculation </w:t>
      </w:r>
      <w:r w:rsidR="00A833BE" w:rsidRPr="009B0B5A">
        <w:rPr>
          <w:b/>
          <w:bCs/>
          <w:sz w:val="28"/>
          <w:szCs w:val="28"/>
        </w:rPr>
        <w:t>Methods</w:t>
      </w:r>
    </w:p>
    <w:p w14:paraId="757C34B7" w14:textId="77777777" w:rsidR="00294A49" w:rsidRPr="009B0B5A" w:rsidRDefault="00A833BE" w:rsidP="00294A49">
      <w:pPr>
        <w:autoSpaceDE w:val="0"/>
        <w:autoSpaceDN w:val="0"/>
        <w:adjustRightInd w:val="0"/>
        <w:spacing w:line="480" w:lineRule="auto"/>
        <w:ind w:firstLine="360"/>
        <w:jc w:val="both"/>
      </w:pPr>
      <w:r w:rsidRPr="009B0B5A">
        <w:t>The available solubility data (in mole fraction) of compounds</w:t>
      </w:r>
      <w:r w:rsidR="00B31E4E" w:rsidRPr="009B0B5A">
        <w:t xml:space="preserve"> (dyes)</w:t>
      </w:r>
      <w:r w:rsidRPr="009B0B5A">
        <w:t xml:space="preserve"> have been collected from the </w:t>
      </w:r>
      <w:r w:rsidR="00942FF9" w:rsidRPr="009B0B5A">
        <w:t>literatures which are</w:t>
      </w:r>
      <w:r w:rsidR="00B75397" w:rsidRPr="009B0B5A">
        <w:t xml:space="preserve"> listed in </w:t>
      </w:r>
      <w:r w:rsidR="00072AC5" w:rsidRPr="009B0B5A">
        <w:rPr>
          <w:b/>
          <w:bCs/>
        </w:rPr>
        <w:t>Table 1</w:t>
      </w:r>
      <w:r w:rsidR="003B563D" w:rsidRPr="009B0B5A">
        <w:t xml:space="preserve"> [</w:t>
      </w:r>
      <w:r w:rsidR="00AA2AFC" w:rsidRPr="009B0B5A">
        <w:rPr>
          <w:b/>
          <w:bCs/>
        </w:rPr>
        <w:t>3</w:t>
      </w:r>
      <w:r w:rsidR="003B563D" w:rsidRPr="009B0B5A">
        <w:rPr>
          <w:b/>
          <w:bCs/>
        </w:rPr>
        <w:t>-</w:t>
      </w:r>
      <w:r w:rsidR="00AA2AFC" w:rsidRPr="009B0B5A">
        <w:rPr>
          <w:b/>
          <w:bCs/>
        </w:rPr>
        <w:t>21</w:t>
      </w:r>
      <w:r w:rsidR="003B563D" w:rsidRPr="009B0B5A">
        <w:t>]</w:t>
      </w:r>
      <w:r w:rsidRPr="009B0B5A">
        <w:t>.</w:t>
      </w:r>
      <w:r w:rsidR="003C605E" w:rsidRPr="009B0B5A">
        <w:t xml:space="preserve"> </w:t>
      </w:r>
      <w:proofErr w:type="gramStart"/>
      <w:r w:rsidR="008A30BC" w:rsidRPr="009B0B5A">
        <w:t>In order to</w:t>
      </w:r>
      <w:proofErr w:type="gramEnd"/>
      <w:r w:rsidR="008A30BC" w:rsidRPr="009B0B5A">
        <w:t xml:space="preserve"> f</w:t>
      </w:r>
      <w:r w:rsidR="00435F72" w:rsidRPr="009B0B5A">
        <w:t xml:space="preserve">ind the best optimum values of the special </w:t>
      </w:r>
      <w:r w:rsidR="008A30BC" w:rsidRPr="009B0B5A">
        <w:t>parameter of the model (</w:t>
      </w:r>
      <w:r w:rsidR="00011836" w:rsidRPr="009B0B5A">
        <w:t>S</w:t>
      </w:r>
      <w:r w:rsidR="008A30BC" w:rsidRPr="009B0B5A">
        <w:rPr>
          <w:vertAlign w:val="subscript"/>
        </w:rPr>
        <w:t>12</w:t>
      </w:r>
      <w:r w:rsidR="008A30BC" w:rsidRPr="009B0B5A">
        <w:t>) and the Peng-Robinson EOS</w:t>
      </w:r>
      <w:r w:rsidR="0063585F" w:rsidRPr="009B0B5A">
        <w:t xml:space="preserve"> </w:t>
      </w:r>
      <w:r w:rsidR="0089679D" w:rsidRPr="009B0B5A">
        <w:t>[</w:t>
      </w:r>
      <w:r w:rsidR="003A1021" w:rsidRPr="009B0B5A">
        <w:rPr>
          <w:b/>
          <w:bCs/>
        </w:rPr>
        <w:t>22</w:t>
      </w:r>
      <w:r w:rsidR="0089679D" w:rsidRPr="009B0B5A">
        <w:t xml:space="preserve">] </w:t>
      </w:r>
      <w:r w:rsidR="0063585F" w:rsidRPr="009B0B5A">
        <w:t>(PR-EOS) interaction parameters</w:t>
      </w:r>
      <w:r w:rsidR="008A30BC" w:rsidRPr="009B0B5A">
        <w:t xml:space="preserve"> (k</w:t>
      </w:r>
      <w:r w:rsidR="008A30BC" w:rsidRPr="009B0B5A">
        <w:rPr>
          <w:vertAlign w:val="subscript"/>
        </w:rPr>
        <w:t>ij</w:t>
      </w:r>
      <w:r w:rsidR="008A30BC" w:rsidRPr="009B0B5A">
        <w:t xml:space="preserve"> and l</w:t>
      </w:r>
      <w:r w:rsidR="008A30BC" w:rsidRPr="009B0B5A">
        <w:rPr>
          <w:vertAlign w:val="subscript"/>
        </w:rPr>
        <w:t>ij</w:t>
      </w:r>
      <w:r w:rsidR="008A30BC" w:rsidRPr="009B0B5A">
        <w:t>)</w:t>
      </w:r>
      <w:r w:rsidR="000D73E7" w:rsidRPr="009B0B5A">
        <w:t>, an Objective Function (</w:t>
      </w:r>
      <w:r w:rsidR="00C5454D" w:rsidRPr="009B0B5A">
        <w:rPr>
          <w:b/>
          <w:bCs/>
        </w:rPr>
        <w:t>Eq. 2</w:t>
      </w:r>
      <w:r w:rsidR="000D73E7" w:rsidRPr="009B0B5A">
        <w:t xml:space="preserve">) was defined and minimized using a reliable </w:t>
      </w:r>
      <w:r w:rsidR="00AF4525" w:rsidRPr="009B0B5A">
        <w:t>optimization method</w:t>
      </w:r>
      <w:r w:rsidR="00435F72" w:rsidRPr="009B0B5A">
        <w:t xml:space="preserve"> </w:t>
      </w:r>
      <w:r w:rsidR="00C5454D" w:rsidRPr="009B0B5A">
        <w:t>described in [</w:t>
      </w:r>
      <w:r w:rsidR="00C5454D" w:rsidRPr="009B0B5A">
        <w:rPr>
          <w:b/>
          <w:bCs/>
        </w:rPr>
        <w:t>23</w:t>
      </w:r>
      <w:r w:rsidR="00C5454D" w:rsidRPr="009B0B5A">
        <w:t>]</w:t>
      </w:r>
      <w:r w:rsidR="00D71B47" w:rsidRPr="009B0B5A">
        <w:t xml:space="preserve">. </w:t>
      </w:r>
      <w:r w:rsidR="004758E2" w:rsidRPr="009B0B5A">
        <w:t>The</w:t>
      </w:r>
      <w:r w:rsidR="00EA47E2" w:rsidRPr="009B0B5A">
        <w:t xml:space="preserve"> PR-EOS </w:t>
      </w:r>
      <w:r w:rsidR="00942FF9" w:rsidRPr="009B0B5A">
        <w:t>was</w:t>
      </w:r>
      <w:r w:rsidR="00EA47E2" w:rsidRPr="009B0B5A">
        <w:t xml:space="preserve"> used for comparison</w:t>
      </w:r>
      <w:r w:rsidR="005E0172" w:rsidRPr="009B0B5A">
        <w:t xml:space="preserve"> </w:t>
      </w:r>
      <w:r w:rsidR="004758E2" w:rsidRPr="009B0B5A">
        <w:t>purpose</w:t>
      </w:r>
      <w:r w:rsidR="00EA47E2" w:rsidRPr="009B0B5A">
        <w:t>.</w:t>
      </w:r>
      <w:r w:rsidR="00294A49" w:rsidRPr="009B0B5A">
        <w:t xml:space="preserve"> As thermodynamic properties’ calculations are the same, one could simply refer to Refs [</w:t>
      </w:r>
      <w:r w:rsidR="00294A49" w:rsidRPr="009B0B5A">
        <w:rPr>
          <w:b/>
          <w:bCs/>
        </w:rPr>
        <w:t>1</w:t>
      </w:r>
      <w:r w:rsidR="00294A49" w:rsidRPr="009B0B5A">
        <w:t xml:space="preserve">, </w:t>
      </w:r>
      <w:r w:rsidR="00294A49" w:rsidRPr="009B0B5A">
        <w:rPr>
          <w:b/>
          <w:bCs/>
        </w:rPr>
        <w:t>2</w:t>
      </w:r>
      <w:r w:rsidR="00294A49" w:rsidRPr="009B0B5A">
        <w:t>].</w:t>
      </w:r>
    </w:p>
    <w:p w14:paraId="38FF3D47" w14:textId="77777777" w:rsidR="00B31E4E" w:rsidRPr="009B0B5A" w:rsidRDefault="00B31E4E" w:rsidP="00114FE4">
      <w:pPr>
        <w:autoSpaceDE w:val="0"/>
        <w:autoSpaceDN w:val="0"/>
        <w:adjustRightInd w:val="0"/>
        <w:spacing w:line="480" w:lineRule="auto"/>
        <w:ind w:firstLine="360"/>
        <w:jc w:val="both"/>
      </w:pPr>
    </w:p>
    <w:p w14:paraId="32DE9CBE" w14:textId="77777777" w:rsidR="00B31E4E" w:rsidRPr="009B0B5A" w:rsidRDefault="00E26A41" w:rsidP="00E26A4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</w:pPr>
      <w:r w:rsidRPr="009B0B5A">
        <w:rPr>
          <w:position w:val="-32"/>
        </w:rPr>
        <w:object w:dxaOrig="2260" w:dyaOrig="760" w14:anchorId="153391DE">
          <v:shape id="_x0000_i1027" type="#_x0000_t75" style="width:113.25pt;height:38.25pt" o:ole="">
            <v:imagedata r:id="rId11" o:title=""/>
          </v:shape>
          <o:OLEObject Type="Embed" ProgID="Equation.DSMT4" ShapeID="_x0000_i1027" DrawAspect="Content" ObjectID="_1773904461" r:id="rId12"/>
        </w:object>
      </w:r>
    </w:p>
    <w:p w14:paraId="212FF799" w14:textId="77777777" w:rsidR="00A833BE" w:rsidRPr="009B0B5A" w:rsidRDefault="001E05E9" w:rsidP="00294A49">
      <w:pPr>
        <w:autoSpaceDE w:val="0"/>
        <w:autoSpaceDN w:val="0"/>
        <w:adjustRightInd w:val="0"/>
        <w:spacing w:line="480" w:lineRule="auto"/>
        <w:ind w:firstLine="360"/>
        <w:jc w:val="both"/>
      </w:pPr>
      <w:r w:rsidRPr="009B0B5A">
        <w:t>At each point, an initial value estimated for the interaction parameter S</w:t>
      </w:r>
      <w:r w:rsidRPr="009B0B5A">
        <w:rPr>
          <w:vertAlign w:val="subscript"/>
        </w:rPr>
        <w:t>12</w:t>
      </w:r>
      <w:r w:rsidRPr="009B0B5A">
        <w:t>, and then solubility of the dyes calculated. The best values of the S</w:t>
      </w:r>
      <w:r w:rsidRPr="009B0B5A">
        <w:rPr>
          <w:vertAlign w:val="subscript"/>
        </w:rPr>
        <w:t>12</w:t>
      </w:r>
      <w:r w:rsidRPr="009B0B5A">
        <w:t>, which minimize objective function, was determined by the optimizing method used</w:t>
      </w:r>
      <w:r w:rsidR="001645B6" w:rsidRPr="009B0B5A">
        <w:t xml:space="preserve"> </w:t>
      </w:r>
      <w:r w:rsidR="008A37FE" w:rsidRPr="009B0B5A">
        <w:t xml:space="preserve">and the results are reported in </w:t>
      </w:r>
      <w:r w:rsidR="00AA7398" w:rsidRPr="009B0B5A">
        <w:rPr>
          <w:b/>
          <w:bCs/>
        </w:rPr>
        <w:t>Table. 2</w:t>
      </w:r>
      <w:r w:rsidRPr="009B0B5A">
        <w:t xml:space="preserve">. </w:t>
      </w:r>
      <w:r w:rsidR="00A833BE" w:rsidRPr="009B0B5A">
        <w:t xml:space="preserve">It should be noted that in this study the program of calculations </w:t>
      </w:r>
      <w:proofErr w:type="gramStart"/>
      <w:r w:rsidR="00A833BE" w:rsidRPr="009B0B5A">
        <w:t>were</w:t>
      </w:r>
      <w:proofErr w:type="gramEnd"/>
      <w:r w:rsidR="00A833BE" w:rsidRPr="009B0B5A">
        <w:t xml:space="preserve"> written</w:t>
      </w:r>
      <w:r w:rsidR="00114FE4" w:rsidRPr="009B0B5A">
        <w:t xml:space="preserve"> and modified</w:t>
      </w:r>
      <w:r w:rsidR="00A833BE" w:rsidRPr="009B0B5A">
        <w:t xml:space="preserve"> in MATLAB </w:t>
      </w:r>
      <w:r w:rsidR="00B31E4E" w:rsidRPr="009B0B5A">
        <w:t>s</w:t>
      </w:r>
      <w:r w:rsidR="00A833BE" w:rsidRPr="009B0B5A">
        <w:t>oftware by the authors.</w:t>
      </w:r>
      <w:r w:rsidR="004A3A1D" w:rsidRPr="009B0B5A">
        <w:t xml:space="preserve"> </w:t>
      </w:r>
    </w:p>
    <w:p w14:paraId="483A6280" w14:textId="77777777" w:rsidR="00A833BE" w:rsidRPr="009B0B5A" w:rsidRDefault="00A833BE" w:rsidP="00A833BE"/>
    <w:p w14:paraId="02E1B201" w14:textId="77777777" w:rsidR="004C6E61" w:rsidRPr="009B0B5A" w:rsidRDefault="00EF469D" w:rsidP="004C6E61">
      <w:pPr>
        <w:spacing w:line="480" w:lineRule="auto"/>
        <w:jc w:val="both"/>
        <w:rPr>
          <w:b/>
          <w:bCs/>
          <w:sz w:val="28"/>
          <w:szCs w:val="28"/>
        </w:rPr>
      </w:pPr>
      <w:r w:rsidRPr="009B0B5A">
        <w:rPr>
          <w:b/>
          <w:bCs/>
          <w:sz w:val="28"/>
          <w:szCs w:val="28"/>
        </w:rPr>
        <w:t>3</w:t>
      </w:r>
      <w:r w:rsidR="004C6E61" w:rsidRPr="009B0B5A">
        <w:rPr>
          <w:b/>
          <w:bCs/>
          <w:sz w:val="28"/>
          <w:szCs w:val="28"/>
        </w:rPr>
        <w:t>. Result and discussion</w:t>
      </w:r>
    </w:p>
    <w:p w14:paraId="27767A40" w14:textId="77777777" w:rsidR="00AB7574" w:rsidRPr="009B0B5A" w:rsidRDefault="00E22148" w:rsidP="00F7029C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9B0B5A">
        <w:lastRenderedPageBreak/>
        <w:t>Investigati</w:t>
      </w:r>
      <w:r w:rsidR="002323E0" w:rsidRPr="009B0B5A">
        <w:t>o</w:t>
      </w:r>
      <w:r w:rsidRPr="009B0B5A">
        <w:t>n</w:t>
      </w:r>
      <w:r w:rsidR="002323E0" w:rsidRPr="009B0B5A">
        <w:t>s on</w:t>
      </w:r>
      <w:r w:rsidR="00F7029C" w:rsidRPr="009B0B5A">
        <w:t xml:space="preserve"> the special </w:t>
      </w:r>
      <w:r w:rsidRPr="009B0B5A">
        <w:t>parameters (S</w:t>
      </w:r>
      <w:r w:rsidRPr="009B0B5A">
        <w:rPr>
          <w:vertAlign w:val="subscript"/>
        </w:rPr>
        <w:t>12</w:t>
      </w:r>
      <w:r w:rsidRPr="009B0B5A">
        <w:t xml:space="preserve">) </w:t>
      </w:r>
      <w:r w:rsidR="00D50B02" w:rsidRPr="009B0B5A">
        <w:t xml:space="preserve">of each system </w:t>
      </w:r>
      <w:r w:rsidRPr="009B0B5A">
        <w:t xml:space="preserve">indicate </w:t>
      </w:r>
      <w:r w:rsidR="002323E0" w:rsidRPr="009B0B5A">
        <w:t xml:space="preserve">that </w:t>
      </w:r>
      <w:r w:rsidR="00AB7574" w:rsidRPr="009B0B5A">
        <w:t xml:space="preserve">two relationships </w:t>
      </w:r>
      <w:r w:rsidR="00FA778A" w:rsidRPr="009B0B5A">
        <w:t>exist.</w:t>
      </w:r>
    </w:p>
    <w:p w14:paraId="073CB156" w14:textId="77777777" w:rsidR="00AB7574" w:rsidRPr="009B0B5A" w:rsidRDefault="00CA6772" w:rsidP="00AB7574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</w:pPr>
      <w:r w:rsidRPr="009B0B5A">
        <w:t>A</w:t>
      </w:r>
      <w:r w:rsidR="002323E0" w:rsidRPr="009B0B5A">
        <w:t xml:space="preserve"> </w:t>
      </w:r>
      <w:r w:rsidR="00C473F3" w:rsidRPr="009B0B5A">
        <w:t>linear</w:t>
      </w:r>
      <w:r w:rsidR="00E22148" w:rsidRPr="009B0B5A">
        <w:t xml:space="preserve"> relationship between S</w:t>
      </w:r>
      <w:r w:rsidR="00E22148" w:rsidRPr="009B0B5A">
        <w:rPr>
          <w:vertAlign w:val="subscript"/>
        </w:rPr>
        <w:t>12</w:t>
      </w:r>
      <w:r w:rsidR="00E22148" w:rsidRPr="009B0B5A">
        <w:t xml:space="preserve"> and pressure in isothermal conditions, and</w:t>
      </w:r>
    </w:p>
    <w:p w14:paraId="3E6BF0AE" w14:textId="77777777" w:rsidR="00AB7574" w:rsidRPr="009B0B5A" w:rsidRDefault="00FA778A" w:rsidP="00AB7574">
      <w:pPr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</w:pPr>
      <w:r w:rsidRPr="009B0B5A">
        <w:t>A</w:t>
      </w:r>
      <w:r w:rsidR="002323E0" w:rsidRPr="009B0B5A">
        <w:t xml:space="preserve"> </w:t>
      </w:r>
      <w:r w:rsidR="00C473F3" w:rsidRPr="009B0B5A">
        <w:t>linear</w:t>
      </w:r>
      <w:r w:rsidR="00E22148" w:rsidRPr="009B0B5A">
        <w:t xml:space="preserve"> relationship between S</w:t>
      </w:r>
      <w:r w:rsidR="00E22148" w:rsidRPr="009B0B5A">
        <w:rPr>
          <w:vertAlign w:val="subscript"/>
        </w:rPr>
        <w:t>12</w:t>
      </w:r>
      <w:r w:rsidR="00E22148" w:rsidRPr="009B0B5A">
        <w:t xml:space="preserve"> and te</w:t>
      </w:r>
      <w:r w:rsidR="002323E0" w:rsidRPr="009B0B5A">
        <w:t>mperature in isobaric conditions.</w:t>
      </w:r>
      <w:r w:rsidR="00C473F3" w:rsidRPr="009B0B5A">
        <w:t xml:space="preserve"> </w:t>
      </w:r>
    </w:p>
    <w:p w14:paraId="4DFD2524" w14:textId="77777777" w:rsidR="004C6E61" w:rsidRPr="009B0B5A" w:rsidRDefault="00C25F7E" w:rsidP="00AB75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9B0B5A">
        <w:t xml:space="preserve">Thus, </w:t>
      </w:r>
      <w:r w:rsidRPr="009B0B5A">
        <w:rPr>
          <w:color w:val="000000"/>
        </w:rPr>
        <w:t>to estimate the value of S</w:t>
      </w:r>
      <w:r w:rsidRPr="009B0B5A">
        <w:rPr>
          <w:color w:val="000000"/>
          <w:vertAlign w:val="subscript"/>
        </w:rPr>
        <w:t>ij</w:t>
      </w:r>
      <w:r w:rsidRPr="009B0B5A">
        <w:rPr>
          <w:color w:val="000000"/>
        </w:rPr>
        <w:t xml:space="preserve">, the </w:t>
      </w:r>
      <w:r w:rsidRPr="009B0B5A">
        <w:t>interaction parameter of the model, at each point of interest</w:t>
      </w:r>
      <w:r w:rsidRPr="009B0B5A">
        <w:rPr>
          <w:color w:val="000000"/>
        </w:rPr>
        <w:t xml:space="preserve">, </w:t>
      </w:r>
      <w:r w:rsidR="000058B0" w:rsidRPr="009B0B5A">
        <w:rPr>
          <w:color w:val="000000"/>
        </w:rPr>
        <w:t>t</w:t>
      </w:r>
      <w:r w:rsidR="004C6E61" w:rsidRPr="009B0B5A">
        <w:rPr>
          <w:color w:val="000000"/>
        </w:rPr>
        <w:t xml:space="preserve">wo </w:t>
      </w:r>
      <w:r w:rsidR="000058B0" w:rsidRPr="009B0B5A">
        <w:rPr>
          <w:color w:val="000000"/>
        </w:rPr>
        <w:t>relationships</w:t>
      </w:r>
      <w:r w:rsidR="00627304" w:rsidRPr="009B0B5A">
        <w:rPr>
          <w:color w:val="000000"/>
        </w:rPr>
        <w:t>/models</w:t>
      </w:r>
      <w:r w:rsidR="004C6E61" w:rsidRPr="009B0B5A">
        <w:rPr>
          <w:color w:val="000000"/>
        </w:rPr>
        <w:t xml:space="preserve"> are pr</w:t>
      </w:r>
      <w:r w:rsidRPr="009B0B5A">
        <w:rPr>
          <w:color w:val="000000"/>
        </w:rPr>
        <w:t xml:space="preserve">esented </w:t>
      </w:r>
      <w:proofErr w:type="gramStart"/>
      <w:r w:rsidRPr="009B0B5A">
        <w:rPr>
          <w:color w:val="000000"/>
        </w:rPr>
        <w:t>here;</w:t>
      </w:r>
      <w:proofErr w:type="gramEnd"/>
      <w:r w:rsidR="004C6E61" w:rsidRPr="009B0B5A">
        <w:t xml:space="preserve"> </w:t>
      </w:r>
      <w:r w:rsidR="00DA346F" w:rsidRPr="009B0B5A">
        <w:t>an</w:t>
      </w:r>
      <w:r w:rsidR="004C6E61" w:rsidRPr="009B0B5A">
        <w:t xml:space="preserve"> empirical and a general relation.</w:t>
      </w:r>
    </w:p>
    <w:p w14:paraId="0386BF6E" w14:textId="77777777" w:rsidR="004C6E61" w:rsidRPr="009B0B5A" w:rsidRDefault="0068243E" w:rsidP="00DA346F">
      <w:pPr>
        <w:spacing w:line="480" w:lineRule="auto"/>
        <w:jc w:val="both"/>
        <w:rPr>
          <w:b/>
          <w:bCs/>
        </w:rPr>
      </w:pPr>
      <w:r w:rsidRPr="009B0B5A">
        <w:rPr>
          <w:b/>
          <w:bCs/>
        </w:rPr>
        <w:t>3</w:t>
      </w:r>
      <w:r w:rsidR="004C6E61" w:rsidRPr="009B0B5A">
        <w:rPr>
          <w:b/>
          <w:bCs/>
        </w:rPr>
        <w:t xml:space="preserve">.1 Empirical </w:t>
      </w:r>
      <w:r w:rsidR="00DA346F" w:rsidRPr="009B0B5A">
        <w:rPr>
          <w:b/>
          <w:bCs/>
        </w:rPr>
        <w:t>relationship</w:t>
      </w:r>
      <w:r w:rsidR="004C6E61" w:rsidRPr="009B0B5A">
        <w:rPr>
          <w:b/>
          <w:bCs/>
        </w:rPr>
        <w:t xml:space="preserve"> for S</w:t>
      </w:r>
      <w:r w:rsidR="004C6E61" w:rsidRPr="009B0B5A">
        <w:rPr>
          <w:b/>
          <w:bCs/>
          <w:vertAlign w:val="subscript"/>
        </w:rPr>
        <w:t>ij</w:t>
      </w:r>
    </w:p>
    <w:p w14:paraId="636AA145" w14:textId="77777777" w:rsidR="004C6E61" w:rsidRPr="009B0B5A" w:rsidRDefault="004C6E61" w:rsidP="00642E5E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9B0B5A">
        <w:t xml:space="preserve">Considering the </w:t>
      </w:r>
      <w:r w:rsidR="00D50B02" w:rsidRPr="009B0B5A">
        <w:t xml:space="preserve">two general rules of thumbs (i, ii) </w:t>
      </w:r>
      <w:r w:rsidRPr="009B0B5A">
        <w:t xml:space="preserve">mentioned </w:t>
      </w:r>
      <w:r w:rsidR="00D50B02" w:rsidRPr="009B0B5A">
        <w:t xml:space="preserve">above, </w:t>
      </w:r>
      <w:r w:rsidRPr="009B0B5A">
        <w:t xml:space="preserve">the following empirical model </w:t>
      </w:r>
      <w:r w:rsidR="0053177D" w:rsidRPr="009B0B5A">
        <w:t>(</w:t>
      </w:r>
      <w:r w:rsidR="0053177D" w:rsidRPr="009B0B5A">
        <w:rPr>
          <w:b/>
          <w:bCs/>
        </w:rPr>
        <w:t>Eq. 3</w:t>
      </w:r>
      <w:r w:rsidR="0053177D" w:rsidRPr="009B0B5A">
        <w:t xml:space="preserve">) </w:t>
      </w:r>
      <w:r w:rsidR="00627304" w:rsidRPr="009B0B5A">
        <w:t>was</w:t>
      </w:r>
      <w:r w:rsidRPr="009B0B5A">
        <w:t xml:space="preserve"> proposed for </w:t>
      </w:r>
      <w:r w:rsidR="00A23523" w:rsidRPr="009B0B5A">
        <w:t xml:space="preserve">the special </w:t>
      </w:r>
      <w:r w:rsidRPr="009B0B5A">
        <w:t>parameter (S</w:t>
      </w:r>
      <w:r w:rsidRPr="009B0B5A">
        <w:rPr>
          <w:vertAlign w:val="subscript"/>
        </w:rPr>
        <w:t>12</w:t>
      </w:r>
      <w:r w:rsidRPr="009B0B5A">
        <w:t>) in modeling of solubility of these dyes in SC CO</w:t>
      </w:r>
      <w:r w:rsidRPr="009B0B5A">
        <w:rPr>
          <w:vertAlign w:val="subscript"/>
        </w:rPr>
        <w:t>2</w:t>
      </w:r>
      <w:r w:rsidRPr="009B0B5A">
        <w:t>:</w:t>
      </w:r>
    </w:p>
    <w:p w14:paraId="0CB9CAC2" w14:textId="77777777" w:rsidR="004C6E61" w:rsidRPr="009B0B5A" w:rsidRDefault="00627304" w:rsidP="003C6D5A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</w:pPr>
      <w:r w:rsidRPr="009B0B5A">
        <w:rPr>
          <w:position w:val="-12"/>
        </w:rPr>
        <w:object w:dxaOrig="2100" w:dyaOrig="360" w14:anchorId="766FBDC6">
          <v:shape id="_x0000_i1028" type="#_x0000_t75" style="width:105pt;height:18pt" o:ole="">
            <v:imagedata r:id="rId13" o:title=""/>
          </v:shape>
          <o:OLEObject Type="Embed" ProgID="Equation.3" ShapeID="_x0000_i1028" DrawAspect="Content" ObjectID="_1773904462" r:id="rId14"/>
        </w:object>
      </w:r>
    </w:p>
    <w:p w14:paraId="4EA41D29" w14:textId="77777777" w:rsidR="004C6E61" w:rsidRPr="009B0B5A" w:rsidRDefault="004C6E61" w:rsidP="00AA7398">
      <w:pPr>
        <w:spacing w:line="480" w:lineRule="auto"/>
        <w:ind w:firstLine="360"/>
        <w:jc w:val="both"/>
      </w:pPr>
      <w:r w:rsidRPr="009B0B5A">
        <w:t>Where, C</w:t>
      </w:r>
      <w:r w:rsidRPr="009B0B5A">
        <w:rPr>
          <w:vertAlign w:val="subscript"/>
        </w:rPr>
        <w:t>1</w:t>
      </w:r>
      <w:r w:rsidRPr="009B0B5A">
        <w:t>–C</w:t>
      </w:r>
      <w:r w:rsidRPr="009B0B5A">
        <w:rPr>
          <w:vertAlign w:val="subscript"/>
        </w:rPr>
        <w:t>3</w:t>
      </w:r>
      <w:r w:rsidRPr="009B0B5A">
        <w:t xml:space="preserve"> </w:t>
      </w:r>
      <w:r w:rsidR="00573FF1" w:rsidRPr="009B0B5A">
        <w:t xml:space="preserve">all </w:t>
      </w:r>
      <w:r w:rsidRPr="009B0B5A">
        <w:t xml:space="preserve">are the model constants </w:t>
      </w:r>
      <w:r w:rsidR="00C7483F" w:rsidRPr="009B0B5A">
        <w:t>reported in</w:t>
      </w:r>
      <w:r w:rsidR="00796F4F" w:rsidRPr="009B0B5A">
        <w:t xml:space="preserve"> </w:t>
      </w:r>
      <w:r w:rsidR="00AA7398" w:rsidRPr="009B0B5A">
        <w:rPr>
          <w:b/>
          <w:bCs/>
        </w:rPr>
        <w:t>Table. 3</w:t>
      </w:r>
      <w:r w:rsidR="00796F4F" w:rsidRPr="009B0B5A">
        <w:t xml:space="preserve"> together with correlation results obtained for PR-EOS</w:t>
      </w:r>
      <w:r w:rsidR="00642E5E" w:rsidRPr="009B0B5A">
        <w:t xml:space="preserve"> for each individual system.</w:t>
      </w:r>
    </w:p>
    <w:p w14:paraId="08FF9FF0" w14:textId="77777777" w:rsidR="004C6E61" w:rsidRPr="009B0B5A" w:rsidRDefault="009170A4" w:rsidP="004C6E61">
      <w:pPr>
        <w:spacing w:line="480" w:lineRule="auto"/>
        <w:jc w:val="both"/>
        <w:rPr>
          <w:b/>
          <w:bCs/>
        </w:rPr>
      </w:pPr>
      <w:r w:rsidRPr="009B0B5A">
        <w:rPr>
          <w:b/>
          <w:bCs/>
        </w:rPr>
        <w:t>3</w:t>
      </w:r>
      <w:r w:rsidR="004C6E61" w:rsidRPr="009B0B5A">
        <w:rPr>
          <w:b/>
          <w:bCs/>
        </w:rPr>
        <w:t>.2 General relation for S</w:t>
      </w:r>
      <w:r w:rsidR="004C6E61" w:rsidRPr="009B0B5A">
        <w:rPr>
          <w:b/>
          <w:bCs/>
          <w:vertAlign w:val="subscript"/>
        </w:rPr>
        <w:t>ij</w:t>
      </w:r>
    </w:p>
    <w:p w14:paraId="51A77F32" w14:textId="77777777" w:rsidR="004C6E61" w:rsidRPr="009B0B5A" w:rsidRDefault="00335B30" w:rsidP="0053177D">
      <w:pPr>
        <w:spacing w:line="480" w:lineRule="auto"/>
        <w:ind w:firstLine="720"/>
        <w:jc w:val="both"/>
      </w:pPr>
      <w:r w:rsidRPr="009B0B5A">
        <w:t xml:space="preserve">A general relation for estimation of </w:t>
      </w:r>
      <w:r w:rsidR="0053177D" w:rsidRPr="009B0B5A">
        <w:t xml:space="preserve">the special </w:t>
      </w:r>
      <w:r w:rsidRPr="009B0B5A">
        <w:t>parameter, which represents the temperature, pressure, and material nature (critical properties) dependency of the S</w:t>
      </w:r>
      <w:r w:rsidRPr="009B0B5A">
        <w:rPr>
          <w:vertAlign w:val="subscript"/>
        </w:rPr>
        <w:t>ij</w:t>
      </w:r>
      <w:r w:rsidRPr="009B0B5A">
        <w:t xml:space="preserve"> in terms of reduced temperature and pressure of the dye (solute), has been investigated and </w:t>
      </w:r>
      <w:r w:rsidR="004C6E61" w:rsidRPr="009B0B5A">
        <w:t>defined as follows</w:t>
      </w:r>
      <w:r w:rsidR="00F865DA" w:rsidRPr="009B0B5A">
        <w:t xml:space="preserve"> (</w:t>
      </w:r>
      <w:r w:rsidR="00F865DA" w:rsidRPr="009B0B5A">
        <w:rPr>
          <w:b/>
          <w:bCs/>
        </w:rPr>
        <w:t>R</w:t>
      </w:r>
      <w:r w:rsidR="00F865DA" w:rsidRPr="009B0B5A">
        <w:rPr>
          <w:b/>
          <w:bCs/>
          <w:vertAlign w:val="superscript"/>
        </w:rPr>
        <w:t>2</w:t>
      </w:r>
      <w:r w:rsidR="00F865DA" w:rsidRPr="009B0B5A">
        <w:rPr>
          <w:b/>
          <w:bCs/>
        </w:rPr>
        <w:t>&gt;0.9</w:t>
      </w:r>
      <w:r w:rsidRPr="009B0B5A">
        <w:rPr>
          <w:b/>
          <w:bCs/>
        </w:rPr>
        <w:t>9</w:t>
      </w:r>
      <w:r w:rsidR="00F55389" w:rsidRPr="009B0B5A">
        <w:rPr>
          <w:b/>
          <w:bCs/>
        </w:rPr>
        <w:t>8</w:t>
      </w:r>
      <w:r w:rsidRPr="009B0B5A">
        <w:rPr>
          <w:b/>
          <w:bCs/>
        </w:rPr>
        <w:t>4</w:t>
      </w:r>
      <w:r w:rsidR="00F865DA" w:rsidRPr="009B0B5A">
        <w:t xml:space="preserve"> for all calculations).</w:t>
      </w:r>
    </w:p>
    <w:p w14:paraId="21C7862B" w14:textId="77777777" w:rsidR="0046291E" w:rsidRPr="009B0B5A" w:rsidRDefault="00272212" w:rsidP="00AD6FB2">
      <w:pPr>
        <w:numPr>
          <w:ilvl w:val="0"/>
          <w:numId w:val="1"/>
        </w:numPr>
        <w:spacing w:line="480" w:lineRule="auto"/>
        <w:jc w:val="both"/>
      </w:pPr>
      <w:r w:rsidRPr="009B0B5A">
        <w:rPr>
          <w:position w:val="-12"/>
        </w:rPr>
        <w:object w:dxaOrig="3519" w:dyaOrig="360" w14:anchorId="37D043C0">
          <v:shape id="_x0000_i1029" type="#_x0000_t75" style="width:176.25pt;height:18pt" o:ole="">
            <v:imagedata r:id="rId15" o:title=""/>
          </v:shape>
          <o:OLEObject Type="Embed" ProgID="Equation.3" ShapeID="_x0000_i1029" DrawAspect="Content" ObjectID="_1773904463" r:id="rId16"/>
        </w:object>
      </w:r>
    </w:p>
    <w:p w14:paraId="7E72F3C3" w14:textId="77777777" w:rsidR="00647B6C" w:rsidRPr="009B0B5A" w:rsidRDefault="0053177D" w:rsidP="006D2E49">
      <w:pPr>
        <w:spacing w:line="480" w:lineRule="auto"/>
        <w:jc w:val="both"/>
      </w:pPr>
      <w:r w:rsidRPr="009B0B5A">
        <w:t xml:space="preserve">Our studies on other </w:t>
      </w:r>
      <w:r w:rsidR="00272212" w:rsidRPr="009B0B5A">
        <w:t>solutes</w:t>
      </w:r>
      <w:r w:rsidR="00C91A78" w:rsidRPr="009B0B5A">
        <w:t xml:space="preserve"> data sets</w:t>
      </w:r>
      <w:r w:rsidRPr="009B0B5A">
        <w:t xml:space="preserve"> (for example drugs) shows that</w:t>
      </w:r>
      <w:r w:rsidR="006D2E49" w:rsidRPr="009B0B5A">
        <w:t xml:space="preserve"> one can </w:t>
      </w:r>
      <w:r w:rsidR="00C91A78" w:rsidRPr="009B0B5A">
        <w:t>slightly</w:t>
      </w:r>
      <w:r w:rsidR="00647B6C" w:rsidRPr="009B0B5A">
        <w:t xml:space="preserve"> changes the value of coefficients in </w:t>
      </w:r>
      <w:r w:rsidR="00647B6C" w:rsidRPr="009B0B5A">
        <w:rPr>
          <w:b/>
          <w:bCs/>
        </w:rPr>
        <w:t xml:space="preserve">Eq. </w:t>
      </w:r>
      <w:r w:rsidR="005D5418" w:rsidRPr="009B0B5A">
        <w:rPr>
          <w:b/>
          <w:bCs/>
        </w:rPr>
        <w:t>4</w:t>
      </w:r>
      <w:r w:rsidR="00647B6C" w:rsidRPr="009B0B5A">
        <w:t xml:space="preserve"> </w:t>
      </w:r>
      <w:r w:rsidR="00DD2C50" w:rsidRPr="009B0B5A">
        <w:t>(0.5088&lt;</w:t>
      </w:r>
      <w:r w:rsidR="00DD2C50" w:rsidRPr="009B0B5A">
        <w:rPr>
          <w:b/>
          <w:bCs/>
        </w:rPr>
        <w:t>0.5199</w:t>
      </w:r>
      <w:r w:rsidR="00DD2C50" w:rsidRPr="009B0B5A">
        <w:t>&lt;0.5311; -1.407&lt;</w:t>
      </w:r>
      <w:r w:rsidR="00DD2C50" w:rsidRPr="009B0B5A">
        <w:rPr>
          <w:b/>
          <w:bCs/>
        </w:rPr>
        <w:t>-1.375</w:t>
      </w:r>
      <w:r w:rsidR="00DD2C50" w:rsidRPr="009B0B5A">
        <w:t xml:space="preserve">&lt;-1.344; </w:t>
      </w:r>
      <w:r w:rsidR="006D2E49" w:rsidRPr="009B0B5A">
        <w:t xml:space="preserve">and </w:t>
      </w:r>
      <w:r w:rsidR="00DD2C50" w:rsidRPr="009B0B5A">
        <w:t>-0.009821&lt;</w:t>
      </w:r>
      <w:r w:rsidR="00DD2C50" w:rsidRPr="009B0B5A">
        <w:rPr>
          <w:b/>
          <w:bCs/>
        </w:rPr>
        <w:t>-0.009496</w:t>
      </w:r>
      <w:r w:rsidR="00DD2C50" w:rsidRPr="009B0B5A">
        <w:t xml:space="preserve">&lt;-0.009172) </w:t>
      </w:r>
      <w:r w:rsidR="007312E5" w:rsidRPr="009B0B5A">
        <w:t>to obtain</w:t>
      </w:r>
      <w:r w:rsidR="00C91A78" w:rsidRPr="009B0B5A">
        <w:t xml:space="preserve"> the best and optimal estimates for S</w:t>
      </w:r>
      <w:r w:rsidR="00C91A78" w:rsidRPr="009B0B5A">
        <w:rPr>
          <w:vertAlign w:val="subscript"/>
        </w:rPr>
        <w:t>12</w:t>
      </w:r>
      <w:r w:rsidR="006D2E49" w:rsidRPr="009B0B5A">
        <w:t xml:space="preserve"> for each material of interest</w:t>
      </w:r>
      <w:r w:rsidR="00C91A78" w:rsidRPr="009B0B5A">
        <w:t>.</w:t>
      </w:r>
      <w:r w:rsidR="008F549B" w:rsidRPr="009B0B5A">
        <w:t xml:space="preserve"> </w:t>
      </w:r>
    </w:p>
    <w:p w14:paraId="1AFE7F5F" w14:textId="77777777" w:rsidR="00DD7A55" w:rsidRPr="009B0B5A" w:rsidRDefault="00DD7A55" w:rsidP="006D2E49">
      <w:pPr>
        <w:spacing w:line="480" w:lineRule="auto"/>
        <w:jc w:val="both"/>
      </w:pPr>
      <w:r w:rsidRPr="009B0B5A">
        <w:lastRenderedPageBreak/>
        <w:tab/>
        <w:t xml:space="preserve">Using the Eq. 4, the solubility calculations in supercritical extraction will be a straightforward calculation. </w:t>
      </w:r>
      <w:r w:rsidR="005637B3" w:rsidRPr="009B0B5A">
        <w:t xml:space="preserve">The model can be simply used and speedup the industrial process of interest. </w:t>
      </w:r>
      <w:r w:rsidRPr="009B0B5A">
        <w:t xml:space="preserve"> </w:t>
      </w:r>
    </w:p>
    <w:p w14:paraId="306918FC" w14:textId="77777777" w:rsidR="00EA2BD6" w:rsidRPr="009B0B5A" w:rsidRDefault="009170A4" w:rsidP="00EA2BD6">
      <w:pPr>
        <w:spacing w:line="480" w:lineRule="auto"/>
        <w:jc w:val="both"/>
        <w:rPr>
          <w:b/>
          <w:bCs/>
          <w:sz w:val="28"/>
          <w:szCs w:val="28"/>
        </w:rPr>
      </w:pPr>
      <w:r w:rsidRPr="009B0B5A">
        <w:rPr>
          <w:b/>
          <w:bCs/>
          <w:sz w:val="28"/>
          <w:szCs w:val="28"/>
        </w:rPr>
        <w:t>4</w:t>
      </w:r>
      <w:r w:rsidR="00EA2BD6" w:rsidRPr="009B0B5A">
        <w:rPr>
          <w:b/>
          <w:bCs/>
          <w:sz w:val="28"/>
          <w:szCs w:val="28"/>
        </w:rPr>
        <w:t>. Conclusion</w:t>
      </w:r>
    </w:p>
    <w:p w14:paraId="4AF03B3C" w14:textId="77777777" w:rsidR="00F15576" w:rsidRPr="009B0B5A" w:rsidRDefault="00EF30AE" w:rsidP="00F15576">
      <w:pPr>
        <w:spacing w:line="480" w:lineRule="auto"/>
        <w:jc w:val="both"/>
      </w:pPr>
      <w:r w:rsidRPr="009B0B5A">
        <w:tab/>
        <w:t xml:space="preserve">A serious </w:t>
      </w:r>
      <w:r w:rsidR="0053177D" w:rsidRPr="009B0B5A">
        <w:t xml:space="preserve">modification on a </w:t>
      </w:r>
      <w:r w:rsidR="00FC2F96" w:rsidRPr="009B0B5A">
        <w:t xml:space="preserve">reported </w:t>
      </w:r>
      <w:r w:rsidR="0053177D" w:rsidRPr="009B0B5A">
        <w:t xml:space="preserve">thermodynamically solubility estimation model </w:t>
      </w:r>
      <w:r w:rsidRPr="009B0B5A">
        <w:t xml:space="preserve">in </w:t>
      </w:r>
      <w:r w:rsidR="0053177D" w:rsidRPr="009B0B5A">
        <w:t>literature h</w:t>
      </w:r>
      <w:r w:rsidRPr="009B0B5A">
        <w:t xml:space="preserve">as been </w:t>
      </w:r>
      <w:r w:rsidR="0053177D" w:rsidRPr="009B0B5A">
        <w:t xml:space="preserve">proposed </w:t>
      </w:r>
      <w:r w:rsidRPr="009B0B5A">
        <w:t xml:space="preserve">in this work. </w:t>
      </w:r>
      <w:r w:rsidR="00D72F2B" w:rsidRPr="009B0B5A">
        <w:t>It’s been shown that without application of the presented modification</w:t>
      </w:r>
      <w:r w:rsidR="00FC2F96" w:rsidRPr="009B0B5A">
        <w:t>s</w:t>
      </w:r>
      <w:r w:rsidR="00D72F2B" w:rsidRPr="009B0B5A">
        <w:t xml:space="preserve"> the proposed EOS only can be used in isobaric conditions and </w:t>
      </w:r>
      <w:r w:rsidR="00D72F2B" w:rsidRPr="009B0B5A">
        <w:rPr>
          <w:u w:val="single"/>
        </w:rPr>
        <w:t>high errors will be encountered</w:t>
      </w:r>
      <w:r w:rsidR="00D72F2B" w:rsidRPr="009B0B5A">
        <w:t xml:space="preserve">. </w:t>
      </w:r>
      <w:r w:rsidR="00897299" w:rsidRPr="009B0B5A">
        <w:t xml:space="preserve">Using our modifications, the solubility prediction/correlation will be a straightforward calculation using the available data of system under study. The modified </w:t>
      </w:r>
      <w:r w:rsidR="00FC489A" w:rsidRPr="009B0B5A">
        <w:t>model is</w:t>
      </w:r>
      <w:r w:rsidR="00897299" w:rsidRPr="009B0B5A">
        <w:t xml:space="preserve"> named </w:t>
      </w:r>
      <w:r w:rsidR="00897299" w:rsidRPr="009B0B5A">
        <w:rPr>
          <w:b/>
          <w:bCs/>
        </w:rPr>
        <w:t>CMM</w:t>
      </w:r>
      <w:r w:rsidR="00FC2F96" w:rsidRPr="009B0B5A">
        <w:rPr>
          <w:b/>
          <w:bCs/>
        </w:rPr>
        <w:t xml:space="preserve"> EOS</w:t>
      </w:r>
      <w:r w:rsidR="00897299" w:rsidRPr="009B0B5A">
        <w:t xml:space="preserve"> by authors, shortly. </w:t>
      </w:r>
      <w:r w:rsidR="002E6325" w:rsidRPr="009B0B5A">
        <w:t>Two relationships f</w:t>
      </w:r>
      <w:r w:rsidR="002D5977" w:rsidRPr="009B0B5A">
        <w:t>or estimation of the special</w:t>
      </w:r>
      <w:r w:rsidR="002E6325" w:rsidRPr="009B0B5A">
        <w:t xml:space="preserve"> parameters proposed here by those highly accurate predications can be obtained. </w:t>
      </w:r>
      <w:r w:rsidR="0050344E" w:rsidRPr="009B0B5A">
        <w:t>The application of th</w:t>
      </w:r>
      <w:r w:rsidR="00D97C5D" w:rsidRPr="009B0B5A">
        <w:t xml:space="preserve">is New CMM EOS </w:t>
      </w:r>
      <w:r w:rsidR="0050344E" w:rsidRPr="009B0B5A">
        <w:t>is strongly recommended</w:t>
      </w:r>
      <w:r w:rsidR="00D97C5D" w:rsidRPr="009B0B5A">
        <w:t>.</w:t>
      </w:r>
      <w:r w:rsidR="002E6325" w:rsidRPr="009B0B5A">
        <w:t xml:space="preserve"> </w:t>
      </w:r>
      <w:r w:rsidR="00F15576" w:rsidRPr="009B0B5A">
        <w:t xml:space="preserve">The model can be simply used and speedup the industrial process of interest.  </w:t>
      </w:r>
    </w:p>
    <w:p w14:paraId="7D1D55C5" w14:textId="77777777" w:rsidR="00722EC4" w:rsidRPr="009B0B5A" w:rsidRDefault="00722EC4" w:rsidP="00FC2F96">
      <w:pPr>
        <w:spacing w:line="480" w:lineRule="auto"/>
        <w:jc w:val="both"/>
      </w:pPr>
    </w:p>
    <w:p w14:paraId="697052C3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b/>
          <w:bCs/>
          <w:color w:val="000000"/>
        </w:rPr>
      </w:pPr>
      <w:r w:rsidRPr="009B0B5A">
        <w:rPr>
          <w:b/>
          <w:bCs/>
          <w:color w:val="000000"/>
        </w:rPr>
        <w:t>List of symbols</w:t>
      </w:r>
    </w:p>
    <w:p w14:paraId="1523E7C5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AARD           average absolute relative deviation (%)</w:t>
      </w:r>
    </w:p>
    <w:p w14:paraId="1D7F3DBF" w14:textId="77777777" w:rsidR="000A442C" w:rsidRPr="009B0B5A" w:rsidRDefault="000A442C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 xml:space="preserve">B </w:t>
      </w:r>
      <w:r w:rsidRPr="009B0B5A">
        <w:rPr>
          <w:color w:val="000000"/>
        </w:rPr>
        <w:tab/>
        <w:t xml:space="preserve">          Second Virial coefficients</w:t>
      </w:r>
    </w:p>
    <w:p w14:paraId="35707F4F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EOS              equation of state</w:t>
      </w:r>
    </w:p>
    <w:p w14:paraId="37D0D902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 xml:space="preserve">IARD            </w:t>
      </w:r>
      <w:r w:rsidRPr="009B0B5A">
        <w:t>individual absolute relative deviations</w:t>
      </w:r>
    </w:p>
    <w:p w14:paraId="6221FD5D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k</w:t>
      </w:r>
      <w:r w:rsidRPr="009B0B5A">
        <w:rPr>
          <w:color w:val="000000"/>
          <w:vertAlign w:val="subscript"/>
        </w:rPr>
        <w:t>ij</w:t>
      </w:r>
      <w:r w:rsidRPr="009B0B5A">
        <w:rPr>
          <w:color w:val="000000"/>
        </w:rPr>
        <w:t xml:space="preserve">                 binary interaction parameter</w:t>
      </w:r>
    </w:p>
    <w:p w14:paraId="4D01B83E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l</w:t>
      </w:r>
      <w:r w:rsidRPr="009B0B5A">
        <w:rPr>
          <w:color w:val="000000"/>
          <w:vertAlign w:val="subscript"/>
        </w:rPr>
        <w:t>ij</w:t>
      </w:r>
      <w:r w:rsidRPr="009B0B5A">
        <w:rPr>
          <w:color w:val="000000"/>
        </w:rPr>
        <w:t xml:space="preserve">                  binary interaction parameter</w:t>
      </w:r>
    </w:p>
    <w:p w14:paraId="56060C19" w14:textId="77777777" w:rsidR="009B09DB" w:rsidRPr="009B0B5A" w:rsidRDefault="009B09DB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N</w:t>
      </w:r>
      <w:r w:rsidRPr="009B0B5A">
        <w:rPr>
          <w:color w:val="000000"/>
        </w:rPr>
        <w:tab/>
        <w:t xml:space="preserve">         Number of data points</w:t>
      </w:r>
    </w:p>
    <w:p w14:paraId="410AF24C" w14:textId="77777777" w:rsidR="000461BA" w:rsidRPr="009B0B5A" w:rsidRDefault="000461BA" w:rsidP="00937A9D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P                   pressure (</w:t>
      </w:r>
      <w:r w:rsidR="00937A9D" w:rsidRPr="009B0B5A">
        <w:rPr>
          <w:color w:val="000000"/>
        </w:rPr>
        <w:t>bar</w:t>
      </w:r>
      <w:r w:rsidRPr="009B0B5A">
        <w:rPr>
          <w:color w:val="000000"/>
        </w:rPr>
        <w:t>)</w:t>
      </w:r>
    </w:p>
    <w:p w14:paraId="5BFE37EE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PR                Peng–Robinson</w:t>
      </w:r>
    </w:p>
    <w:p w14:paraId="42B49BFF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S                   Interaction parameter</w:t>
      </w:r>
    </w:p>
    <w:p w14:paraId="25D16D1D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lastRenderedPageBreak/>
        <w:t>T                   temperature (K)</w:t>
      </w:r>
    </w:p>
    <w:p w14:paraId="6E53C574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y                     mole fraction</w:t>
      </w:r>
    </w:p>
    <w:p w14:paraId="1ECADDC4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  <w:r w:rsidRPr="009B0B5A">
        <w:rPr>
          <w:b/>
          <w:bCs/>
        </w:rPr>
        <w:t>Subscripts</w:t>
      </w:r>
    </w:p>
    <w:p w14:paraId="67AA6DF6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r w:rsidRPr="009B0B5A">
        <w:rPr>
          <w:color w:val="000000"/>
        </w:rPr>
        <w:t>r                            reduced</w:t>
      </w:r>
    </w:p>
    <w:p w14:paraId="10495455" w14:textId="77777777" w:rsidR="00D62CDF" w:rsidRPr="009B0B5A" w:rsidRDefault="00D62CDF" w:rsidP="00D62CDF">
      <w:pPr>
        <w:autoSpaceDE w:val="0"/>
        <w:autoSpaceDN w:val="0"/>
        <w:adjustRightInd w:val="0"/>
        <w:spacing w:line="480" w:lineRule="auto"/>
        <w:jc w:val="both"/>
        <w:rPr>
          <w:color w:val="000000"/>
        </w:rPr>
      </w:pPr>
      <w:proofErr w:type="gramStart"/>
      <w:r w:rsidRPr="009B0B5A">
        <w:rPr>
          <w:color w:val="000000"/>
        </w:rPr>
        <w:t>i,j</w:t>
      </w:r>
      <w:proofErr w:type="gramEnd"/>
      <w:r w:rsidRPr="009B0B5A">
        <w:rPr>
          <w:color w:val="000000"/>
        </w:rPr>
        <w:t xml:space="preserve"> </w:t>
      </w:r>
      <w:r w:rsidRPr="009B0B5A">
        <w:rPr>
          <w:color w:val="000000"/>
        </w:rPr>
        <w:tab/>
      </w:r>
      <w:r w:rsidRPr="009B0B5A">
        <w:rPr>
          <w:color w:val="000000"/>
        </w:rPr>
        <w:tab/>
        <w:t xml:space="preserve">     component</w:t>
      </w:r>
      <w:r w:rsidR="0029206E" w:rsidRPr="009B0B5A">
        <w:rPr>
          <w:color w:val="000000"/>
        </w:rPr>
        <w:t>s</w:t>
      </w:r>
    </w:p>
    <w:p w14:paraId="6834EBD0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  <w:r w:rsidRPr="009B0B5A">
        <w:rPr>
          <w:b/>
          <w:bCs/>
        </w:rPr>
        <w:t>Superscripts</w:t>
      </w:r>
    </w:p>
    <w:p w14:paraId="51476779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</w:pPr>
      <w:r w:rsidRPr="009B0B5A">
        <w:t>cal                        calculated</w:t>
      </w:r>
    </w:p>
    <w:p w14:paraId="3B596FCA" w14:textId="77777777" w:rsidR="000461BA" w:rsidRPr="009B0B5A" w:rsidRDefault="000461BA" w:rsidP="000461BA">
      <w:pPr>
        <w:autoSpaceDE w:val="0"/>
        <w:autoSpaceDN w:val="0"/>
        <w:adjustRightInd w:val="0"/>
        <w:spacing w:line="480" w:lineRule="auto"/>
        <w:jc w:val="both"/>
      </w:pPr>
      <w:r w:rsidRPr="009B0B5A">
        <w:t>exp                       experimental</w:t>
      </w:r>
    </w:p>
    <w:p w14:paraId="71226242" w14:textId="77777777" w:rsidR="00F10456" w:rsidRPr="009B0B5A" w:rsidRDefault="00F10456"/>
    <w:p w14:paraId="4F2081ED" w14:textId="77777777" w:rsidR="001710D2" w:rsidRPr="009B0B5A" w:rsidRDefault="001710D2"/>
    <w:p w14:paraId="2D2535FE" w14:textId="77777777" w:rsidR="001710D2" w:rsidRPr="009B0B5A" w:rsidRDefault="001710D2"/>
    <w:p w14:paraId="07952366" w14:textId="77777777" w:rsidR="001710D2" w:rsidRPr="009B0B5A" w:rsidRDefault="001710D2"/>
    <w:p w14:paraId="7F7BB686" w14:textId="77777777" w:rsidR="001710D2" w:rsidRPr="009B0B5A" w:rsidRDefault="001710D2"/>
    <w:p w14:paraId="481634E8" w14:textId="77777777" w:rsidR="00F10456" w:rsidRPr="009B0B5A" w:rsidRDefault="00F10456"/>
    <w:p w14:paraId="16F8766F" w14:textId="77777777" w:rsidR="00180F67" w:rsidRPr="009B0B5A" w:rsidRDefault="00180F67" w:rsidP="00180F67">
      <w:pPr>
        <w:spacing w:line="480" w:lineRule="auto"/>
        <w:rPr>
          <w:b/>
          <w:bCs/>
          <w:sz w:val="28"/>
          <w:szCs w:val="28"/>
        </w:rPr>
      </w:pPr>
      <w:r w:rsidRPr="009B0B5A">
        <w:rPr>
          <w:b/>
          <w:bCs/>
          <w:sz w:val="28"/>
          <w:szCs w:val="28"/>
        </w:rPr>
        <w:t>References</w:t>
      </w:r>
    </w:p>
    <w:p w14:paraId="54E4451C" w14:textId="77777777" w:rsidR="00D67C16" w:rsidRPr="009B0B5A" w:rsidRDefault="00D67C16" w:rsidP="00B80453">
      <w:pPr>
        <w:spacing w:line="480" w:lineRule="auto"/>
        <w:jc w:val="both"/>
      </w:pPr>
      <w:r w:rsidRPr="009B0B5A">
        <w:t xml:space="preserve">[1] </w:t>
      </w:r>
      <w:r w:rsidR="00B80453" w:rsidRPr="009B0B5A">
        <w:t xml:space="preserve">R. </w:t>
      </w:r>
      <w:r w:rsidRPr="009B0B5A">
        <w:t xml:space="preserve">Mohammadikhah, </w:t>
      </w:r>
      <w:r w:rsidR="00B80453" w:rsidRPr="009B0B5A">
        <w:t xml:space="preserve">H. </w:t>
      </w:r>
      <w:r w:rsidRPr="009B0B5A">
        <w:t xml:space="preserve">Abolghasemi, </w:t>
      </w:r>
      <w:r w:rsidR="00B80453" w:rsidRPr="009B0B5A">
        <w:t>A. Mohebbi,</w:t>
      </w:r>
      <w:r w:rsidRPr="009B0B5A">
        <w:t xml:space="preserve"> </w:t>
      </w:r>
      <w:r w:rsidRPr="009B0B5A">
        <w:rPr>
          <w:i/>
          <w:iCs/>
        </w:rPr>
        <w:t>Iran. J. Chem. Chem. Eng.,</w:t>
      </w:r>
      <w:r w:rsidRPr="009B0B5A">
        <w:t xml:space="preserve"> </w:t>
      </w:r>
      <w:r w:rsidR="00B80453" w:rsidRPr="009B0B5A">
        <w:rPr>
          <w:b/>
          <w:bCs/>
        </w:rPr>
        <w:t>2010</w:t>
      </w:r>
      <w:r w:rsidR="00B80453" w:rsidRPr="009B0B5A">
        <w:t xml:space="preserve">, </w:t>
      </w:r>
      <w:r w:rsidRPr="009B0B5A">
        <w:t>29 (2), 67.</w:t>
      </w:r>
    </w:p>
    <w:p w14:paraId="543C1345" w14:textId="77777777" w:rsidR="000A442C" w:rsidRPr="009B0B5A" w:rsidRDefault="00AA7C74" w:rsidP="00C64137">
      <w:pPr>
        <w:spacing w:line="480" w:lineRule="auto"/>
        <w:jc w:val="both"/>
      </w:pPr>
      <w:r w:rsidRPr="009B0B5A">
        <w:t xml:space="preserve">[2] </w:t>
      </w:r>
      <w:r w:rsidR="00903AFB" w:rsidRPr="009B0B5A">
        <w:t xml:space="preserve">Sh. </w:t>
      </w:r>
      <w:r w:rsidRPr="009B0B5A">
        <w:t xml:space="preserve">Jafari Nejad, </w:t>
      </w:r>
      <w:r w:rsidR="00903AFB" w:rsidRPr="009B0B5A">
        <w:t xml:space="preserve">R. </w:t>
      </w:r>
      <w:r w:rsidRPr="009B0B5A">
        <w:t xml:space="preserve">Mohammadikhah, </w:t>
      </w:r>
      <w:r w:rsidR="00903AFB" w:rsidRPr="009B0B5A">
        <w:t>H.</w:t>
      </w:r>
      <w:r w:rsidRPr="009B0B5A">
        <w:t xml:space="preserve"> Abolghasemi, </w:t>
      </w:r>
      <w:r w:rsidR="00903AFB" w:rsidRPr="009B0B5A">
        <w:t>M.A.</w:t>
      </w:r>
      <w:r w:rsidRPr="009B0B5A">
        <w:t xml:space="preserve"> Moosavian,</w:t>
      </w:r>
      <w:r w:rsidR="00903AFB" w:rsidRPr="009B0B5A">
        <w:t xml:space="preserve"> M.G. </w:t>
      </w:r>
      <w:r w:rsidR="00986038" w:rsidRPr="009B0B5A">
        <w:t xml:space="preserve">Maragheh, </w:t>
      </w:r>
      <w:r w:rsidRPr="009B0B5A">
        <w:rPr>
          <w:i/>
          <w:iCs/>
        </w:rPr>
        <w:t>Can. J. Chem. Eng.</w:t>
      </w:r>
      <w:r w:rsidRPr="009B0B5A">
        <w:t xml:space="preserve">, </w:t>
      </w:r>
      <w:r w:rsidR="00986038" w:rsidRPr="009B0B5A">
        <w:rPr>
          <w:b/>
          <w:bCs/>
        </w:rPr>
        <w:t>20</w:t>
      </w:r>
      <w:r w:rsidR="00C64137" w:rsidRPr="009B0B5A">
        <w:rPr>
          <w:b/>
          <w:bCs/>
        </w:rPr>
        <w:t>09</w:t>
      </w:r>
      <w:r w:rsidR="00986038" w:rsidRPr="009B0B5A">
        <w:t xml:space="preserve">, </w:t>
      </w:r>
      <w:r w:rsidRPr="009B0B5A">
        <w:t xml:space="preserve">87, 930. </w:t>
      </w:r>
    </w:p>
    <w:p w14:paraId="1FBC1E94" w14:textId="77777777" w:rsidR="00AA7C74" w:rsidRPr="009B0B5A" w:rsidRDefault="00C64137" w:rsidP="00C64137">
      <w:pPr>
        <w:spacing w:line="480" w:lineRule="auto"/>
        <w:jc w:val="both"/>
      </w:pPr>
      <w:r w:rsidRPr="009B0B5A">
        <w:rPr>
          <w:b/>
          <w:bCs/>
        </w:rPr>
        <w:t>DOI</w:t>
      </w:r>
      <w:r w:rsidRPr="009B0B5A">
        <w:t>: 10.1002/cjce.20232.</w:t>
      </w:r>
    </w:p>
    <w:p w14:paraId="0EEDC572" w14:textId="77777777" w:rsidR="00135361" w:rsidRPr="009B0B5A" w:rsidRDefault="00135361" w:rsidP="005F2173">
      <w:pPr>
        <w:spacing w:line="480" w:lineRule="auto"/>
        <w:jc w:val="both"/>
      </w:pPr>
      <w:r w:rsidRPr="009B0B5A">
        <w:t xml:space="preserve">[3] </w:t>
      </w:r>
      <w:r w:rsidR="005F2173" w:rsidRPr="009B0B5A">
        <w:t xml:space="preserve">S.N. </w:t>
      </w:r>
      <w:r w:rsidRPr="009B0B5A">
        <w:t>Joung, K. P.</w:t>
      </w:r>
      <w:r w:rsidR="005F2173" w:rsidRPr="009B0B5A">
        <w:t xml:space="preserve"> Yoo</w:t>
      </w:r>
      <w:r w:rsidR="00F31AF7" w:rsidRPr="009B0B5A">
        <w:t>, J</w:t>
      </w:r>
      <w:r w:rsidRPr="009B0B5A">
        <w:rPr>
          <w:i/>
          <w:iCs/>
        </w:rPr>
        <w:t>. Chem. Eng. Data</w:t>
      </w:r>
      <w:r w:rsidRPr="009B0B5A">
        <w:t xml:space="preserve">., </w:t>
      </w:r>
      <w:r w:rsidR="005F2173" w:rsidRPr="009B0B5A">
        <w:rPr>
          <w:b/>
          <w:bCs/>
        </w:rPr>
        <w:t>1998</w:t>
      </w:r>
      <w:r w:rsidR="005F2173" w:rsidRPr="009B0B5A">
        <w:t xml:space="preserve">, </w:t>
      </w:r>
      <w:r w:rsidRPr="009B0B5A">
        <w:t xml:space="preserve">43, 9. </w:t>
      </w:r>
    </w:p>
    <w:p w14:paraId="52BC6A4C" w14:textId="77777777" w:rsidR="00647B3D" w:rsidRPr="009B0B5A" w:rsidRDefault="00647B3D" w:rsidP="00C4500F">
      <w:pPr>
        <w:spacing w:line="480" w:lineRule="auto"/>
        <w:jc w:val="both"/>
      </w:pPr>
      <w:r w:rsidRPr="009B0B5A">
        <w:t xml:space="preserve">[4] </w:t>
      </w:r>
      <w:r w:rsidR="00C4500F" w:rsidRPr="009B0B5A">
        <w:t xml:space="preserve">Sh.Y. </w:t>
      </w:r>
      <w:r w:rsidRPr="009B0B5A">
        <w:t>Huang</w:t>
      </w:r>
      <w:r w:rsidR="00C4500F" w:rsidRPr="009B0B5A">
        <w:t xml:space="preserve">, </w:t>
      </w:r>
      <w:r w:rsidRPr="009B0B5A">
        <w:t>M. Tang, Sh.L. Ho, Y.P.</w:t>
      </w:r>
      <w:r w:rsidR="00C4500F" w:rsidRPr="009B0B5A">
        <w:t xml:space="preserve"> Chen,</w:t>
      </w:r>
      <w:r w:rsidRPr="009B0B5A">
        <w:t xml:space="preserve"> </w:t>
      </w:r>
      <w:r w:rsidRPr="009B0B5A">
        <w:rPr>
          <w:i/>
          <w:iCs/>
        </w:rPr>
        <w:t>J. Of Supercrit. Fluids</w:t>
      </w:r>
      <w:r w:rsidRPr="009B0B5A">
        <w:t xml:space="preserve">, </w:t>
      </w:r>
      <w:r w:rsidR="00C4500F" w:rsidRPr="009B0B5A">
        <w:rPr>
          <w:b/>
          <w:bCs/>
        </w:rPr>
        <w:t>2007</w:t>
      </w:r>
      <w:r w:rsidR="00C4500F" w:rsidRPr="009B0B5A">
        <w:t xml:space="preserve">, </w:t>
      </w:r>
      <w:r w:rsidRPr="009B0B5A">
        <w:t xml:space="preserve">42, 165. </w:t>
      </w:r>
    </w:p>
    <w:p w14:paraId="2146D52E" w14:textId="77777777" w:rsidR="008800FE" w:rsidRPr="009B0B5A" w:rsidRDefault="008800FE" w:rsidP="006F246B">
      <w:pPr>
        <w:spacing w:line="480" w:lineRule="auto"/>
        <w:jc w:val="both"/>
      </w:pPr>
      <w:r w:rsidRPr="009B0B5A">
        <w:t xml:space="preserve">[5] </w:t>
      </w:r>
      <w:r w:rsidR="006F246B" w:rsidRPr="009B0B5A">
        <w:t xml:space="preserve">B. </w:t>
      </w:r>
      <w:r w:rsidRPr="009B0B5A">
        <w:t>Wagner, C.B. Kautz, G.</w:t>
      </w:r>
      <w:r w:rsidR="006F246B" w:rsidRPr="009B0B5A">
        <w:t>M. Schneider,</w:t>
      </w:r>
      <w:r w:rsidRPr="009B0B5A">
        <w:t xml:space="preserve"> </w:t>
      </w:r>
      <w:r w:rsidRPr="009B0B5A">
        <w:rPr>
          <w:i/>
          <w:iCs/>
        </w:rPr>
        <w:t xml:space="preserve">Fluid Phase </w:t>
      </w:r>
      <w:r w:rsidR="00F31AF7" w:rsidRPr="009B0B5A">
        <w:rPr>
          <w:i/>
          <w:iCs/>
        </w:rPr>
        <w:t>Equilib</w:t>
      </w:r>
      <w:r w:rsidR="00F31AF7" w:rsidRPr="009B0B5A">
        <w:t>,</w:t>
      </w:r>
      <w:r w:rsidRPr="009B0B5A">
        <w:t xml:space="preserve"> </w:t>
      </w:r>
      <w:r w:rsidR="006F246B" w:rsidRPr="009B0B5A">
        <w:rPr>
          <w:b/>
          <w:bCs/>
        </w:rPr>
        <w:t>1999</w:t>
      </w:r>
      <w:r w:rsidR="006F246B" w:rsidRPr="009B0B5A">
        <w:t xml:space="preserve">, </w:t>
      </w:r>
      <w:r w:rsidRPr="009B0B5A">
        <w:t xml:space="preserve">158-160, 707. </w:t>
      </w:r>
    </w:p>
    <w:p w14:paraId="356D0AF2" w14:textId="77777777" w:rsidR="00434447" w:rsidRPr="009B0B5A" w:rsidRDefault="00434447" w:rsidP="00F31AF7">
      <w:pPr>
        <w:spacing w:line="480" w:lineRule="auto"/>
        <w:jc w:val="both"/>
      </w:pPr>
      <w:r w:rsidRPr="009B0B5A">
        <w:t xml:space="preserve">[6] </w:t>
      </w:r>
      <w:r w:rsidR="00F31AF7" w:rsidRPr="009B0B5A">
        <w:t xml:space="preserve">A.S. </w:t>
      </w:r>
      <w:r w:rsidRPr="009B0B5A">
        <w:t>Özcan, A. A. Clifford, K.</w:t>
      </w:r>
      <w:r w:rsidR="00F31AF7" w:rsidRPr="009B0B5A">
        <w:t xml:space="preserve"> D. </w:t>
      </w:r>
      <w:proofErr w:type="gramStart"/>
      <w:r w:rsidR="00F31AF7" w:rsidRPr="009B0B5A">
        <w:t xml:space="preserve">Bartle, </w:t>
      </w:r>
      <w:r w:rsidRPr="009B0B5A">
        <w:t xml:space="preserve"> </w:t>
      </w:r>
      <w:r w:rsidRPr="009B0B5A">
        <w:rPr>
          <w:i/>
          <w:iCs/>
        </w:rPr>
        <w:t>J.</w:t>
      </w:r>
      <w:proofErr w:type="gramEnd"/>
      <w:r w:rsidRPr="009B0B5A">
        <w:rPr>
          <w:i/>
          <w:iCs/>
        </w:rPr>
        <w:t xml:space="preserve"> Chem. Eng. Data</w:t>
      </w:r>
      <w:r w:rsidRPr="009B0B5A">
        <w:t xml:space="preserve">., </w:t>
      </w:r>
      <w:r w:rsidR="00F31AF7" w:rsidRPr="009B0B5A">
        <w:rPr>
          <w:b/>
          <w:bCs/>
        </w:rPr>
        <w:t>1997</w:t>
      </w:r>
      <w:r w:rsidR="00F31AF7" w:rsidRPr="009B0B5A">
        <w:t xml:space="preserve">, </w:t>
      </w:r>
      <w:r w:rsidRPr="009B0B5A">
        <w:t xml:space="preserve">42, 590. </w:t>
      </w:r>
    </w:p>
    <w:p w14:paraId="3349B976" w14:textId="77777777" w:rsidR="00D45DB9" w:rsidRPr="009B0B5A" w:rsidRDefault="00D45DB9" w:rsidP="000B6853">
      <w:pPr>
        <w:spacing w:line="480" w:lineRule="auto"/>
        <w:jc w:val="both"/>
      </w:pPr>
      <w:r w:rsidRPr="009B0B5A">
        <w:t xml:space="preserve">[7] </w:t>
      </w:r>
      <w:r w:rsidR="000B6853" w:rsidRPr="009B0B5A">
        <w:t xml:space="preserve">V.F. </w:t>
      </w:r>
      <w:r w:rsidRPr="009B0B5A">
        <w:t xml:space="preserve">Cabral, W.L.F. Santos, E.C. Muniz, A.F. Rubira, </w:t>
      </w:r>
      <w:r w:rsidR="000B6853" w:rsidRPr="009B0B5A">
        <w:t>L. Cardozo-</w:t>
      </w:r>
      <w:proofErr w:type="gramStart"/>
      <w:r w:rsidR="000B6853" w:rsidRPr="009B0B5A">
        <w:t xml:space="preserve">Filho, </w:t>
      </w:r>
      <w:r w:rsidRPr="009B0B5A">
        <w:t xml:space="preserve"> </w:t>
      </w:r>
      <w:r w:rsidRPr="009B0B5A">
        <w:rPr>
          <w:i/>
          <w:iCs/>
        </w:rPr>
        <w:t>J.</w:t>
      </w:r>
      <w:proofErr w:type="gramEnd"/>
      <w:r w:rsidRPr="009B0B5A">
        <w:rPr>
          <w:i/>
          <w:iCs/>
        </w:rPr>
        <w:t xml:space="preserve"> Of Supercrit. Fluid</w:t>
      </w:r>
      <w:r w:rsidRPr="009B0B5A">
        <w:t>.</w:t>
      </w:r>
      <w:r w:rsidR="000B6853" w:rsidRPr="009B0B5A">
        <w:t xml:space="preserve"> </w:t>
      </w:r>
      <w:r w:rsidR="000B6853" w:rsidRPr="009B0B5A">
        <w:rPr>
          <w:b/>
          <w:bCs/>
        </w:rPr>
        <w:t>2007</w:t>
      </w:r>
      <w:r w:rsidR="000B6853" w:rsidRPr="009B0B5A">
        <w:t>,</w:t>
      </w:r>
      <w:r w:rsidRPr="009B0B5A">
        <w:t xml:space="preserve"> 40, 163. </w:t>
      </w:r>
    </w:p>
    <w:p w14:paraId="2E5CABA6" w14:textId="77777777" w:rsidR="00363351" w:rsidRPr="009B0B5A" w:rsidRDefault="00363351" w:rsidP="000B6853">
      <w:pPr>
        <w:spacing w:line="480" w:lineRule="auto"/>
        <w:jc w:val="both"/>
      </w:pPr>
      <w:r w:rsidRPr="009B0B5A">
        <w:t xml:space="preserve">[8] </w:t>
      </w:r>
      <w:r w:rsidR="000B6853" w:rsidRPr="009B0B5A">
        <w:t xml:space="preserve">J.W. </w:t>
      </w:r>
      <w:r w:rsidRPr="009B0B5A">
        <w:t>Lee,</w:t>
      </w:r>
      <w:r w:rsidR="000B6853" w:rsidRPr="009B0B5A">
        <w:t xml:space="preserve"> </w:t>
      </w:r>
      <w:r w:rsidRPr="009B0B5A">
        <w:t xml:space="preserve">M.W. Park, H. K. Bae,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0B6853" w:rsidRPr="009B0B5A">
        <w:rPr>
          <w:b/>
          <w:bCs/>
        </w:rPr>
        <w:t>2001</w:t>
      </w:r>
      <w:r w:rsidR="000B6853" w:rsidRPr="009B0B5A">
        <w:t xml:space="preserve">, </w:t>
      </w:r>
      <w:r w:rsidRPr="009B0B5A">
        <w:t xml:space="preserve">179, 387. </w:t>
      </w:r>
    </w:p>
    <w:p w14:paraId="3431D998" w14:textId="77777777" w:rsidR="002E35B6" w:rsidRPr="009B0B5A" w:rsidRDefault="002E35B6" w:rsidP="000B6853">
      <w:pPr>
        <w:spacing w:line="480" w:lineRule="auto"/>
        <w:jc w:val="both"/>
      </w:pPr>
      <w:r w:rsidRPr="009B0B5A">
        <w:lastRenderedPageBreak/>
        <w:t xml:space="preserve">[9] </w:t>
      </w:r>
      <w:r w:rsidR="000B6853" w:rsidRPr="009B0B5A">
        <w:t xml:space="preserve">M.D. </w:t>
      </w:r>
      <w:r w:rsidRPr="009B0B5A">
        <w:t xml:space="preserve">Gordillo, C. Pereyra, </w:t>
      </w:r>
      <w:r w:rsidR="000B6853" w:rsidRPr="009B0B5A">
        <w:t>E.J. Martı´Nez De La Ossa, J</w:t>
      </w:r>
      <w:r w:rsidRPr="009B0B5A">
        <w:rPr>
          <w:i/>
          <w:iCs/>
        </w:rPr>
        <w:t>. Of Supercrit. Fluids</w:t>
      </w:r>
      <w:r w:rsidRPr="009B0B5A">
        <w:t xml:space="preserve">. </w:t>
      </w:r>
      <w:r w:rsidR="000B6853" w:rsidRPr="009B0B5A">
        <w:rPr>
          <w:b/>
          <w:bCs/>
        </w:rPr>
        <w:t>2003</w:t>
      </w:r>
      <w:r w:rsidR="000B6853" w:rsidRPr="009B0B5A">
        <w:t xml:space="preserve">, </w:t>
      </w:r>
      <w:r w:rsidRPr="009B0B5A">
        <w:t>27,</w:t>
      </w:r>
      <w:r w:rsidR="000B6853" w:rsidRPr="009B0B5A">
        <w:t xml:space="preserve"> 31</w:t>
      </w:r>
      <w:r w:rsidRPr="009B0B5A">
        <w:t xml:space="preserve">. </w:t>
      </w:r>
    </w:p>
    <w:p w14:paraId="77757156" w14:textId="77777777" w:rsidR="00226450" w:rsidRPr="009B0B5A" w:rsidRDefault="00226450" w:rsidP="00615EED">
      <w:pPr>
        <w:spacing w:line="480" w:lineRule="auto"/>
        <w:jc w:val="both"/>
      </w:pPr>
      <w:r w:rsidRPr="009B0B5A">
        <w:t xml:space="preserve">[10] </w:t>
      </w:r>
      <w:r w:rsidR="00615EED" w:rsidRPr="009B0B5A">
        <w:t xml:space="preserve">M.D. </w:t>
      </w:r>
      <w:r w:rsidRPr="009B0B5A">
        <w:t xml:space="preserve">Gordillo, C. Pereyra, </w:t>
      </w:r>
      <w:r w:rsidR="00615EED" w:rsidRPr="009B0B5A">
        <w:t xml:space="preserve">E.J. Martı´Nez De La Ossa, </w:t>
      </w:r>
      <w:r w:rsidRPr="009B0B5A">
        <w:rPr>
          <w:i/>
          <w:iCs/>
        </w:rPr>
        <w:t>Dye. Pig</w:t>
      </w:r>
      <w:r w:rsidRPr="009B0B5A">
        <w:t xml:space="preserve">. </w:t>
      </w:r>
      <w:r w:rsidR="00615EED" w:rsidRPr="009B0B5A">
        <w:rPr>
          <w:b/>
          <w:bCs/>
        </w:rPr>
        <w:t>2005</w:t>
      </w:r>
      <w:r w:rsidR="00615EED" w:rsidRPr="009B0B5A">
        <w:t xml:space="preserve">, </w:t>
      </w:r>
      <w:r w:rsidRPr="009B0B5A">
        <w:t>67, 167</w:t>
      </w:r>
      <w:r w:rsidR="00615EED" w:rsidRPr="009B0B5A">
        <w:t>.</w:t>
      </w:r>
      <w:r w:rsidRPr="009B0B5A">
        <w:t xml:space="preserve"> </w:t>
      </w:r>
    </w:p>
    <w:p w14:paraId="6F89D744" w14:textId="77777777" w:rsidR="00030249" w:rsidRPr="009B0B5A" w:rsidRDefault="00030249" w:rsidP="00873074">
      <w:pPr>
        <w:spacing w:line="480" w:lineRule="auto"/>
        <w:jc w:val="both"/>
      </w:pPr>
      <w:r w:rsidRPr="009B0B5A">
        <w:t xml:space="preserve">[11] </w:t>
      </w:r>
      <w:r w:rsidR="00873074" w:rsidRPr="009B0B5A">
        <w:t xml:space="preserve">P. </w:t>
      </w:r>
      <w:r w:rsidRPr="009B0B5A">
        <w:t>Coimbra,</w:t>
      </w:r>
      <w:r w:rsidR="00873074" w:rsidRPr="009B0B5A">
        <w:t xml:space="preserve"> </w:t>
      </w:r>
      <w:r w:rsidRPr="009B0B5A">
        <w:t>M. H. Gil, C. M. M. Duarte, B. M. Heron</w:t>
      </w:r>
      <w:r w:rsidR="00873074" w:rsidRPr="009B0B5A">
        <w:t xml:space="preserve">, H. C. De Sousa,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873074" w:rsidRPr="009B0B5A">
        <w:rPr>
          <w:b/>
          <w:bCs/>
        </w:rPr>
        <w:t>2005</w:t>
      </w:r>
      <w:r w:rsidR="00873074" w:rsidRPr="009B0B5A">
        <w:t xml:space="preserve">, </w:t>
      </w:r>
      <w:r w:rsidRPr="009B0B5A">
        <w:t>238, 120.</w:t>
      </w:r>
    </w:p>
    <w:p w14:paraId="1614429E" w14:textId="77777777" w:rsidR="004D2E75" w:rsidRPr="009B0B5A" w:rsidRDefault="004D2E75" w:rsidP="00346233">
      <w:pPr>
        <w:spacing w:line="480" w:lineRule="auto"/>
        <w:jc w:val="both"/>
      </w:pPr>
      <w:r w:rsidRPr="009B0B5A">
        <w:t xml:space="preserve">[12] </w:t>
      </w:r>
      <w:r w:rsidR="00346233" w:rsidRPr="009B0B5A">
        <w:t xml:space="preserve">H.M. </w:t>
      </w:r>
      <w:r w:rsidRPr="009B0B5A">
        <w:t>Lin, Ch.Y. Liu, Ch.H. Cheng, Y.T. Chen, M.J.</w:t>
      </w:r>
      <w:r w:rsidR="00346233" w:rsidRPr="009B0B5A">
        <w:t xml:space="preserve"> Lee, </w:t>
      </w:r>
      <w:r w:rsidRPr="009B0B5A">
        <w:rPr>
          <w:i/>
          <w:iCs/>
        </w:rPr>
        <w:t xml:space="preserve">J </w:t>
      </w:r>
      <w:r w:rsidR="00346233" w:rsidRPr="009B0B5A">
        <w:rPr>
          <w:i/>
          <w:iCs/>
        </w:rPr>
        <w:t>of</w:t>
      </w:r>
      <w:r w:rsidRPr="009B0B5A">
        <w:rPr>
          <w:i/>
          <w:iCs/>
        </w:rPr>
        <w:t xml:space="preserve"> Supercrit. Fluids.</w:t>
      </w:r>
      <w:r w:rsidRPr="009B0B5A">
        <w:t xml:space="preserve"> </w:t>
      </w:r>
      <w:r w:rsidR="00346233" w:rsidRPr="009B0B5A">
        <w:rPr>
          <w:b/>
          <w:bCs/>
        </w:rPr>
        <w:t>2001</w:t>
      </w:r>
      <w:r w:rsidR="00346233" w:rsidRPr="009B0B5A">
        <w:t xml:space="preserve">, </w:t>
      </w:r>
      <w:r w:rsidRPr="009B0B5A">
        <w:t xml:space="preserve">21, 1. </w:t>
      </w:r>
    </w:p>
    <w:p w14:paraId="224C6511" w14:textId="77777777" w:rsidR="005E4564" w:rsidRPr="009B0B5A" w:rsidRDefault="005E4564" w:rsidP="00566A69">
      <w:pPr>
        <w:spacing w:line="480" w:lineRule="auto"/>
        <w:jc w:val="both"/>
      </w:pPr>
      <w:r w:rsidRPr="009B0B5A">
        <w:t xml:space="preserve">[13] </w:t>
      </w:r>
      <w:r w:rsidR="00566A69" w:rsidRPr="009B0B5A">
        <w:t xml:space="preserve">M. </w:t>
      </w:r>
      <w:r w:rsidRPr="009B0B5A">
        <w:t xml:space="preserve">Banchero, A. Ferri, L. Manna, S. Sicardi,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566A69" w:rsidRPr="009B0B5A">
        <w:rPr>
          <w:b/>
          <w:bCs/>
        </w:rPr>
        <w:t>2006</w:t>
      </w:r>
      <w:r w:rsidR="00566A69" w:rsidRPr="009B0B5A">
        <w:t xml:space="preserve">, </w:t>
      </w:r>
      <w:r w:rsidRPr="009B0B5A">
        <w:t>243, 107.</w:t>
      </w:r>
    </w:p>
    <w:p w14:paraId="67CE0375" w14:textId="77777777" w:rsidR="00DD48E1" w:rsidRPr="009B0B5A" w:rsidRDefault="00DD48E1" w:rsidP="00B7258E">
      <w:pPr>
        <w:spacing w:line="480" w:lineRule="auto"/>
        <w:jc w:val="both"/>
      </w:pPr>
      <w:r w:rsidRPr="009B0B5A">
        <w:t xml:space="preserve">[14] </w:t>
      </w:r>
      <w:r w:rsidR="00B7258E" w:rsidRPr="009B0B5A">
        <w:t xml:space="preserve">H.M. </w:t>
      </w:r>
      <w:r w:rsidRPr="009B0B5A">
        <w:t>Lin,</w:t>
      </w:r>
      <w:r w:rsidR="00B7258E" w:rsidRPr="009B0B5A">
        <w:t xml:space="preserve"> </w:t>
      </w:r>
      <w:r w:rsidR="009E7A8B" w:rsidRPr="009B0B5A">
        <w:t>Ch.Ch</w:t>
      </w:r>
      <w:r w:rsidRPr="009B0B5A">
        <w:t xml:space="preserve">. Ho, M.J. </w:t>
      </w:r>
      <w:r w:rsidR="00B7258E" w:rsidRPr="009B0B5A">
        <w:t xml:space="preserve">Lee, </w:t>
      </w:r>
      <w:r w:rsidRPr="009B0B5A">
        <w:rPr>
          <w:i/>
          <w:iCs/>
        </w:rPr>
        <w:t>J. Of Supercrit. Fluids.</w:t>
      </w:r>
      <w:r w:rsidRPr="009B0B5A">
        <w:t xml:space="preserve"> </w:t>
      </w:r>
      <w:r w:rsidR="00B7258E" w:rsidRPr="009B0B5A">
        <w:rPr>
          <w:b/>
          <w:bCs/>
        </w:rPr>
        <w:t>2004</w:t>
      </w:r>
      <w:r w:rsidR="00B7258E" w:rsidRPr="009B0B5A">
        <w:t xml:space="preserve">, </w:t>
      </w:r>
      <w:r w:rsidRPr="009B0B5A">
        <w:t xml:space="preserve">32, 105. </w:t>
      </w:r>
    </w:p>
    <w:p w14:paraId="656787E1" w14:textId="77777777" w:rsidR="00331248" w:rsidRPr="009B0B5A" w:rsidRDefault="00331248" w:rsidP="00894FE4">
      <w:pPr>
        <w:spacing w:line="480" w:lineRule="auto"/>
        <w:jc w:val="both"/>
      </w:pPr>
      <w:r w:rsidRPr="009B0B5A">
        <w:t xml:space="preserve">[15] </w:t>
      </w:r>
      <w:r w:rsidR="00894FE4" w:rsidRPr="009B0B5A">
        <w:t xml:space="preserve">K. </w:t>
      </w:r>
      <w:r w:rsidRPr="009B0B5A">
        <w:t>Tamura, T.</w:t>
      </w:r>
      <w:r w:rsidR="00894FE4" w:rsidRPr="009B0B5A">
        <w:t xml:space="preserve"> Shinoda,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894FE4" w:rsidRPr="009B0B5A">
        <w:rPr>
          <w:b/>
          <w:bCs/>
        </w:rPr>
        <w:t>2004</w:t>
      </w:r>
      <w:r w:rsidR="00894FE4" w:rsidRPr="009B0B5A">
        <w:t xml:space="preserve">, </w:t>
      </w:r>
      <w:r w:rsidRPr="009B0B5A">
        <w:t xml:space="preserve">219, 25. </w:t>
      </w:r>
    </w:p>
    <w:p w14:paraId="4FD49D8D" w14:textId="77777777" w:rsidR="006E0D67" w:rsidRPr="009B0B5A" w:rsidRDefault="006E0D67" w:rsidP="00894FE4">
      <w:pPr>
        <w:spacing w:line="480" w:lineRule="auto"/>
        <w:jc w:val="both"/>
      </w:pPr>
      <w:r w:rsidRPr="009B0B5A">
        <w:t xml:space="preserve">[16] </w:t>
      </w:r>
      <w:r w:rsidR="00894FE4" w:rsidRPr="009B0B5A">
        <w:t xml:space="preserve">J. </w:t>
      </w:r>
      <w:r w:rsidRPr="009B0B5A">
        <w:t xml:space="preserve">Fasihi, Y. Yamini, F. Nourmohammadian, </w:t>
      </w:r>
      <w:r w:rsidR="00894FE4" w:rsidRPr="009B0B5A">
        <w:t>N. Bahramifar, Dye</w:t>
      </w:r>
      <w:r w:rsidRPr="009B0B5A">
        <w:rPr>
          <w:i/>
          <w:iCs/>
        </w:rPr>
        <w:t xml:space="preserve">. </w:t>
      </w:r>
      <w:r w:rsidR="00FF52DF" w:rsidRPr="009B0B5A">
        <w:rPr>
          <w:i/>
          <w:iCs/>
        </w:rPr>
        <w:t>Pig</w:t>
      </w:r>
      <w:r w:rsidR="00FF52DF" w:rsidRPr="009B0B5A">
        <w:t>.</w:t>
      </w:r>
      <w:r w:rsidRPr="009B0B5A">
        <w:t xml:space="preserve"> </w:t>
      </w:r>
      <w:r w:rsidR="00894FE4" w:rsidRPr="009B0B5A">
        <w:rPr>
          <w:b/>
          <w:bCs/>
        </w:rPr>
        <w:t>2004</w:t>
      </w:r>
      <w:r w:rsidR="00894FE4" w:rsidRPr="009B0B5A">
        <w:t xml:space="preserve">, </w:t>
      </w:r>
      <w:r w:rsidRPr="009B0B5A">
        <w:t>63, 161.</w:t>
      </w:r>
    </w:p>
    <w:p w14:paraId="2AAD09C2" w14:textId="77777777" w:rsidR="00B03CB0" w:rsidRPr="009B0B5A" w:rsidRDefault="00B03CB0" w:rsidP="008823DA">
      <w:pPr>
        <w:spacing w:line="480" w:lineRule="auto"/>
        <w:jc w:val="both"/>
      </w:pPr>
      <w:r w:rsidRPr="009B0B5A">
        <w:t xml:space="preserve">[17] </w:t>
      </w:r>
      <w:r w:rsidR="008823DA" w:rsidRPr="009B0B5A">
        <w:t xml:space="preserve">B. </w:t>
      </w:r>
      <w:r w:rsidRPr="009B0B5A">
        <w:t xml:space="preserve">Guzel, A. Akgerman, </w:t>
      </w:r>
      <w:r w:rsidRPr="009B0B5A">
        <w:rPr>
          <w:i/>
          <w:iCs/>
        </w:rPr>
        <w:t>J. Chem. Eng. Data</w:t>
      </w:r>
      <w:r w:rsidRPr="009B0B5A">
        <w:t xml:space="preserve">, </w:t>
      </w:r>
      <w:r w:rsidR="008823DA" w:rsidRPr="009B0B5A">
        <w:rPr>
          <w:b/>
          <w:bCs/>
        </w:rPr>
        <w:t>1999</w:t>
      </w:r>
      <w:r w:rsidR="008823DA" w:rsidRPr="009B0B5A">
        <w:t xml:space="preserve">, </w:t>
      </w:r>
      <w:r w:rsidRPr="009B0B5A">
        <w:t xml:space="preserve">44, 83. </w:t>
      </w:r>
    </w:p>
    <w:p w14:paraId="4B5C21A8" w14:textId="77777777" w:rsidR="00412FEF" w:rsidRPr="009B0B5A" w:rsidRDefault="00412FEF" w:rsidP="000579D5">
      <w:pPr>
        <w:spacing w:line="480" w:lineRule="auto"/>
        <w:jc w:val="both"/>
      </w:pPr>
      <w:r w:rsidRPr="009B0B5A">
        <w:t xml:space="preserve">[18] </w:t>
      </w:r>
      <w:r w:rsidR="000579D5" w:rsidRPr="009B0B5A">
        <w:t xml:space="preserve">J.W. </w:t>
      </w:r>
      <w:r w:rsidRPr="009B0B5A">
        <w:t>Lee, J.M. Min, H.K.</w:t>
      </w:r>
      <w:r w:rsidR="000579D5" w:rsidRPr="009B0B5A">
        <w:t xml:space="preserve"> Bae, </w:t>
      </w:r>
      <w:r w:rsidRPr="009B0B5A">
        <w:rPr>
          <w:i/>
          <w:iCs/>
        </w:rPr>
        <w:t>J. Chem. Eng. Data.</w:t>
      </w:r>
      <w:r w:rsidRPr="009B0B5A">
        <w:t xml:space="preserve">, </w:t>
      </w:r>
      <w:r w:rsidR="000579D5" w:rsidRPr="009B0B5A">
        <w:rPr>
          <w:b/>
          <w:bCs/>
        </w:rPr>
        <w:t>1999</w:t>
      </w:r>
      <w:r w:rsidR="000579D5" w:rsidRPr="009B0B5A">
        <w:t xml:space="preserve">, </w:t>
      </w:r>
      <w:r w:rsidRPr="009B0B5A">
        <w:t xml:space="preserve">44, 684. </w:t>
      </w:r>
    </w:p>
    <w:p w14:paraId="2883FD21" w14:textId="77777777" w:rsidR="00FF52DF" w:rsidRPr="009B0B5A" w:rsidRDefault="00FF52DF" w:rsidP="002A6F33">
      <w:pPr>
        <w:spacing w:line="480" w:lineRule="auto"/>
        <w:jc w:val="both"/>
      </w:pPr>
      <w:r w:rsidRPr="009B0B5A">
        <w:t xml:space="preserve">[19] </w:t>
      </w:r>
      <w:r w:rsidR="002A6F33" w:rsidRPr="009B0B5A">
        <w:t xml:space="preserve">T. </w:t>
      </w:r>
      <w:r w:rsidRPr="009B0B5A">
        <w:t xml:space="preserve">Shinoda, K. Tamura,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2A6F33" w:rsidRPr="009B0B5A">
        <w:rPr>
          <w:b/>
          <w:bCs/>
        </w:rPr>
        <w:t>2003</w:t>
      </w:r>
      <w:r w:rsidR="002A6F33" w:rsidRPr="009B0B5A">
        <w:t xml:space="preserve">, </w:t>
      </w:r>
      <w:r w:rsidRPr="009B0B5A">
        <w:t xml:space="preserve">213, 115. </w:t>
      </w:r>
    </w:p>
    <w:p w14:paraId="6A929F52" w14:textId="77777777" w:rsidR="003A1021" w:rsidRPr="009B0B5A" w:rsidRDefault="003A1021" w:rsidP="003D7774">
      <w:pPr>
        <w:spacing w:line="480" w:lineRule="auto"/>
        <w:jc w:val="both"/>
      </w:pPr>
      <w:r w:rsidRPr="009B0B5A">
        <w:t xml:space="preserve">[20] </w:t>
      </w:r>
      <w:r w:rsidR="00AC5E59" w:rsidRPr="009B0B5A">
        <w:t xml:space="preserve">Z. </w:t>
      </w:r>
      <w:r w:rsidRPr="009B0B5A">
        <w:t>Jinhua,</w:t>
      </w:r>
      <w:r w:rsidR="00AC5E59" w:rsidRPr="009B0B5A">
        <w:t xml:space="preserve"> </w:t>
      </w:r>
      <w:r w:rsidRPr="009B0B5A">
        <w:t>X. Mingxian, L.</w:t>
      </w:r>
      <w:r w:rsidR="003D7774" w:rsidRPr="009B0B5A">
        <w:t xml:space="preserve"> Xueyan, </w:t>
      </w:r>
      <w:r w:rsidRPr="009B0B5A">
        <w:t xml:space="preserve">L. Chunmian, </w:t>
      </w:r>
      <w:r w:rsidRPr="009B0B5A">
        <w:rPr>
          <w:i/>
          <w:iCs/>
        </w:rPr>
        <w:t>Chin. J. Of Chem. Eng.</w:t>
      </w:r>
      <w:r w:rsidRPr="009B0B5A">
        <w:t xml:space="preserve">, </w:t>
      </w:r>
      <w:r w:rsidR="00AC5E59" w:rsidRPr="009B0B5A">
        <w:rPr>
          <w:b/>
          <w:bCs/>
        </w:rPr>
        <w:t>2010</w:t>
      </w:r>
      <w:r w:rsidR="00AC5E59" w:rsidRPr="009B0B5A">
        <w:t xml:space="preserve">, </w:t>
      </w:r>
      <w:r w:rsidRPr="009B0B5A">
        <w:t xml:space="preserve">18(4), 648. </w:t>
      </w:r>
    </w:p>
    <w:p w14:paraId="15F6FFCF" w14:textId="77777777" w:rsidR="003A1021" w:rsidRPr="009B0B5A" w:rsidRDefault="003A1021" w:rsidP="003D7774">
      <w:pPr>
        <w:spacing w:line="480" w:lineRule="auto"/>
        <w:jc w:val="both"/>
      </w:pPr>
      <w:r w:rsidRPr="009B0B5A">
        <w:t xml:space="preserve">[21] </w:t>
      </w:r>
      <w:proofErr w:type="gramStart"/>
      <w:r w:rsidR="007D1A22" w:rsidRPr="009B0B5A">
        <w:t>P.</w:t>
      </w:r>
      <w:r w:rsidRPr="009B0B5A">
        <w:t>Dong</w:t>
      </w:r>
      <w:proofErr w:type="gramEnd"/>
      <w:r w:rsidRPr="009B0B5A">
        <w:t>, M. Xu, X. Lu, Ch. Li</w:t>
      </w:r>
      <w:r w:rsidR="007D1A22" w:rsidRPr="009B0B5A">
        <w:t xml:space="preserve">n, </w:t>
      </w:r>
      <w:r w:rsidRPr="009B0B5A">
        <w:rPr>
          <w:i/>
          <w:iCs/>
        </w:rPr>
        <w:t>Fluid Phase Equilib</w:t>
      </w:r>
      <w:r w:rsidRPr="009B0B5A">
        <w:t xml:space="preserve">. </w:t>
      </w:r>
      <w:r w:rsidR="007D1A22" w:rsidRPr="009B0B5A">
        <w:rPr>
          <w:b/>
          <w:bCs/>
        </w:rPr>
        <w:t>2010</w:t>
      </w:r>
      <w:r w:rsidR="007D1A22" w:rsidRPr="009B0B5A">
        <w:t xml:space="preserve">, </w:t>
      </w:r>
      <w:r w:rsidRPr="009B0B5A">
        <w:t>297, 46.</w:t>
      </w:r>
    </w:p>
    <w:p w14:paraId="3FC054B5" w14:textId="77777777" w:rsidR="00BB3503" w:rsidRPr="009B0B5A" w:rsidRDefault="00BB3503" w:rsidP="003D7774">
      <w:pPr>
        <w:spacing w:line="480" w:lineRule="auto"/>
        <w:jc w:val="both"/>
      </w:pPr>
      <w:r w:rsidRPr="009B0B5A">
        <w:t>[</w:t>
      </w:r>
      <w:r w:rsidR="003A1021" w:rsidRPr="009B0B5A">
        <w:t>22</w:t>
      </w:r>
      <w:r w:rsidRPr="009B0B5A">
        <w:t xml:space="preserve">] </w:t>
      </w:r>
      <w:r w:rsidR="003D7774" w:rsidRPr="009B0B5A">
        <w:t xml:space="preserve">D. B. </w:t>
      </w:r>
      <w:r w:rsidRPr="009B0B5A">
        <w:t>Robinson,</w:t>
      </w:r>
      <w:r w:rsidR="003D7774" w:rsidRPr="009B0B5A">
        <w:t xml:space="preserve"> D. Y. Peng, </w:t>
      </w:r>
      <w:r w:rsidRPr="009B0B5A">
        <w:rPr>
          <w:i/>
          <w:iCs/>
        </w:rPr>
        <w:t>Ind. Eng. Chem. Fund.</w:t>
      </w:r>
      <w:r w:rsidRPr="009B0B5A">
        <w:t xml:space="preserve">, </w:t>
      </w:r>
      <w:r w:rsidR="003D7774" w:rsidRPr="009B0B5A">
        <w:rPr>
          <w:b/>
          <w:bCs/>
        </w:rPr>
        <w:t>1976</w:t>
      </w:r>
      <w:r w:rsidR="003D7774" w:rsidRPr="009B0B5A">
        <w:t xml:space="preserve">, </w:t>
      </w:r>
      <w:r w:rsidRPr="009B0B5A">
        <w:t>15, 559</w:t>
      </w:r>
      <w:r w:rsidR="003D7774" w:rsidRPr="009B0B5A">
        <w:t>.</w:t>
      </w:r>
      <w:r w:rsidRPr="009B0B5A">
        <w:t xml:space="preserve"> </w:t>
      </w:r>
    </w:p>
    <w:p w14:paraId="507E798C" w14:textId="77777777" w:rsidR="00D67C16" w:rsidRPr="009B0B5A" w:rsidRDefault="00C47654" w:rsidP="007E3DE1">
      <w:pPr>
        <w:spacing w:line="480" w:lineRule="auto"/>
        <w:jc w:val="both"/>
      </w:pPr>
      <w:r w:rsidRPr="009B0B5A">
        <w:t>[</w:t>
      </w:r>
      <w:r w:rsidR="00BD19A7" w:rsidRPr="009B0B5A">
        <w:t>23</w:t>
      </w:r>
      <w:r w:rsidRPr="009B0B5A">
        <w:t xml:space="preserve">] </w:t>
      </w:r>
      <w:r w:rsidR="007E3DE1" w:rsidRPr="009B0B5A">
        <w:t xml:space="preserve">M. </w:t>
      </w:r>
      <w:r w:rsidRPr="009B0B5A">
        <w:t xml:space="preserve">Asgarpour Khansary, </w:t>
      </w:r>
      <w:r w:rsidR="007E3DE1" w:rsidRPr="009B0B5A">
        <w:t xml:space="preserve">A. Hallaji Sani, </w:t>
      </w:r>
      <w:r w:rsidRPr="009B0B5A">
        <w:rPr>
          <w:i/>
          <w:iCs/>
        </w:rPr>
        <w:t xml:space="preserve">Fluid. Phase. </w:t>
      </w:r>
      <w:r w:rsidR="00BB3503" w:rsidRPr="009B0B5A">
        <w:rPr>
          <w:i/>
          <w:iCs/>
        </w:rPr>
        <w:t>Equilibria</w:t>
      </w:r>
      <w:r w:rsidRPr="009B0B5A">
        <w:rPr>
          <w:i/>
          <w:iCs/>
        </w:rPr>
        <w:t>.</w:t>
      </w:r>
      <w:r w:rsidRPr="009B0B5A">
        <w:t xml:space="preserve"> </w:t>
      </w:r>
      <w:r w:rsidR="007E3DE1" w:rsidRPr="009B0B5A">
        <w:rPr>
          <w:b/>
          <w:bCs/>
        </w:rPr>
        <w:t>2014</w:t>
      </w:r>
      <w:r w:rsidR="008E07E9" w:rsidRPr="009B0B5A">
        <w:t>, 365</w:t>
      </w:r>
      <w:r w:rsidR="00C77ACE" w:rsidRPr="009B0B5A">
        <w:t xml:space="preserve">, 141-145. </w:t>
      </w:r>
      <w:r w:rsidR="00C77ACE" w:rsidRPr="009B0B5A">
        <w:rPr>
          <w:b/>
          <w:bCs/>
        </w:rPr>
        <w:t>DOI</w:t>
      </w:r>
      <w:r w:rsidR="00C77ACE" w:rsidRPr="009B0B5A">
        <w:t xml:space="preserve">: </w:t>
      </w:r>
      <w:r w:rsidRPr="009B0B5A">
        <w:t>10.1016/j.fluid.2014.01.016.</w:t>
      </w:r>
    </w:p>
    <w:p w14:paraId="1F09C8E0" w14:textId="77777777" w:rsidR="003737A6" w:rsidRDefault="003737A6" w:rsidP="003737A6">
      <w:pPr>
        <w:spacing w:line="480" w:lineRule="auto"/>
        <w:jc w:val="both"/>
      </w:pPr>
      <w:r w:rsidRPr="009B0B5A">
        <w:t xml:space="preserve">[24] Sh. Jafari Nejad, M. Asgarpour Khansary, F. Amiri, </w:t>
      </w:r>
      <w:r w:rsidRPr="009B0B5A">
        <w:rPr>
          <w:i/>
          <w:iCs/>
        </w:rPr>
        <w:t>Int. J. Thermodyn</w:t>
      </w:r>
      <w:r w:rsidRPr="009B0B5A">
        <w:t xml:space="preserve">. </w:t>
      </w:r>
      <w:r w:rsidRPr="009B0B5A">
        <w:rPr>
          <w:b/>
          <w:bCs/>
        </w:rPr>
        <w:t>2012</w:t>
      </w:r>
      <w:r w:rsidRPr="009B0B5A">
        <w:t>, 15 (2), 103-110.</w:t>
      </w:r>
    </w:p>
    <w:sectPr w:rsidR="003737A6" w:rsidSect="00D642C5"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17A3" w14:textId="77777777" w:rsidR="007052E1" w:rsidRDefault="007052E1" w:rsidP="00F47F6A">
      <w:r>
        <w:separator/>
      </w:r>
    </w:p>
  </w:endnote>
  <w:endnote w:type="continuationSeparator" w:id="0">
    <w:p w14:paraId="3D9C2A73" w14:textId="77777777" w:rsidR="007052E1" w:rsidRDefault="007052E1" w:rsidP="00F4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A920" w14:textId="77777777" w:rsidR="007651E2" w:rsidRDefault="007651E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0B5A">
      <w:rPr>
        <w:noProof/>
      </w:rPr>
      <w:t>6</w:t>
    </w:r>
    <w:r>
      <w:rPr>
        <w:noProof/>
      </w:rPr>
      <w:fldChar w:fldCharType="end"/>
    </w:r>
  </w:p>
  <w:p w14:paraId="4E302D9B" w14:textId="77777777" w:rsidR="007651E2" w:rsidRDefault="0076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67CF" w14:textId="77777777" w:rsidR="007052E1" w:rsidRDefault="007052E1" w:rsidP="00F47F6A">
      <w:r>
        <w:separator/>
      </w:r>
    </w:p>
  </w:footnote>
  <w:footnote w:type="continuationSeparator" w:id="0">
    <w:p w14:paraId="6A73A00D" w14:textId="77777777" w:rsidR="007052E1" w:rsidRDefault="007052E1" w:rsidP="00F4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CB3"/>
    <w:multiLevelType w:val="hybridMultilevel"/>
    <w:tmpl w:val="7602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C3253"/>
    <w:multiLevelType w:val="hybridMultilevel"/>
    <w:tmpl w:val="BB3A44CA"/>
    <w:lvl w:ilvl="0" w:tplc="AA5E57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6145C"/>
    <w:multiLevelType w:val="hybridMultilevel"/>
    <w:tmpl w:val="6DC817D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7AEA"/>
    <w:multiLevelType w:val="hybridMultilevel"/>
    <w:tmpl w:val="FCC4A204"/>
    <w:lvl w:ilvl="0" w:tplc="AA5E57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2E7B"/>
    <w:multiLevelType w:val="hybridMultilevel"/>
    <w:tmpl w:val="A51C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67900">
    <w:abstractNumId w:val="1"/>
  </w:num>
  <w:num w:numId="2" w16cid:durableId="503712298">
    <w:abstractNumId w:val="0"/>
  </w:num>
  <w:num w:numId="3" w16cid:durableId="423384363">
    <w:abstractNumId w:val="2"/>
  </w:num>
  <w:num w:numId="4" w16cid:durableId="645624352">
    <w:abstractNumId w:val="3"/>
  </w:num>
  <w:num w:numId="5" w16cid:durableId="107358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6A"/>
    <w:rsid w:val="000058B0"/>
    <w:rsid w:val="00010742"/>
    <w:rsid w:val="00010FAE"/>
    <w:rsid w:val="00011836"/>
    <w:rsid w:val="00023B5A"/>
    <w:rsid w:val="00030249"/>
    <w:rsid w:val="000461BA"/>
    <w:rsid w:val="00047FD8"/>
    <w:rsid w:val="00050F08"/>
    <w:rsid w:val="00053BE6"/>
    <w:rsid w:val="000579D5"/>
    <w:rsid w:val="000720EC"/>
    <w:rsid w:val="00072AC5"/>
    <w:rsid w:val="00080347"/>
    <w:rsid w:val="00081AED"/>
    <w:rsid w:val="0008227C"/>
    <w:rsid w:val="00082EAC"/>
    <w:rsid w:val="000A22CB"/>
    <w:rsid w:val="000A442C"/>
    <w:rsid w:val="000B1B8E"/>
    <w:rsid w:val="000B6853"/>
    <w:rsid w:val="000C2441"/>
    <w:rsid w:val="000D189F"/>
    <w:rsid w:val="000D73E7"/>
    <w:rsid w:val="000E17E3"/>
    <w:rsid w:val="000E1F96"/>
    <w:rsid w:val="000E239D"/>
    <w:rsid w:val="000E7114"/>
    <w:rsid w:val="000F67E4"/>
    <w:rsid w:val="000F7342"/>
    <w:rsid w:val="00104EF4"/>
    <w:rsid w:val="00114FE4"/>
    <w:rsid w:val="00127671"/>
    <w:rsid w:val="00133A24"/>
    <w:rsid w:val="00135361"/>
    <w:rsid w:val="00141947"/>
    <w:rsid w:val="00146F83"/>
    <w:rsid w:val="001619F0"/>
    <w:rsid w:val="001645B6"/>
    <w:rsid w:val="001710D2"/>
    <w:rsid w:val="001751FF"/>
    <w:rsid w:val="00177198"/>
    <w:rsid w:val="00180D05"/>
    <w:rsid w:val="00180F67"/>
    <w:rsid w:val="00184ACA"/>
    <w:rsid w:val="0018591D"/>
    <w:rsid w:val="001A1535"/>
    <w:rsid w:val="001A62FE"/>
    <w:rsid w:val="001B0249"/>
    <w:rsid w:val="001B4C06"/>
    <w:rsid w:val="001C73A3"/>
    <w:rsid w:val="001E05E9"/>
    <w:rsid w:val="001F59AA"/>
    <w:rsid w:val="002008BD"/>
    <w:rsid w:val="00203F31"/>
    <w:rsid w:val="00204D49"/>
    <w:rsid w:val="00210CCB"/>
    <w:rsid w:val="00220135"/>
    <w:rsid w:val="00226450"/>
    <w:rsid w:val="002323E0"/>
    <w:rsid w:val="00240FE3"/>
    <w:rsid w:val="0024382F"/>
    <w:rsid w:val="00256B12"/>
    <w:rsid w:val="00256EE0"/>
    <w:rsid w:val="00272212"/>
    <w:rsid w:val="00281DDC"/>
    <w:rsid w:val="002821CD"/>
    <w:rsid w:val="002869CF"/>
    <w:rsid w:val="0029206E"/>
    <w:rsid w:val="00294A49"/>
    <w:rsid w:val="002A6F33"/>
    <w:rsid w:val="002C5CD9"/>
    <w:rsid w:val="002C73B4"/>
    <w:rsid w:val="002C7B8B"/>
    <w:rsid w:val="002D5977"/>
    <w:rsid w:val="002D5FD4"/>
    <w:rsid w:val="002E2462"/>
    <w:rsid w:val="002E35B6"/>
    <w:rsid w:val="002E5E0A"/>
    <w:rsid w:val="002E6325"/>
    <w:rsid w:val="00315AA9"/>
    <w:rsid w:val="00331248"/>
    <w:rsid w:val="00335B30"/>
    <w:rsid w:val="00346233"/>
    <w:rsid w:val="00346CFD"/>
    <w:rsid w:val="0035010D"/>
    <w:rsid w:val="00353C73"/>
    <w:rsid w:val="00354615"/>
    <w:rsid w:val="00363351"/>
    <w:rsid w:val="00366421"/>
    <w:rsid w:val="003711D1"/>
    <w:rsid w:val="003737A6"/>
    <w:rsid w:val="00375D57"/>
    <w:rsid w:val="0037755E"/>
    <w:rsid w:val="00385458"/>
    <w:rsid w:val="003901DE"/>
    <w:rsid w:val="003A1021"/>
    <w:rsid w:val="003B420B"/>
    <w:rsid w:val="003B563D"/>
    <w:rsid w:val="003B5BC7"/>
    <w:rsid w:val="003C605E"/>
    <w:rsid w:val="003C6D5A"/>
    <w:rsid w:val="003D6E19"/>
    <w:rsid w:val="003D7774"/>
    <w:rsid w:val="003E1BB7"/>
    <w:rsid w:val="0040143C"/>
    <w:rsid w:val="00412FEF"/>
    <w:rsid w:val="0041450D"/>
    <w:rsid w:val="00416076"/>
    <w:rsid w:val="00434447"/>
    <w:rsid w:val="00435A8F"/>
    <w:rsid w:val="00435F72"/>
    <w:rsid w:val="00452F5A"/>
    <w:rsid w:val="004568F5"/>
    <w:rsid w:val="00456C7A"/>
    <w:rsid w:val="0046089B"/>
    <w:rsid w:val="0046291E"/>
    <w:rsid w:val="004736DF"/>
    <w:rsid w:val="004758E2"/>
    <w:rsid w:val="0048375B"/>
    <w:rsid w:val="004948A8"/>
    <w:rsid w:val="004A1600"/>
    <w:rsid w:val="004A3A1D"/>
    <w:rsid w:val="004A3B8E"/>
    <w:rsid w:val="004B6C13"/>
    <w:rsid w:val="004C484E"/>
    <w:rsid w:val="004C6E61"/>
    <w:rsid w:val="004D2E75"/>
    <w:rsid w:val="004F0DF6"/>
    <w:rsid w:val="004F28AB"/>
    <w:rsid w:val="004F39A0"/>
    <w:rsid w:val="004F5518"/>
    <w:rsid w:val="0050344E"/>
    <w:rsid w:val="0053177D"/>
    <w:rsid w:val="00542A6A"/>
    <w:rsid w:val="00546F29"/>
    <w:rsid w:val="00561262"/>
    <w:rsid w:val="005637B3"/>
    <w:rsid w:val="00563C94"/>
    <w:rsid w:val="00566A69"/>
    <w:rsid w:val="00573FF1"/>
    <w:rsid w:val="0057563E"/>
    <w:rsid w:val="00580124"/>
    <w:rsid w:val="005A2072"/>
    <w:rsid w:val="005A32A3"/>
    <w:rsid w:val="005B1CBD"/>
    <w:rsid w:val="005B33A5"/>
    <w:rsid w:val="005C3C8C"/>
    <w:rsid w:val="005C4C13"/>
    <w:rsid w:val="005C7E0F"/>
    <w:rsid w:val="005D4543"/>
    <w:rsid w:val="005D5418"/>
    <w:rsid w:val="005E0172"/>
    <w:rsid w:val="005E3FD4"/>
    <w:rsid w:val="005E4564"/>
    <w:rsid w:val="005E710B"/>
    <w:rsid w:val="005F2173"/>
    <w:rsid w:val="00615EED"/>
    <w:rsid w:val="00622F80"/>
    <w:rsid w:val="00625457"/>
    <w:rsid w:val="00627304"/>
    <w:rsid w:val="0063585F"/>
    <w:rsid w:val="00642E5E"/>
    <w:rsid w:val="00643BFD"/>
    <w:rsid w:val="00647B3D"/>
    <w:rsid w:val="00647B6C"/>
    <w:rsid w:val="006543E8"/>
    <w:rsid w:val="00660341"/>
    <w:rsid w:val="00660C97"/>
    <w:rsid w:val="00667EB2"/>
    <w:rsid w:val="006735FA"/>
    <w:rsid w:val="00680C10"/>
    <w:rsid w:val="0068243E"/>
    <w:rsid w:val="006828CB"/>
    <w:rsid w:val="00684F11"/>
    <w:rsid w:val="00697CFE"/>
    <w:rsid w:val="00697E80"/>
    <w:rsid w:val="006D2E49"/>
    <w:rsid w:val="006D3514"/>
    <w:rsid w:val="006E0D67"/>
    <w:rsid w:val="006E4B7C"/>
    <w:rsid w:val="006E557C"/>
    <w:rsid w:val="006F20A9"/>
    <w:rsid w:val="006F246B"/>
    <w:rsid w:val="006F3098"/>
    <w:rsid w:val="007052E1"/>
    <w:rsid w:val="00707CD1"/>
    <w:rsid w:val="007164B8"/>
    <w:rsid w:val="007215D9"/>
    <w:rsid w:val="00722632"/>
    <w:rsid w:val="00722EC4"/>
    <w:rsid w:val="00725E62"/>
    <w:rsid w:val="0072763F"/>
    <w:rsid w:val="007312E5"/>
    <w:rsid w:val="0073586E"/>
    <w:rsid w:val="00744794"/>
    <w:rsid w:val="00751E29"/>
    <w:rsid w:val="0076136A"/>
    <w:rsid w:val="00764BCE"/>
    <w:rsid w:val="007651E2"/>
    <w:rsid w:val="007743BF"/>
    <w:rsid w:val="0077616F"/>
    <w:rsid w:val="00791CDD"/>
    <w:rsid w:val="0079267E"/>
    <w:rsid w:val="00794D17"/>
    <w:rsid w:val="00794D52"/>
    <w:rsid w:val="00796F4F"/>
    <w:rsid w:val="00797808"/>
    <w:rsid w:val="007D1A22"/>
    <w:rsid w:val="007E3DE1"/>
    <w:rsid w:val="007E61B9"/>
    <w:rsid w:val="007F0BCD"/>
    <w:rsid w:val="007F280B"/>
    <w:rsid w:val="0080445B"/>
    <w:rsid w:val="00807FFC"/>
    <w:rsid w:val="0081408C"/>
    <w:rsid w:val="008243EC"/>
    <w:rsid w:val="00834C6E"/>
    <w:rsid w:val="00836A2E"/>
    <w:rsid w:val="008415BE"/>
    <w:rsid w:val="0085758E"/>
    <w:rsid w:val="008669D0"/>
    <w:rsid w:val="00873074"/>
    <w:rsid w:val="00873B24"/>
    <w:rsid w:val="008800FE"/>
    <w:rsid w:val="008823DA"/>
    <w:rsid w:val="008835B6"/>
    <w:rsid w:val="008870F4"/>
    <w:rsid w:val="0089160E"/>
    <w:rsid w:val="00894FE4"/>
    <w:rsid w:val="0089679D"/>
    <w:rsid w:val="00897299"/>
    <w:rsid w:val="008A10C9"/>
    <w:rsid w:val="008A30BC"/>
    <w:rsid w:val="008A37FE"/>
    <w:rsid w:val="008C4FE4"/>
    <w:rsid w:val="008E07E9"/>
    <w:rsid w:val="008E177E"/>
    <w:rsid w:val="008E3E7B"/>
    <w:rsid w:val="008E4515"/>
    <w:rsid w:val="008F549B"/>
    <w:rsid w:val="00903AFB"/>
    <w:rsid w:val="009079D5"/>
    <w:rsid w:val="009136C0"/>
    <w:rsid w:val="009170A4"/>
    <w:rsid w:val="009214D3"/>
    <w:rsid w:val="00923E9E"/>
    <w:rsid w:val="00926C85"/>
    <w:rsid w:val="00937A9D"/>
    <w:rsid w:val="00942FF9"/>
    <w:rsid w:val="00945D85"/>
    <w:rsid w:val="00946C77"/>
    <w:rsid w:val="00956579"/>
    <w:rsid w:val="00960AB9"/>
    <w:rsid w:val="0098181F"/>
    <w:rsid w:val="00986038"/>
    <w:rsid w:val="00994D62"/>
    <w:rsid w:val="00995663"/>
    <w:rsid w:val="009A3155"/>
    <w:rsid w:val="009A68E6"/>
    <w:rsid w:val="009B09DB"/>
    <w:rsid w:val="009B0B5A"/>
    <w:rsid w:val="009B2B5A"/>
    <w:rsid w:val="009B4B4B"/>
    <w:rsid w:val="009B6C10"/>
    <w:rsid w:val="009C3F59"/>
    <w:rsid w:val="009C67AB"/>
    <w:rsid w:val="009D02B6"/>
    <w:rsid w:val="009D30D8"/>
    <w:rsid w:val="009E7A8B"/>
    <w:rsid w:val="00A01E60"/>
    <w:rsid w:val="00A1472F"/>
    <w:rsid w:val="00A23523"/>
    <w:rsid w:val="00A371B7"/>
    <w:rsid w:val="00A6360D"/>
    <w:rsid w:val="00A828A9"/>
    <w:rsid w:val="00A833BE"/>
    <w:rsid w:val="00A91F2D"/>
    <w:rsid w:val="00AA09DE"/>
    <w:rsid w:val="00AA2AFC"/>
    <w:rsid w:val="00AA3889"/>
    <w:rsid w:val="00AA7398"/>
    <w:rsid w:val="00AA7C74"/>
    <w:rsid w:val="00AB7574"/>
    <w:rsid w:val="00AC30A0"/>
    <w:rsid w:val="00AC3DB5"/>
    <w:rsid w:val="00AC5E59"/>
    <w:rsid w:val="00AC5FA5"/>
    <w:rsid w:val="00AD5A82"/>
    <w:rsid w:val="00AD6FB2"/>
    <w:rsid w:val="00AE4E70"/>
    <w:rsid w:val="00AE788E"/>
    <w:rsid w:val="00AF21A7"/>
    <w:rsid w:val="00AF4525"/>
    <w:rsid w:val="00B03CB0"/>
    <w:rsid w:val="00B11D31"/>
    <w:rsid w:val="00B26607"/>
    <w:rsid w:val="00B30391"/>
    <w:rsid w:val="00B31E4E"/>
    <w:rsid w:val="00B552C9"/>
    <w:rsid w:val="00B7258E"/>
    <w:rsid w:val="00B75397"/>
    <w:rsid w:val="00B759E0"/>
    <w:rsid w:val="00B77E64"/>
    <w:rsid w:val="00B80453"/>
    <w:rsid w:val="00BA0586"/>
    <w:rsid w:val="00BB3503"/>
    <w:rsid w:val="00BB6F63"/>
    <w:rsid w:val="00BB71AB"/>
    <w:rsid w:val="00BD04B3"/>
    <w:rsid w:val="00BD19A7"/>
    <w:rsid w:val="00BE29F0"/>
    <w:rsid w:val="00BE5B40"/>
    <w:rsid w:val="00C060BE"/>
    <w:rsid w:val="00C12BA7"/>
    <w:rsid w:val="00C16047"/>
    <w:rsid w:val="00C24F6A"/>
    <w:rsid w:val="00C25F7E"/>
    <w:rsid w:val="00C4500F"/>
    <w:rsid w:val="00C473F3"/>
    <w:rsid w:val="00C47654"/>
    <w:rsid w:val="00C5454D"/>
    <w:rsid w:val="00C61059"/>
    <w:rsid w:val="00C6108F"/>
    <w:rsid w:val="00C64137"/>
    <w:rsid w:val="00C6797E"/>
    <w:rsid w:val="00C67C19"/>
    <w:rsid w:val="00C7483F"/>
    <w:rsid w:val="00C74CA8"/>
    <w:rsid w:val="00C77ACE"/>
    <w:rsid w:val="00C81675"/>
    <w:rsid w:val="00C91A78"/>
    <w:rsid w:val="00CA6772"/>
    <w:rsid w:val="00CB4894"/>
    <w:rsid w:val="00CC1180"/>
    <w:rsid w:val="00CC7E2D"/>
    <w:rsid w:val="00CE3E45"/>
    <w:rsid w:val="00CF073D"/>
    <w:rsid w:val="00CF30A0"/>
    <w:rsid w:val="00D100E9"/>
    <w:rsid w:val="00D11C60"/>
    <w:rsid w:val="00D158E7"/>
    <w:rsid w:val="00D20387"/>
    <w:rsid w:val="00D45DB9"/>
    <w:rsid w:val="00D50B02"/>
    <w:rsid w:val="00D52DE5"/>
    <w:rsid w:val="00D55E06"/>
    <w:rsid w:val="00D62B47"/>
    <w:rsid w:val="00D62CDF"/>
    <w:rsid w:val="00D642C5"/>
    <w:rsid w:val="00D67C16"/>
    <w:rsid w:val="00D71B47"/>
    <w:rsid w:val="00D72F2B"/>
    <w:rsid w:val="00D83347"/>
    <w:rsid w:val="00D97C5D"/>
    <w:rsid w:val="00DA346F"/>
    <w:rsid w:val="00DA4140"/>
    <w:rsid w:val="00DB5570"/>
    <w:rsid w:val="00DD02EB"/>
    <w:rsid w:val="00DD2C13"/>
    <w:rsid w:val="00DD2C50"/>
    <w:rsid w:val="00DD43C2"/>
    <w:rsid w:val="00DD48E1"/>
    <w:rsid w:val="00DD7A55"/>
    <w:rsid w:val="00DE1AC0"/>
    <w:rsid w:val="00DE6F44"/>
    <w:rsid w:val="00DF430D"/>
    <w:rsid w:val="00DF7D76"/>
    <w:rsid w:val="00E0744A"/>
    <w:rsid w:val="00E159CF"/>
    <w:rsid w:val="00E22148"/>
    <w:rsid w:val="00E23556"/>
    <w:rsid w:val="00E24F69"/>
    <w:rsid w:val="00E25CC7"/>
    <w:rsid w:val="00E26A41"/>
    <w:rsid w:val="00E27A37"/>
    <w:rsid w:val="00E7044D"/>
    <w:rsid w:val="00E71C2C"/>
    <w:rsid w:val="00E84919"/>
    <w:rsid w:val="00E94C7E"/>
    <w:rsid w:val="00EA2BD6"/>
    <w:rsid w:val="00EA47E2"/>
    <w:rsid w:val="00EE136F"/>
    <w:rsid w:val="00EF30AE"/>
    <w:rsid w:val="00EF469D"/>
    <w:rsid w:val="00F0574B"/>
    <w:rsid w:val="00F06CCC"/>
    <w:rsid w:val="00F10456"/>
    <w:rsid w:val="00F1365D"/>
    <w:rsid w:val="00F15576"/>
    <w:rsid w:val="00F31AF7"/>
    <w:rsid w:val="00F47F6A"/>
    <w:rsid w:val="00F51196"/>
    <w:rsid w:val="00F55389"/>
    <w:rsid w:val="00F7029C"/>
    <w:rsid w:val="00F81422"/>
    <w:rsid w:val="00F865DA"/>
    <w:rsid w:val="00F93369"/>
    <w:rsid w:val="00FA2A73"/>
    <w:rsid w:val="00FA778A"/>
    <w:rsid w:val="00FB4B57"/>
    <w:rsid w:val="00FB523F"/>
    <w:rsid w:val="00FC2F96"/>
    <w:rsid w:val="00FC489A"/>
    <w:rsid w:val="00FC639A"/>
    <w:rsid w:val="00FD270F"/>
    <w:rsid w:val="00FD70BB"/>
    <w:rsid w:val="00FE0036"/>
    <w:rsid w:val="00FE6124"/>
    <w:rsid w:val="00FF290B"/>
    <w:rsid w:val="00FF52DF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D4AE9"/>
  <w15:chartTrackingRefBased/>
  <w15:docId w15:val="{0F6F0646-09CC-4FEB-9079-8957EDA1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6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47F6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F47F6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7F6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47F6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F47F6A"/>
    <w:rPr>
      <w:vertAlign w:val="superscript"/>
    </w:rPr>
  </w:style>
  <w:style w:type="character" w:customStyle="1" w:styleId="yshortcuts">
    <w:name w:val="yshortcuts"/>
    <w:rsid w:val="00A833BE"/>
  </w:style>
  <w:style w:type="paragraph" w:styleId="Header">
    <w:name w:val="header"/>
    <w:basedOn w:val="Normal"/>
    <w:link w:val="HeaderChar"/>
    <w:uiPriority w:val="99"/>
    <w:unhideWhenUsed/>
    <w:rsid w:val="007651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51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1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51E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804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C1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C4C1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Milad Asgarpour Khansary</cp:lastModifiedBy>
  <cp:revision>2</cp:revision>
  <dcterms:created xsi:type="dcterms:W3CDTF">2024-04-06T17:28:00Z</dcterms:created>
  <dcterms:modified xsi:type="dcterms:W3CDTF">2024-04-06T17:28:00Z</dcterms:modified>
</cp:coreProperties>
</file>