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BC" w:rsidRPr="00805618" w:rsidRDefault="003F07BC" w:rsidP="006E2DA7">
      <w:pPr>
        <w:pStyle w:val="Title"/>
        <w:jc w:val="center"/>
      </w:pPr>
      <w:bookmarkStart w:id="0" w:name="_GoBack"/>
      <w:bookmarkEnd w:id="0"/>
      <w:r w:rsidRPr="00805618">
        <w:t xml:space="preserve">Appendix </w:t>
      </w:r>
      <w:r>
        <w:t>B</w:t>
      </w:r>
      <w:r w:rsidRPr="00805618">
        <w:t xml:space="preserve"> – </w:t>
      </w:r>
      <w:r w:rsidR="006E2DA7" w:rsidRPr="00AB15FA">
        <w:rPr>
          <w:lang w:eastAsia="ja-JP"/>
        </w:rPr>
        <w:t>activity</w:t>
      </w:r>
      <w:r w:rsidR="006E2DA7">
        <w:rPr>
          <w:lang w:eastAsia="ja-JP"/>
        </w:rPr>
        <w:t xml:space="preserve"> </w:t>
      </w:r>
      <w:r w:rsidR="006E2DA7" w:rsidRPr="00AB15FA">
        <w:rPr>
          <w:lang w:eastAsia="ja-JP"/>
        </w:rPr>
        <w:t>coefficients (</w:t>
      </w:r>
      <w:r w:rsidR="006E2DA7" w:rsidRPr="00AB15FA">
        <w:rPr>
          <w:i/>
          <w:iCs/>
          <w:lang w:eastAsia="ja-JP"/>
        </w:rPr>
        <w:t>γ</w:t>
      </w:r>
      <w:r w:rsidR="006E2DA7" w:rsidRPr="00AB15FA">
        <w:rPr>
          <w:lang w:eastAsia="ja-JP"/>
        </w:rPr>
        <w:t xml:space="preserve">) </w:t>
      </w:r>
      <w:r w:rsidRPr="00805618">
        <w:t>of individual compounds</w:t>
      </w:r>
    </w:p>
    <w:p w:rsidR="003F07BC" w:rsidRPr="00805618" w:rsidRDefault="003F07BC" w:rsidP="003F07BC"/>
    <w:p w:rsidR="003F07BC" w:rsidRDefault="003F07BC" w:rsidP="003F07BC">
      <w:pPr>
        <w:pStyle w:val="Title"/>
      </w:pPr>
      <w:r w:rsidRPr="00F0208A">
        <w:t xml:space="preserve">Evaluating cellulose potential for estrogen micropollutants removal from water effluents using quantum chemical calculations </w:t>
      </w:r>
    </w:p>
    <w:p w:rsidR="003F07BC" w:rsidRPr="00805618" w:rsidRDefault="003F07BC" w:rsidP="003F07BC"/>
    <w:p w:rsidR="003F07BC" w:rsidRDefault="003F07BC" w:rsidP="003F07BC">
      <w:r w:rsidRPr="00F0208A">
        <w:t>Milad Asgarpour Khansary 1*, Azam Marjani 2, Saeed Shirazian 3</w:t>
      </w:r>
    </w:p>
    <w:p w:rsidR="003F07BC" w:rsidRPr="00F0208A" w:rsidRDefault="003F07BC" w:rsidP="003F07BC"/>
    <w:p w:rsidR="003F07BC" w:rsidRPr="00F0208A" w:rsidRDefault="003F07BC" w:rsidP="003F07BC">
      <w:r w:rsidRPr="00F0208A">
        <w:t xml:space="preserve">1 – Young Researchers and Elite Club, South Tehran Branch, Islamic Azad University, Tehran, Iran </w:t>
      </w:r>
    </w:p>
    <w:p w:rsidR="003F07BC" w:rsidRPr="00F0208A" w:rsidRDefault="003F07BC" w:rsidP="003F07BC">
      <w:r w:rsidRPr="00F0208A">
        <w:t xml:space="preserve">2 – Department of Chemistry, Arak Branch, Islamic Azad University, Arak, Iran </w:t>
      </w:r>
    </w:p>
    <w:p w:rsidR="003F07BC" w:rsidRPr="00F0208A" w:rsidRDefault="003F07BC" w:rsidP="003F07BC">
      <w:r w:rsidRPr="00F0208A">
        <w:t>3 – Department of Chemical Sciences, Bernal Institute, University of Limerick, Limerick, Ireland</w:t>
      </w:r>
      <w:r>
        <w:t xml:space="preserve">  </w:t>
      </w:r>
    </w:p>
    <w:p w:rsidR="003F07BC" w:rsidRPr="00F0208A" w:rsidRDefault="003F07BC" w:rsidP="003F07BC">
      <w:r w:rsidRPr="00F0208A">
        <w:t xml:space="preserve">* email: </w:t>
      </w:r>
      <w:hyperlink r:id="rId8" w:history="1">
        <w:r w:rsidRPr="00F0208A">
          <w:rPr>
            <w:rStyle w:val="Hyperlink"/>
          </w:rPr>
          <w:t>miladasgarpour@ut.ac.ir</w:t>
        </w:r>
      </w:hyperlink>
      <w:r w:rsidRPr="00F0208A">
        <w:t xml:space="preserve"> </w:t>
      </w:r>
    </w:p>
    <w:p w:rsidR="003F07BC" w:rsidRDefault="003F07BC" w:rsidP="003F07BC"/>
    <w:p w:rsidR="003F07BC" w:rsidRDefault="003F07BC" w:rsidP="003F07BC"/>
    <w:p w:rsidR="003F07BC" w:rsidRDefault="003F07BC" w:rsidP="007F3D6D">
      <w:pPr>
        <w:pStyle w:val="Title"/>
      </w:pPr>
    </w:p>
    <w:p w:rsidR="003F07BC" w:rsidRDefault="003F07BC" w:rsidP="007F3D6D">
      <w:pPr>
        <w:pStyle w:val="Title"/>
      </w:pPr>
    </w:p>
    <w:p w:rsidR="003F07BC" w:rsidRDefault="003F07BC" w:rsidP="007F3D6D">
      <w:pPr>
        <w:pStyle w:val="Title"/>
      </w:pPr>
    </w:p>
    <w:p w:rsidR="003F07BC" w:rsidRDefault="003F07BC" w:rsidP="007F3D6D">
      <w:pPr>
        <w:pStyle w:val="Title"/>
      </w:pPr>
    </w:p>
    <w:p w:rsidR="00582DA7" w:rsidRPr="00AB15FA" w:rsidRDefault="00262F0B" w:rsidP="00927A3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3B4FF224">
            <wp:extent cx="6553835" cy="439547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439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5D26" w:rsidRDefault="00195D26" w:rsidP="00195D26">
      <w:pPr>
        <w:pStyle w:val="Caption"/>
      </w:pPr>
      <w:bookmarkStart w:id="1" w:name="_Ref457748237"/>
      <w:r w:rsidRPr="00AB15FA">
        <w:t xml:space="preserve">Fig. </w:t>
      </w:r>
      <w:r w:rsidR="00B26389">
        <w:fldChar w:fldCharType="begin"/>
      </w:r>
      <w:r w:rsidR="00B26389">
        <w:instrText xml:space="preserve"> SEQ Figure \* ARABIC </w:instrText>
      </w:r>
      <w:r w:rsidR="00B26389">
        <w:fldChar w:fldCharType="separate"/>
      </w:r>
      <w:r w:rsidR="007F2AF6">
        <w:rPr>
          <w:noProof/>
        </w:rPr>
        <w:t>1</w:t>
      </w:r>
      <w:r w:rsidR="00B26389">
        <w:rPr>
          <w:noProof/>
        </w:rPr>
        <w:fldChar w:fldCharType="end"/>
      </w:r>
      <w:bookmarkEnd w:id="1"/>
      <w:r w:rsidRPr="00AB15FA">
        <w:t xml:space="preserve">. Obtained activity coefficients for </w:t>
      </w:r>
      <w:r w:rsidRPr="003A6F60">
        <w:t xml:space="preserve">Estrone </w:t>
      </w:r>
      <w:r w:rsidRPr="00AB15FA">
        <w:t xml:space="preserve">(E1) </w:t>
      </w:r>
    </w:p>
    <w:p w:rsidR="00963C23" w:rsidRDefault="003A6F60" w:rsidP="005429EF">
      <w:r>
        <w:rPr>
          <w:lang w:eastAsia="ja-JP"/>
        </w:rPr>
        <w:t xml:space="preserve">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_Ref457748237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7F2AF6" w:rsidRPr="00AB15FA">
        <w:t xml:space="preserve">Fig. </w:t>
      </w:r>
      <w:r w:rsidR="007F2AF6">
        <w:rPr>
          <w:noProof/>
        </w:rPr>
        <w:t>1</w:t>
      </w:r>
      <w:r>
        <w:rPr>
          <w:lang w:eastAsia="ja-JP"/>
        </w:rPr>
        <w:fldChar w:fldCharType="end"/>
      </w:r>
      <w:r>
        <w:rPr>
          <w:lang w:eastAsia="ja-JP"/>
        </w:rPr>
        <w:t xml:space="preserve">, the activity coefficients of </w:t>
      </w:r>
      <w:r w:rsidRPr="00AB15FA">
        <w:t>Estrone</w:t>
      </w:r>
      <w:r>
        <w:t xml:space="preserve"> in each phase are plotted in terms of </w:t>
      </w:r>
      <w:r w:rsidRPr="00AB15FA">
        <w:t>Estrone</w:t>
      </w:r>
      <w:r>
        <w:t xml:space="preserve"> mole fraction in</w:t>
      </w:r>
      <w:r w:rsidR="003C3671">
        <w:t xml:space="preserve"> each</w:t>
      </w:r>
      <w:r>
        <w:t xml:space="preserve"> respective phase.</w:t>
      </w:r>
      <w:r w:rsidR="008D6CFF">
        <w:t xml:space="preserve"> I</w:t>
      </w:r>
      <w:r>
        <w:t>n</w:t>
      </w:r>
      <w:r w:rsidR="008D6CFF">
        <w:t xml:space="preserve"> </w:t>
      </w:r>
      <w:r>
        <w:t xml:space="preserve">binary mixture of </w:t>
      </w:r>
      <w:r w:rsidRPr="00AB15FA">
        <w:t>Estrone</w:t>
      </w:r>
      <w:r>
        <w:t xml:space="preserve"> and water, in limit of </w:t>
      </w:r>
      <w:r w:rsidRPr="00AB15FA">
        <w:t xml:space="preserve">Estrone </w:t>
      </w:r>
      <w:r>
        <w:t xml:space="preserve">dilution, the infinite liming activity coefficient of </w:t>
      </w:r>
      <w:r w:rsidRPr="00AB15FA">
        <w:t>Estrone</w:t>
      </w:r>
      <w:r w:rsidR="00FF378F">
        <w:t xml:space="preserve"> (</w:t>
      </w:r>
      <w:r w:rsidR="00FF378F" w:rsidRPr="00DF18B8">
        <w:t>1905.662</w:t>
      </w:r>
      <w:r w:rsidR="00FF378F">
        <w:t>)</w:t>
      </w:r>
      <w:r>
        <w:t xml:space="preserve"> is relative much larger than that i</w:t>
      </w:r>
      <w:r w:rsidR="00D04263">
        <w:t>n</w:t>
      </w:r>
      <w:r>
        <w:t xml:space="preserve"> </w:t>
      </w:r>
      <w:r w:rsidRPr="00AB15FA">
        <w:t>Estrone</w:t>
      </w:r>
      <w:r>
        <w:t xml:space="preserve"> and Cellulose mixture</w:t>
      </w:r>
      <w:r w:rsidR="00FF378F">
        <w:t xml:space="preserve"> (10.42)</w:t>
      </w:r>
      <w:r>
        <w:t xml:space="preserve">. </w:t>
      </w:r>
      <w:r w:rsidR="00963C23">
        <w:t xml:space="preserve">The activity coefficients of </w:t>
      </w:r>
      <w:r w:rsidR="00963C23" w:rsidRPr="00AB15FA">
        <w:t>Estrone</w:t>
      </w:r>
      <w:r w:rsidR="00963C23">
        <w:t xml:space="preserve"> in both mixtures are larger than 1 (γ&gt;1) which denote </w:t>
      </w:r>
      <w:r w:rsidR="00963C23" w:rsidRPr="00DF18B8">
        <w:t>positive</w:t>
      </w:r>
      <w:r w:rsidR="00963C23">
        <w:t xml:space="preserve"> </w:t>
      </w:r>
      <w:r w:rsidR="00963C23" w:rsidRPr="00DF18B8">
        <w:t>deviation from Raoult's law</w:t>
      </w:r>
      <w:r w:rsidR="00963C23">
        <w:t xml:space="preserve">. </w:t>
      </w:r>
      <w:r w:rsidR="005506A3" w:rsidRPr="00DF18B8">
        <w:t xml:space="preserve">A positive deviation </w:t>
      </w:r>
      <w:r w:rsidR="006C2702">
        <w:t xml:space="preserve">of compound 1 in a solution of 1+2 </w:t>
      </w:r>
      <w:r w:rsidR="005506A3" w:rsidRPr="00DF18B8">
        <w:t>implies that substance is more volatile</w:t>
      </w:r>
      <w:r w:rsidR="006C2702">
        <w:t xml:space="preserve"> than compound 2</w:t>
      </w:r>
      <w:r w:rsidR="005506A3">
        <w:t xml:space="preserve">. </w:t>
      </w:r>
    </w:p>
    <w:p w:rsidR="00E1505F" w:rsidRPr="00AB15FA" w:rsidRDefault="00262F0B" w:rsidP="00E1505F">
      <w:pPr>
        <w:pStyle w:val="Caption"/>
      </w:pPr>
      <w:r>
        <w:rPr>
          <w:noProof/>
          <w:lang w:eastAsia="en-US"/>
        </w:rPr>
        <w:lastRenderedPageBreak/>
        <w:drawing>
          <wp:inline distT="0" distB="0" distL="0" distR="0" wp14:anchorId="6ECFF0B8">
            <wp:extent cx="6529070" cy="4298315"/>
            <wp:effectExtent l="0" t="0" r="508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505F" w:rsidRDefault="00E1505F" w:rsidP="00E1505F">
      <w:pPr>
        <w:pStyle w:val="Caption"/>
      </w:pPr>
      <w:bookmarkStart w:id="2" w:name="_Ref457812651"/>
      <w:r w:rsidRPr="00AB15FA">
        <w:t xml:space="preserve">Fig. </w:t>
      </w:r>
      <w:r w:rsidR="00B26389">
        <w:fldChar w:fldCharType="begin"/>
      </w:r>
      <w:r w:rsidR="00B26389">
        <w:instrText xml:space="preserve"> SEQ Figure \* ARABIC </w:instrText>
      </w:r>
      <w:r w:rsidR="00B26389">
        <w:fldChar w:fldCharType="separate"/>
      </w:r>
      <w:r w:rsidR="007F2AF6">
        <w:rPr>
          <w:noProof/>
        </w:rPr>
        <w:t>2</w:t>
      </w:r>
      <w:r w:rsidR="00B26389">
        <w:rPr>
          <w:noProof/>
        </w:rPr>
        <w:fldChar w:fldCharType="end"/>
      </w:r>
      <w:bookmarkEnd w:id="2"/>
      <w:r w:rsidRPr="00AB15FA">
        <w:t>. Obtained activity coefficients for Estradiol (E2)</w:t>
      </w:r>
    </w:p>
    <w:p w:rsidR="003C3671" w:rsidRDefault="003C3671" w:rsidP="005429EF">
      <w:r>
        <w:rPr>
          <w:lang w:eastAsia="ja-JP"/>
        </w:rPr>
        <w:t xml:space="preserve">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_Ref457812651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7F2AF6" w:rsidRPr="00AB15FA">
        <w:t xml:space="preserve">Fig. </w:t>
      </w:r>
      <w:r w:rsidR="007F2AF6">
        <w:rPr>
          <w:noProof/>
        </w:rPr>
        <w:t>2</w:t>
      </w:r>
      <w:r>
        <w:rPr>
          <w:lang w:eastAsia="ja-JP"/>
        </w:rPr>
        <w:fldChar w:fldCharType="end"/>
      </w:r>
      <w:r>
        <w:rPr>
          <w:lang w:eastAsia="ja-JP"/>
        </w:rPr>
        <w:t xml:space="preserve">, the activity coefficients of </w:t>
      </w:r>
      <w:r w:rsidRPr="00AB15FA">
        <w:t>Estradiol</w:t>
      </w:r>
      <w:r>
        <w:t xml:space="preserve"> in each phase are plotted in terms of </w:t>
      </w:r>
      <w:r w:rsidRPr="00AB15FA">
        <w:t>Estradiol</w:t>
      </w:r>
      <w:r>
        <w:t xml:space="preserve"> mole fraction in each respective phase. In binary mixture of </w:t>
      </w:r>
      <w:r w:rsidRPr="00AB15FA">
        <w:t>Estradiol</w:t>
      </w:r>
      <w:r>
        <w:t xml:space="preserve"> and water, in limit of </w:t>
      </w:r>
      <w:r w:rsidRPr="00AB15FA">
        <w:t xml:space="preserve">Estradiol </w:t>
      </w:r>
      <w:r>
        <w:t xml:space="preserve">dilution, the infinite liming activity coefficient of </w:t>
      </w:r>
      <w:r w:rsidRPr="00AB15FA">
        <w:t>Estradiol</w:t>
      </w:r>
      <w:r>
        <w:t xml:space="preserve"> (</w:t>
      </w:r>
      <w:r w:rsidRPr="003C3671">
        <w:t>3312.678</w:t>
      </w:r>
      <w:r>
        <w:t xml:space="preserve">) is relative much larger than that in </w:t>
      </w:r>
      <w:r w:rsidRPr="00AB15FA">
        <w:t>Estrone</w:t>
      </w:r>
      <w:r>
        <w:t xml:space="preserve"> and Cellulose mixture (</w:t>
      </w:r>
      <w:r w:rsidRPr="003C3671">
        <w:t>11.7673</w:t>
      </w:r>
      <w:r>
        <w:t xml:space="preserve">). The activity coefficients of </w:t>
      </w:r>
      <w:r w:rsidRPr="00AB15FA">
        <w:t>Estradiol</w:t>
      </w:r>
      <w:r>
        <w:t xml:space="preserve"> in both mixtures are larger than 1 (γ&gt;1) which denote </w:t>
      </w:r>
      <w:r w:rsidRPr="00DF18B8">
        <w:t>positive</w:t>
      </w:r>
      <w:r>
        <w:t xml:space="preserve"> </w:t>
      </w:r>
      <w:r w:rsidRPr="00DF18B8">
        <w:t>deviation from Raoult's law</w:t>
      </w:r>
      <w:r>
        <w:t xml:space="preserve">. </w:t>
      </w:r>
    </w:p>
    <w:p w:rsidR="00C96B6D" w:rsidRDefault="00C96B6D" w:rsidP="003C3671">
      <w:pPr>
        <w:rPr>
          <w:lang w:eastAsia="ja-JP"/>
        </w:rPr>
      </w:pPr>
    </w:p>
    <w:p w:rsidR="00FE4C5A" w:rsidRPr="00AB15FA" w:rsidRDefault="00262F0B" w:rsidP="00FE4C5A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6F464297">
            <wp:extent cx="6638925" cy="4474845"/>
            <wp:effectExtent l="0" t="0" r="9525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5D26" w:rsidRDefault="00A92AC6" w:rsidP="00A92AC6">
      <w:pPr>
        <w:pStyle w:val="Caption"/>
      </w:pPr>
      <w:bookmarkStart w:id="3" w:name="_Ref457812880"/>
      <w:r w:rsidRPr="00AB15FA">
        <w:t xml:space="preserve">Fig. </w:t>
      </w:r>
      <w:r w:rsidR="00B26389">
        <w:fldChar w:fldCharType="begin"/>
      </w:r>
      <w:r w:rsidR="00B26389">
        <w:instrText xml:space="preserve"> SEQ Figure \* ARABIC </w:instrText>
      </w:r>
      <w:r w:rsidR="00B26389">
        <w:fldChar w:fldCharType="separate"/>
      </w:r>
      <w:r w:rsidR="007F2AF6">
        <w:rPr>
          <w:noProof/>
        </w:rPr>
        <w:t>3</w:t>
      </w:r>
      <w:r w:rsidR="00B26389">
        <w:rPr>
          <w:noProof/>
        </w:rPr>
        <w:fldChar w:fldCharType="end"/>
      </w:r>
      <w:bookmarkEnd w:id="3"/>
      <w:r w:rsidRPr="00AB15FA">
        <w:t>. Obtained activity coefficients for Estriol (E3)</w:t>
      </w:r>
    </w:p>
    <w:p w:rsidR="001263A0" w:rsidRDefault="003C3671" w:rsidP="007F2AF6">
      <w:r>
        <w:rPr>
          <w:lang w:eastAsia="ja-JP"/>
        </w:rPr>
        <w:t xml:space="preserve">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_Ref457812880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7F2AF6" w:rsidRPr="00AB15FA">
        <w:t xml:space="preserve">Fig. </w:t>
      </w:r>
      <w:r w:rsidR="007F2AF6">
        <w:rPr>
          <w:noProof/>
        </w:rPr>
        <w:t>3</w:t>
      </w:r>
      <w:r>
        <w:rPr>
          <w:lang w:eastAsia="ja-JP"/>
        </w:rPr>
        <w:fldChar w:fldCharType="end"/>
      </w:r>
      <w:r>
        <w:rPr>
          <w:lang w:eastAsia="ja-JP"/>
        </w:rPr>
        <w:t xml:space="preserve">, the activity coefficients of </w:t>
      </w:r>
      <w:r w:rsidRPr="00AB15FA">
        <w:t>Estriol</w:t>
      </w:r>
      <w:r>
        <w:t xml:space="preserve"> in each phase are plotted in terms of </w:t>
      </w:r>
      <w:r w:rsidRPr="00AB15FA">
        <w:t>Estriol</w:t>
      </w:r>
      <w:r>
        <w:t xml:space="preserve"> mole fraction in each respective phase. In binary mixture of </w:t>
      </w:r>
      <w:r w:rsidRPr="00AB15FA">
        <w:t>Estriol</w:t>
      </w:r>
      <w:r>
        <w:t xml:space="preserve"> and water, in limit of </w:t>
      </w:r>
      <w:r w:rsidRPr="00AB15FA">
        <w:t xml:space="preserve">Estriol </w:t>
      </w:r>
      <w:r>
        <w:t xml:space="preserve">dilution, the infinite liming activity coefficient of </w:t>
      </w:r>
      <w:r w:rsidRPr="00AB15FA">
        <w:t>Estriol</w:t>
      </w:r>
      <w:r>
        <w:t xml:space="preserve"> (</w:t>
      </w:r>
      <w:r w:rsidRPr="003C3671">
        <w:t>1087.596</w:t>
      </w:r>
      <w:r>
        <w:t xml:space="preserve">) is relative much larger than that in </w:t>
      </w:r>
      <w:r w:rsidR="001B2CF4" w:rsidRPr="00AB15FA">
        <w:t>Estriol</w:t>
      </w:r>
      <w:r>
        <w:t xml:space="preserve"> and Cellulose mixture (</w:t>
      </w:r>
      <w:r w:rsidRPr="003C3671">
        <w:t>6.152956</w:t>
      </w:r>
      <w:r>
        <w:t xml:space="preserve">). The activity coefficients of </w:t>
      </w:r>
      <w:r w:rsidR="001B2CF4" w:rsidRPr="00AB15FA">
        <w:t>Estriol</w:t>
      </w:r>
      <w:r>
        <w:t xml:space="preserve"> in both mixtures are larger than 1 (γ&gt;1) which denote </w:t>
      </w:r>
      <w:r w:rsidRPr="00DF18B8">
        <w:t>positive</w:t>
      </w:r>
      <w:r>
        <w:t xml:space="preserve"> </w:t>
      </w:r>
      <w:r w:rsidRPr="00DF18B8">
        <w:t>deviation from Raoult's law</w:t>
      </w:r>
      <w:r>
        <w:t xml:space="preserve">. </w:t>
      </w:r>
    </w:p>
    <w:p w:rsidR="007F2AF6" w:rsidRDefault="007F2AF6" w:rsidP="00BE0F6E"/>
    <w:p w:rsidR="00195D26" w:rsidRPr="00AB15FA" w:rsidRDefault="00262F0B" w:rsidP="00927A3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3EE72320">
            <wp:extent cx="6584315" cy="4474845"/>
            <wp:effectExtent l="0" t="0" r="6985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447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2CDE" w:rsidRDefault="00C62CDE" w:rsidP="00C62CDE">
      <w:pPr>
        <w:pStyle w:val="Caption"/>
      </w:pPr>
      <w:bookmarkStart w:id="4" w:name="_Ref457813076"/>
      <w:r w:rsidRPr="00AB15FA">
        <w:t xml:space="preserve">Fig. </w:t>
      </w:r>
      <w:r w:rsidR="00B26389">
        <w:fldChar w:fldCharType="begin"/>
      </w:r>
      <w:r w:rsidR="00B26389">
        <w:instrText xml:space="preserve"> SEQ Figure \* ARABIC </w:instrText>
      </w:r>
      <w:r w:rsidR="00B26389">
        <w:fldChar w:fldCharType="separate"/>
      </w:r>
      <w:r w:rsidR="007F2AF6">
        <w:rPr>
          <w:noProof/>
        </w:rPr>
        <w:t>4</w:t>
      </w:r>
      <w:r w:rsidR="00B26389">
        <w:rPr>
          <w:noProof/>
        </w:rPr>
        <w:fldChar w:fldCharType="end"/>
      </w:r>
      <w:bookmarkEnd w:id="4"/>
      <w:r w:rsidRPr="00AB15FA">
        <w:t>. Obtained activity coefficients for Ethinylestradiol (EE2)</w:t>
      </w:r>
    </w:p>
    <w:p w:rsidR="00BE0F6E" w:rsidRDefault="001B2CF4" w:rsidP="007F2AF6">
      <w:r>
        <w:rPr>
          <w:lang w:eastAsia="ja-JP"/>
        </w:rPr>
        <w:t>In</w:t>
      </w:r>
      <w:r w:rsidR="00642740">
        <w:rPr>
          <w:lang w:eastAsia="ja-JP"/>
        </w:rPr>
        <w:t xml:space="preserve"> </w:t>
      </w:r>
      <w:r w:rsidR="00642740">
        <w:rPr>
          <w:lang w:eastAsia="ja-JP"/>
        </w:rPr>
        <w:fldChar w:fldCharType="begin"/>
      </w:r>
      <w:r w:rsidR="00642740">
        <w:rPr>
          <w:lang w:eastAsia="ja-JP"/>
        </w:rPr>
        <w:instrText xml:space="preserve"> REF _Ref457813076 \h </w:instrText>
      </w:r>
      <w:r w:rsidR="00642740">
        <w:rPr>
          <w:lang w:eastAsia="ja-JP"/>
        </w:rPr>
      </w:r>
      <w:r w:rsidR="00642740">
        <w:rPr>
          <w:lang w:eastAsia="ja-JP"/>
        </w:rPr>
        <w:fldChar w:fldCharType="separate"/>
      </w:r>
      <w:r w:rsidR="007F2AF6" w:rsidRPr="00AB15FA">
        <w:t xml:space="preserve">Fig. </w:t>
      </w:r>
      <w:r w:rsidR="007F2AF6">
        <w:rPr>
          <w:noProof/>
        </w:rPr>
        <w:t>4</w:t>
      </w:r>
      <w:r w:rsidR="00642740">
        <w:rPr>
          <w:lang w:eastAsia="ja-JP"/>
        </w:rPr>
        <w:fldChar w:fldCharType="end"/>
      </w:r>
      <w:r>
        <w:rPr>
          <w:lang w:eastAsia="ja-JP"/>
        </w:rPr>
        <w:t xml:space="preserve">, the activity coefficients of </w:t>
      </w:r>
      <w:r w:rsidR="00C448F6" w:rsidRPr="00AB15FA">
        <w:t>Ethinylestradiol</w:t>
      </w:r>
      <w:r>
        <w:t xml:space="preserve"> in each phase are plotted in terms of </w:t>
      </w:r>
      <w:r w:rsidR="00C448F6" w:rsidRPr="00AB15FA">
        <w:t>Ethinylestradiol</w:t>
      </w:r>
      <w:r>
        <w:t xml:space="preserve"> mole fraction in each respective phase. In binary mixture of </w:t>
      </w:r>
      <w:r w:rsidR="00C448F6" w:rsidRPr="00AB15FA">
        <w:t>Ethinylestradiol</w:t>
      </w:r>
      <w:r>
        <w:t xml:space="preserve"> and water, in limit of </w:t>
      </w:r>
      <w:r w:rsidR="00C448F6" w:rsidRPr="00AB15FA">
        <w:t>Ethinylestradiol</w:t>
      </w:r>
      <w:r w:rsidRPr="00AB15FA">
        <w:t xml:space="preserve"> </w:t>
      </w:r>
      <w:r>
        <w:t xml:space="preserve">dilution, the infinite liming activity coefficient of </w:t>
      </w:r>
      <w:r w:rsidR="00C448F6" w:rsidRPr="00AB15FA">
        <w:t>Ethinylestradiol</w:t>
      </w:r>
      <w:r>
        <w:t xml:space="preserve"> (</w:t>
      </w:r>
      <w:r w:rsidR="00C448F6" w:rsidRPr="00C448F6">
        <w:t>2087.942</w:t>
      </w:r>
      <w:r>
        <w:t xml:space="preserve">) is relative much larger than that in </w:t>
      </w:r>
      <w:r w:rsidR="00C448F6" w:rsidRPr="00AB15FA">
        <w:t>Ethinylestradiol</w:t>
      </w:r>
      <w:r>
        <w:t xml:space="preserve"> and Cellulose mixture (</w:t>
      </w:r>
      <w:r w:rsidR="00C448F6" w:rsidRPr="00C448F6">
        <w:t>4.464957</w:t>
      </w:r>
      <w:r>
        <w:t xml:space="preserve">). The activity coefficients of </w:t>
      </w:r>
      <w:r w:rsidR="00C448F6" w:rsidRPr="00AB15FA">
        <w:t>Ethinylestradiol</w:t>
      </w:r>
      <w:r>
        <w:t xml:space="preserve"> in both mixtures are larger than 1 (γ&gt;1) which denote </w:t>
      </w:r>
      <w:r w:rsidRPr="00DF18B8">
        <w:t>positive</w:t>
      </w:r>
      <w:r>
        <w:t xml:space="preserve"> </w:t>
      </w:r>
      <w:r w:rsidRPr="00DF18B8">
        <w:t>deviation from Raoult's law</w:t>
      </w:r>
      <w:r>
        <w:t xml:space="preserve">. </w:t>
      </w:r>
    </w:p>
    <w:p w:rsidR="007F2AF6" w:rsidRDefault="007F2AF6" w:rsidP="007F2AF6"/>
    <w:p w:rsidR="00582DA7" w:rsidRPr="00AB15FA" w:rsidRDefault="00B84117" w:rsidP="00927A3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283E37DF">
            <wp:extent cx="6584315" cy="4468495"/>
            <wp:effectExtent l="0" t="0" r="6985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446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15B" w:rsidRDefault="008F315B" w:rsidP="00891D3F">
      <w:pPr>
        <w:pStyle w:val="Caption"/>
      </w:pPr>
      <w:bookmarkStart w:id="5" w:name="_Ref457813099"/>
      <w:r w:rsidRPr="00AB15FA">
        <w:t xml:space="preserve">Fig. </w:t>
      </w:r>
      <w:r w:rsidR="00B26389">
        <w:fldChar w:fldCharType="begin"/>
      </w:r>
      <w:r w:rsidR="00B26389">
        <w:instrText xml:space="preserve"> SEQ Figu</w:instrText>
      </w:r>
      <w:r w:rsidR="00B26389">
        <w:instrText xml:space="preserve">re \* ARABIC </w:instrText>
      </w:r>
      <w:r w:rsidR="00B26389">
        <w:fldChar w:fldCharType="separate"/>
      </w:r>
      <w:r w:rsidR="007F2AF6">
        <w:rPr>
          <w:noProof/>
        </w:rPr>
        <w:t>5</w:t>
      </w:r>
      <w:r w:rsidR="00B26389">
        <w:rPr>
          <w:noProof/>
        </w:rPr>
        <w:fldChar w:fldCharType="end"/>
      </w:r>
      <w:bookmarkEnd w:id="5"/>
      <w:r w:rsidRPr="00AB15FA">
        <w:t xml:space="preserve">. Obtained activity coefficients for </w:t>
      </w:r>
      <w:r w:rsidR="00891D3F" w:rsidRPr="00AB15FA">
        <w:t xml:space="preserve">Diethylstilbestrol </w:t>
      </w:r>
      <w:r w:rsidRPr="00AB15FA">
        <w:t>(</w:t>
      </w:r>
      <w:r w:rsidR="00891D3F" w:rsidRPr="00AB15FA">
        <w:t>DES</w:t>
      </w:r>
      <w:r w:rsidRPr="00AB15FA">
        <w:t>)</w:t>
      </w:r>
    </w:p>
    <w:p w:rsidR="00642740" w:rsidRDefault="00642740" w:rsidP="00BE0F6E">
      <w:r>
        <w:rPr>
          <w:lang w:eastAsia="ja-JP"/>
        </w:rPr>
        <w:t xml:space="preserve">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_Ref457813099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7F2AF6" w:rsidRPr="00AB15FA">
        <w:t xml:space="preserve">Fig. </w:t>
      </w:r>
      <w:r w:rsidR="007F2AF6">
        <w:rPr>
          <w:noProof/>
        </w:rPr>
        <w:t>5</w:t>
      </w:r>
      <w:r>
        <w:rPr>
          <w:lang w:eastAsia="ja-JP"/>
        </w:rPr>
        <w:fldChar w:fldCharType="end"/>
      </w:r>
      <w:r>
        <w:rPr>
          <w:lang w:eastAsia="ja-JP"/>
        </w:rPr>
        <w:t xml:space="preserve">, the activity coefficients of </w:t>
      </w:r>
      <w:r w:rsidRPr="00AB15FA">
        <w:t>Diethylstilbestrol</w:t>
      </w:r>
      <w:r>
        <w:t xml:space="preserve"> in each phase are plotted in terms of </w:t>
      </w:r>
      <w:r w:rsidRPr="00AB15FA">
        <w:t>Diethylstilbestrol</w:t>
      </w:r>
      <w:r>
        <w:t xml:space="preserve"> mole fraction in each respective phase. In binary mixture of </w:t>
      </w:r>
      <w:r w:rsidRPr="00AB15FA">
        <w:t>Diethylstilbestrol</w:t>
      </w:r>
      <w:r>
        <w:t xml:space="preserve"> and water, in limit of </w:t>
      </w:r>
      <w:r w:rsidRPr="00AB15FA">
        <w:t xml:space="preserve">Diethylstilbestrol </w:t>
      </w:r>
      <w:r>
        <w:t xml:space="preserve">dilution, the infinite liming activity coefficient of </w:t>
      </w:r>
      <w:r w:rsidRPr="00AB15FA">
        <w:t>Diethylstilbestrol</w:t>
      </w:r>
      <w:r>
        <w:t xml:space="preserve"> (</w:t>
      </w:r>
      <w:r w:rsidRPr="00642740">
        <w:t>282.1289</w:t>
      </w:r>
      <w:r>
        <w:t xml:space="preserve">) is relative much larger than that in </w:t>
      </w:r>
      <w:r w:rsidRPr="00AB15FA">
        <w:t>Diethylstilbestrol</w:t>
      </w:r>
      <w:r>
        <w:t xml:space="preserve"> and Cellulose mixture (</w:t>
      </w:r>
      <w:r w:rsidRPr="00642740">
        <w:t>1.043052</w:t>
      </w:r>
      <w:r>
        <w:t xml:space="preserve">). The activity coefficients of </w:t>
      </w:r>
      <w:r w:rsidRPr="00AB15FA">
        <w:t>Diethylstilbestrol</w:t>
      </w:r>
      <w:r>
        <w:t xml:space="preserve"> in both mixtures are larger than 1 (γ&gt;1) which denote </w:t>
      </w:r>
      <w:r w:rsidRPr="00DF18B8">
        <w:t>positive</w:t>
      </w:r>
      <w:r>
        <w:t xml:space="preserve"> </w:t>
      </w:r>
      <w:r w:rsidRPr="00DF18B8">
        <w:t>deviation from Raoult's law</w:t>
      </w:r>
      <w:r>
        <w:t xml:space="preserve">. </w:t>
      </w:r>
      <w:r w:rsidR="00BE0F6E">
        <w:t xml:space="preserve">From </w:t>
      </w:r>
      <w:r w:rsidR="00BE0F6E">
        <w:rPr>
          <w:lang w:eastAsia="ja-JP"/>
        </w:rPr>
        <w:fldChar w:fldCharType="begin"/>
      </w:r>
      <w:r w:rsidR="00BE0F6E">
        <w:rPr>
          <w:lang w:eastAsia="ja-JP"/>
        </w:rPr>
        <w:instrText xml:space="preserve"> REF _Ref457813099 \h </w:instrText>
      </w:r>
      <w:r w:rsidR="00BE0F6E">
        <w:rPr>
          <w:lang w:eastAsia="ja-JP"/>
        </w:rPr>
      </w:r>
      <w:r w:rsidR="00BE0F6E">
        <w:rPr>
          <w:lang w:eastAsia="ja-JP"/>
        </w:rPr>
        <w:fldChar w:fldCharType="separate"/>
      </w:r>
      <w:r w:rsidR="007F2AF6" w:rsidRPr="00AB15FA">
        <w:t xml:space="preserve">Fig. </w:t>
      </w:r>
      <w:r w:rsidR="007F2AF6">
        <w:rPr>
          <w:noProof/>
        </w:rPr>
        <w:t>5</w:t>
      </w:r>
      <w:r w:rsidR="00BE0F6E">
        <w:rPr>
          <w:lang w:eastAsia="ja-JP"/>
        </w:rPr>
        <w:fldChar w:fldCharType="end"/>
      </w:r>
      <w:r w:rsidR="00BE0F6E">
        <w:rPr>
          <w:lang w:eastAsia="ja-JP"/>
        </w:rPr>
        <w:t>, it can be seen that up to DES mole fractions of 0.115, the activity coefficients of DES in DES+water mixture are much more than that in DES+cellulose mixture. This means that up to this mole fraction, the separation and sorption of DES by cellulose is low due to the significant difference in sorption and solubility.</w:t>
      </w:r>
    </w:p>
    <w:p w:rsidR="00582DA7" w:rsidRPr="00AB15FA" w:rsidRDefault="00B84117" w:rsidP="00927A3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772A5D48">
            <wp:extent cx="6596380" cy="432879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432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5923" w:rsidRDefault="00515923" w:rsidP="00515923">
      <w:pPr>
        <w:pStyle w:val="Caption"/>
      </w:pPr>
      <w:bookmarkStart w:id="6" w:name="_Ref457813202"/>
      <w:r w:rsidRPr="00AB15FA">
        <w:t xml:space="preserve">Fig. </w:t>
      </w:r>
      <w:r w:rsidR="00B26389">
        <w:fldChar w:fldCharType="begin"/>
      </w:r>
      <w:r w:rsidR="00B26389">
        <w:instrText xml:space="preserve"> SEQ Figure \* ARABIC </w:instrText>
      </w:r>
      <w:r w:rsidR="00B26389">
        <w:fldChar w:fldCharType="separate"/>
      </w:r>
      <w:r w:rsidR="007F2AF6">
        <w:rPr>
          <w:noProof/>
        </w:rPr>
        <w:t>6</w:t>
      </w:r>
      <w:r w:rsidR="00B26389">
        <w:rPr>
          <w:noProof/>
        </w:rPr>
        <w:fldChar w:fldCharType="end"/>
      </w:r>
      <w:bookmarkEnd w:id="6"/>
      <w:r w:rsidRPr="00AB15FA">
        <w:t>. Obtained activity coefficients for Mestranol (ME2)</w:t>
      </w:r>
    </w:p>
    <w:p w:rsidR="00777229" w:rsidRDefault="00777229" w:rsidP="00BE0F6E">
      <w:r>
        <w:rPr>
          <w:lang w:eastAsia="ja-JP"/>
        </w:rPr>
        <w:t xml:space="preserve">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_Ref457813202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7F2AF6" w:rsidRPr="00AB15FA">
        <w:t xml:space="preserve">Fig. </w:t>
      </w:r>
      <w:r w:rsidR="007F2AF6">
        <w:rPr>
          <w:noProof/>
        </w:rPr>
        <w:t>6</w:t>
      </w:r>
      <w:r>
        <w:rPr>
          <w:lang w:eastAsia="ja-JP"/>
        </w:rPr>
        <w:fldChar w:fldCharType="end"/>
      </w:r>
      <w:r>
        <w:rPr>
          <w:lang w:eastAsia="ja-JP"/>
        </w:rPr>
        <w:t xml:space="preserve">, the activity coefficients of </w:t>
      </w:r>
      <w:r w:rsidRPr="00AB15FA">
        <w:t>Mestranol</w:t>
      </w:r>
      <w:r>
        <w:t xml:space="preserve"> in each phase are plotted in terms of </w:t>
      </w:r>
      <w:r w:rsidRPr="00AB15FA">
        <w:t>Mestranol</w:t>
      </w:r>
      <w:r>
        <w:t xml:space="preserve"> mole fraction in each respective phase. In binary mixture of </w:t>
      </w:r>
      <w:r w:rsidRPr="00AB15FA">
        <w:t>Mestranol</w:t>
      </w:r>
      <w:r>
        <w:t xml:space="preserve"> and water, in limit of </w:t>
      </w:r>
      <w:r w:rsidRPr="00AB15FA">
        <w:t xml:space="preserve">Mestranol </w:t>
      </w:r>
      <w:r>
        <w:t xml:space="preserve">dilution, the infinite liming activity coefficient of </w:t>
      </w:r>
      <w:r w:rsidRPr="00AB15FA">
        <w:t>Mestranol</w:t>
      </w:r>
      <w:r>
        <w:t xml:space="preserve"> (</w:t>
      </w:r>
      <w:r w:rsidRPr="00777229">
        <w:t>24248.51</w:t>
      </w:r>
      <w:r>
        <w:t xml:space="preserve">) is relative much larger than that in </w:t>
      </w:r>
      <w:r w:rsidRPr="00AB15FA">
        <w:t>Mestranol</w:t>
      </w:r>
      <w:r>
        <w:t xml:space="preserve"> and Cellulose mixture (</w:t>
      </w:r>
      <w:r w:rsidRPr="00777229">
        <w:t>18.74879</w:t>
      </w:r>
      <w:r>
        <w:t xml:space="preserve">). The activity coefficients of </w:t>
      </w:r>
      <w:r w:rsidRPr="00AB15FA">
        <w:t>Mestranol</w:t>
      </w:r>
      <w:r>
        <w:t xml:space="preserve"> in both mixtures are larger than 1 (γ&gt;1) which denote </w:t>
      </w:r>
      <w:r w:rsidRPr="00DF18B8">
        <w:t>positive</w:t>
      </w:r>
      <w:r>
        <w:t xml:space="preserve"> </w:t>
      </w:r>
      <w:r w:rsidRPr="00DF18B8">
        <w:t>deviation from Raoult's law</w:t>
      </w:r>
      <w:r>
        <w:t xml:space="preserve">. </w:t>
      </w:r>
    </w:p>
    <w:p w:rsidR="00BD6315" w:rsidRDefault="00BD6315" w:rsidP="00777229"/>
    <w:p w:rsidR="00515923" w:rsidRPr="00AB15FA" w:rsidRDefault="00B84117" w:rsidP="0051592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60782D08">
            <wp:extent cx="6602730" cy="4444365"/>
            <wp:effectExtent l="0" t="0" r="762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444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04A9" w:rsidRDefault="006904A9" w:rsidP="006904A9">
      <w:pPr>
        <w:pStyle w:val="Caption"/>
      </w:pPr>
      <w:bookmarkStart w:id="7" w:name="_Ref457813298"/>
      <w:r w:rsidRPr="00AB15FA">
        <w:t xml:space="preserve">Fig. </w:t>
      </w:r>
      <w:r w:rsidR="00B26389">
        <w:fldChar w:fldCharType="begin"/>
      </w:r>
      <w:r w:rsidR="00B26389">
        <w:instrText xml:space="preserve"> SEQ Figure \* ARABIC </w:instrText>
      </w:r>
      <w:r w:rsidR="00B26389">
        <w:fldChar w:fldCharType="separate"/>
      </w:r>
      <w:r w:rsidR="007F2AF6">
        <w:rPr>
          <w:noProof/>
        </w:rPr>
        <w:t>7</w:t>
      </w:r>
      <w:r w:rsidR="00B26389">
        <w:rPr>
          <w:noProof/>
        </w:rPr>
        <w:fldChar w:fldCharType="end"/>
      </w:r>
      <w:bookmarkEnd w:id="7"/>
      <w:r w:rsidRPr="00AB15FA">
        <w:t>. Obtained activity coefficients for Testosterone (T)</w:t>
      </w:r>
    </w:p>
    <w:p w:rsidR="00777229" w:rsidRDefault="00777229" w:rsidP="00BE0F6E">
      <w:r>
        <w:rPr>
          <w:lang w:eastAsia="ja-JP"/>
        </w:rPr>
        <w:t xml:space="preserve">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_Ref457813298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7F2AF6" w:rsidRPr="00AB15FA">
        <w:t xml:space="preserve">Fig. </w:t>
      </w:r>
      <w:r w:rsidR="007F2AF6">
        <w:rPr>
          <w:noProof/>
        </w:rPr>
        <w:t>7</w:t>
      </w:r>
      <w:r>
        <w:rPr>
          <w:lang w:eastAsia="ja-JP"/>
        </w:rPr>
        <w:fldChar w:fldCharType="end"/>
      </w:r>
      <w:r>
        <w:rPr>
          <w:lang w:eastAsia="ja-JP"/>
        </w:rPr>
        <w:t xml:space="preserve">, the activity coefficients of </w:t>
      </w:r>
      <w:r w:rsidRPr="00AB15FA">
        <w:t>Testosterone</w:t>
      </w:r>
      <w:r>
        <w:t xml:space="preserve"> in each phase are plotted in terms of </w:t>
      </w:r>
      <w:r w:rsidRPr="00AB15FA">
        <w:t>Testosterone</w:t>
      </w:r>
      <w:r>
        <w:t xml:space="preserve"> mole fraction in each respective phase. In binary mixture of </w:t>
      </w:r>
      <w:r w:rsidRPr="00AB15FA">
        <w:t>Testosterone</w:t>
      </w:r>
      <w:r>
        <w:t xml:space="preserve"> and water, in limit of </w:t>
      </w:r>
      <w:r w:rsidRPr="00AB15FA">
        <w:t xml:space="preserve">Testosterone </w:t>
      </w:r>
      <w:r>
        <w:t xml:space="preserve">dilution, the infinite liming activity coefficient of </w:t>
      </w:r>
      <w:r w:rsidRPr="00AB15FA">
        <w:t>Testosterone</w:t>
      </w:r>
      <w:r>
        <w:t xml:space="preserve"> (</w:t>
      </w:r>
      <w:r w:rsidR="00A13C6B" w:rsidRPr="00A13C6B">
        <w:t>740.0972</w:t>
      </w:r>
      <w:r>
        <w:t xml:space="preserve">) is relative much larger than that in </w:t>
      </w:r>
      <w:r w:rsidRPr="00AB15FA">
        <w:t>Testosterone</w:t>
      </w:r>
      <w:r>
        <w:t xml:space="preserve"> and Cellulose mixture (</w:t>
      </w:r>
      <w:r w:rsidR="00A13C6B" w:rsidRPr="00A13C6B">
        <w:t>1.722575</w:t>
      </w:r>
      <w:r>
        <w:t xml:space="preserve">). </w:t>
      </w:r>
      <w:r w:rsidR="002C7A49">
        <w:t xml:space="preserve">For mixture of water and </w:t>
      </w:r>
      <w:r w:rsidR="002C7A49" w:rsidRPr="00AB15FA">
        <w:t>Testosterone</w:t>
      </w:r>
      <w:r w:rsidR="002C7A49">
        <w:t xml:space="preserve">, up to </w:t>
      </w:r>
      <w:r w:rsidR="002C7A49" w:rsidRPr="00AB15FA">
        <w:t>Testosterone</w:t>
      </w:r>
      <w:r w:rsidR="002C7A49">
        <w:t xml:space="preserve"> mole fraction of 0.67, the mixture shows non-ideal behavior as indicated by activity coefficients of </w:t>
      </w:r>
      <w:r w:rsidR="002C7A49" w:rsidRPr="00AB15FA">
        <w:t>Testosterone</w:t>
      </w:r>
      <w:r w:rsidR="002C7A49">
        <w:t xml:space="preserve"> of larger than 1 (γ&gt;1). The </w:t>
      </w:r>
      <w:r w:rsidR="004E5DA2">
        <w:t>mixture demonstrates</w:t>
      </w:r>
      <w:r w:rsidR="002C7A49">
        <w:t xml:space="preserve"> slightly </w:t>
      </w:r>
      <w:r w:rsidR="006E5E2D">
        <w:t xml:space="preserve">ideal behavior for </w:t>
      </w:r>
      <w:r w:rsidR="006E5E2D" w:rsidRPr="00AB15FA">
        <w:t>Testosterone</w:t>
      </w:r>
      <w:r w:rsidR="006E5E2D">
        <w:t xml:space="preserve"> mole fraction beyond 0.67 with activity coefficients of </w:t>
      </w:r>
      <w:r w:rsidR="006E5E2D" w:rsidRPr="00AB15FA">
        <w:t>Testosterone</w:t>
      </w:r>
      <w:r w:rsidR="006E5E2D">
        <w:t xml:space="preserve"> of unity (γ≈1). </w:t>
      </w:r>
      <w:r w:rsidR="004E5DA2">
        <w:t xml:space="preserve">For mixture of cellulose and </w:t>
      </w:r>
      <w:r w:rsidR="004E5DA2" w:rsidRPr="00AB15FA">
        <w:t>Testosterone</w:t>
      </w:r>
      <w:r w:rsidR="004E5DA2">
        <w:t xml:space="preserve">, up to </w:t>
      </w:r>
      <w:r w:rsidR="004E5DA2" w:rsidRPr="00AB15FA">
        <w:t>Testosterone</w:t>
      </w:r>
      <w:r w:rsidR="004E5DA2">
        <w:t xml:space="preserve"> mole fraction of 0.168, the mixture shows non-ideal behavior as indicated by activity coefficients of </w:t>
      </w:r>
      <w:r w:rsidR="004E5DA2" w:rsidRPr="00AB15FA">
        <w:t>Testosterone</w:t>
      </w:r>
      <w:r w:rsidR="004E5DA2">
        <w:t xml:space="preserve"> of larger than 1 (γ&gt;1). The mixture </w:t>
      </w:r>
      <w:r w:rsidR="004E5DA2">
        <w:lastRenderedPageBreak/>
        <w:t xml:space="preserve">demonstrates ideal behavior for </w:t>
      </w:r>
      <w:r w:rsidR="004E5DA2" w:rsidRPr="00AB15FA">
        <w:t>Testosterone</w:t>
      </w:r>
      <w:r w:rsidR="004E5DA2">
        <w:t xml:space="preserve"> mole fraction beyond 0.168 with activity coefficients of </w:t>
      </w:r>
      <w:r w:rsidR="004E5DA2" w:rsidRPr="00AB15FA">
        <w:t>Testosterone</w:t>
      </w:r>
      <w:r w:rsidR="004E5DA2">
        <w:t xml:space="preserve"> of smaller than 1 (γ&lt;1).</w:t>
      </w:r>
      <w:r w:rsidR="0089049D">
        <w:t xml:space="preserve"> </w:t>
      </w:r>
    </w:p>
    <w:p w:rsidR="006904A9" w:rsidRPr="00AB15FA" w:rsidRDefault="00B84117" w:rsidP="006904A9">
      <w:pPr>
        <w:rPr>
          <w:lang w:eastAsia="ja-JP"/>
        </w:rPr>
      </w:pPr>
      <w:r>
        <w:rPr>
          <w:noProof/>
        </w:rPr>
        <w:drawing>
          <wp:inline distT="0" distB="0" distL="0" distR="0" wp14:anchorId="6ECDBF74">
            <wp:extent cx="6572250" cy="46577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5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04A9" w:rsidRPr="00AB15FA" w:rsidRDefault="006904A9" w:rsidP="006904A9">
      <w:pPr>
        <w:pStyle w:val="Caption"/>
      </w:pPr>
      <w:bookmarkStart w:id="8" w:name="_Ref457748240"/>
      <w:r w:rsidRPr="00AB15FA">
        <w:t xml:space="preserve">Fig. </w:t>
      </w:r>
      <w:r w:rsidR="00B26389">
        <w:fldChar w:fldCharType="begin"/>
      </w:r>
      <w:r w:rsidR="00B26389">
        <w:instrText xml:space="preserve"> SEQ Figure \* ARABIC </w:instrText>
      </w:r>
      <w:r w:rsidR="00B26389">
        <w:fldChar w:fldCharType="separate"/>
      </w:r>
      <w:r w:rsidR="007F2AF6">
        <w:rPr>
          <w:noProof/>
        </w:rPr>
        <w:t>8</w:t>
      </w:r>
      <w:r w:rsidR="00B26389">
        <w:rPr>
          <w:noProof/>
        </w:rPr>
        <w:fldChar w:fldCharType="end"/>
      </w:r>
      <w:bookmarkEnd w:id="8"/>
      <w:r w:rsidRPr="00AB15FA">
        <w:t>. Obtained activity coefficients for Progesterone (P)</w:t>
      </w:r>
    </w:p>
    <w:p w:rsidR="00582DA7" w:rsidRDefault="00F106BD" w:rsidP="00BE0F6E">
      <w:r>
        <w:rPr>
          <w:lang w:eastAsia="ja-JP"/>
        </w:rPr>
        <w:t xml:space="preserve">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_Ref457748240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7F2AF6" w:rsidRPr="00AB15FA">
        <w:t xml:space="preserve">Fig. </w:t>
      </w:r>
      <w:r w:rsidR="007F2AF6">
        <w:rPr>
          <w:noProof/>
        </w:rPr>
        <w:t>8</w:t>
      </w:r>
      <w:r>
        <w:rPr>
          <w:lang w:eastAsia="ja-JP"/>
        </w:rPr>
        <w:fldChar w:fldCharType="end"/>
      </w:r>
      <w:r>
        <w:rPr>
          <w:lang w:eastAsia="ja-JP"/>
        </w:rPr>
        <w:t xml:space="preserve">, the activity coefficients of </w:t>
      </w:r>
      <w:r w:rsidRPr="00AB15FA">
        <w:t>Progesterone</w:t>
      </w:r>
      <w:r>
        <w:t xml:space="preserve"> in each phase are plotted in terms of </w:t>
      </w:r>
      <w:r w:rsidRPr="00AB15FA">
        <w:t>Progesterone</w:t>
      </w:r>
      <w:r>
        <w:t xml:space="preserve"> mole fraction in each respective phase. In binary mixture of </w:t>
      </w:r>
      <w:r w:rsidRPr="00AB15FA">
        <w:t>Progesterone</w:t>
      </w:r>
      <w:r>
        <w:t xml:space="preserve"> and water, in limit of </w:t>
      </w:r>
      <w:r w:rsidRPr="00AB15FA">
        <w:t xml:space="preserve">Progesterone </w:t>
      </w:r>
      <w:r>
        <w:t xml:space="preserve">dilution, the infinite liming activity coefficient of </w:t>
      </w:r>
      <w:r w:rsidRPr="00AB15FA">
        <w:t>Progesterone</w:t>
      </w:r>
      <w:r>
        <w:t xml:space="preserve"> (</w:t>
      </w:r>
      <w:r w:rsidR="00966A1E" w:rsidRPr="00966A1E">
        <w:t>380.0192</w:t>
      </w:r>
      <w:r>
        <w:t xml:space="preserve">) is relative much larger than that in </w:t>
      </w:r>
      <w:r w:rsidRPr="00AB15FA">
        <w:t>Progesterone</w:t>
      </w:r>
      <w:r>
        <w:t xml:space="preserve"> and Cellulose mixture (</w:t>
      </w:r>
      <w:r w:rsidR="00966A1E" w:rsidRPr="00966A1E">
        <w:t>0.7228311</w:t>
      </w:r>
      <w:r>
        <w:t xml:space="preserve">). </w:t>
      </w:r>
      <w:r w:rsidR="0057601B">
        <w:t xml:space="preserve">The binary mixture of </w:t>
      </w:r>
      <w:r w:rsidR="0057601B" w:rsidRPr="00AB15FA">
        <w:t>Progesterone</w:t>
      </w:r>
      <w:r w:rsidR="0057601B">
        <w:t xml:space="preserve"> and water shows non-ideal behavior while binary mixture of </w:t>
      </w:r>
      <w:r w:rsidR="0057601B" w:rsidRPr="00AB15FA">
        <w:t>Progesterone</w:t>
      </w:r>
      <w:r w:rsidR="0057601B">
        <w:t xml:space="preserve"> and cellulose shows ideal behavior. </w:t>
      </w:r>
    </w:p>
    <w:p w:rsidR="00AB15FA" w:rsidRPr="00AB15FA" w:rsidRDefault="00AB15FA"/>
    <w:sectPr w:rsidR="00AB15FA" w:rsidRPr="00AB15FA" w:rsidSect="004F6252">
      <w:footerReference w:type="default" r:id="rId17"/>
      <w:pgSz w:w="11907" w:h="16839" w:code="9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389" w:rsidRDefault="00B26389" w:rsidP="004F6252">
      <w:pPr>
        <w:spacing w:after="0" w:line="240" w:lineRule="auto"/>
      </w:pPr>
      <w:r>
        <w:separator/>
      </w:r>
    </w:p>
  </w:endnote>
  <w:endnote w:type="continuationSeparator" w:id="0">
    <w:p w:rsidR="00B26389" w:rsidRDefault="00B26389" w:rsidP="004F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182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5C08" w:rsidRDefault="00CF5C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5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5C08" w:rsidRDefault="00CF5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389" w:rsidRDefault="00B26389" w:rsidP="004F6252">
      <w:pPr>
        <w:spacing w:after="0" w:line="240" w:lineRule="auto"/>
      </w:pPr>
      <w:r>
        <w:separator/>
      </w:r>
    </w:p>
  </w:footnote>
  <w:footnote w:type="continuationSeparator" w:id="0">
    <w:p w:rsidR="00B26389" w:rsidRDefault="00B26389" w:rsidP="004F6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43F63"/>
    <w:multiLevelType w:val="multilevel"/>
    <w:tmpl w:val="164E176A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</w:docVars>
  <w:rsids>
    <w:rsidRoot w:val="00AA48C7"/>
    <w:rsid w:val="00015054"/>
    <w:rsid w:val="00030CD1"/>
    <w:rsid w:val="00056988"/>
    <w:rsid w:val="00070500"/>
    <w:rsid w:val="000721DE"/>
    <w:rsid w:val="000724FE"/>
    <w:rsid w:val="00077119"/>
    <w:rsid w:val="00083B2F"/>
    <w:rsid w:val="0009574F"/>
    <w:rsid w:val="00095A56"/>
    <w:rsid w:val="00096BA0"/>
    <w:rsid w:val="00097F4E"/>
    <w:rsid w:val="000A201B"/>
    <w:rsid w:val="000B4F8E"/>
    <w:rsid w:val="000C3490"/>
    <w:rsid w:val="000F3CCD"/>
    <w:rsid w:val="000F4BD1"/>
    <w:rsid w:val="000F4F59"/>
    <w:rsid w:val="00117E72"/>
    <w:rsid w:val="001263A0"/>
    <w:rsid w:val="001276CC"/>
    <w:rsid w:val="001461A4"/>
    <w:rsid w:val="00174DC1"/>
    <w:rsid w:val="001833E3"/>
    <w:rsid w:val="0019106C"/>
    <w:rsid w:val="00193049"/>
    <w:rsid w:val="00195D26"/>
    <w:rsid w:val="001A14FB"/>
    <w:rsid w:val="001B2CF4"/>
    <w:rsid w:val="001B50FA"/>
    <w:rsid w:val="001B569D"/>
    <w:rsid w:val="001C5C80"/>
    <w:rsid w:val="001E02B4"/>
    <w:rsid w:val="00200B3D"/>
    <w:rsid w:val="00201473"/>
    <w:rsid w:val="002043C6"/>
    <w:rsid w:val="0021462D"/>
    <w:rsid w:val="002178F9"/>
    <w:rsid w:val="002204DD"/>
    <w:rsid w:val="00221CC5"/>
    <w:rsid w:val="0022594A"/>
    <w:rsid w:val="0022758A"/>
    <w:rsid w:val="00227993"/>
    <w:rsid w:val="002356A1"/>
    <w:rsid w:val="002400A5"/>
    <w:rsid w:val="00243CB7"/>
    <w:rsid w:val="0025535E"/>
    <w:rsid w:val="00257E33"/>
    <w:rsid w:val="00262F0B"/>
    <w:rsid w:val="00271114"/>
    <w:rsid w:val="002A42FE"/>
    <w:rsid w:val="002A7504"/>
    <w:rsid w:val="002B069D"/>
    <w:rsid w:val="002B7565"/>
    <w:rsid w:val="002C511A"/>
    <w:rsid w:val="002C7A49"/>
    <w:rsid w:val="002D0EC7"/>
    <w:rsid w:val="002D2BCF"/>
    <w:rsid w:val="002D500D"/>
    <w:rsid w:val="002E774E"/>
    <w:rsid w:val="00312841"/>
    <w:rsid w:val="00322236"/>
    <w:rsid w:val="00324474"/>
    <w:rsid w:val="00325A7A"/>
    <w:rsid w:val="00335930"/>
    <w:rsid w:val="00337021"/>
    <w:rsid w:val="00342146"/>
    <w:rsid w:val="0034751F"/>
    <w:rsid w:val="00374A13"/>
    <w:rsid w:val="00376390"/>
    <w:rsid w:val="00380141"/>
    <w:rsid w:val="00381B6A"/>
    <w:rsid w:val="0039449E"/>
    <w:rsid w:val="00395AB9"/>
    <w:rsid w:val="003A31E1"/>
    <w:rsid w:val="003A472C"/>
    <w:rsid w:val="003A6F60"/>
    <w:rsid w:val="003B4AC6"/>
    <w:rsid w:val="003B52BE"/>
    <w:rsid w:val="003B729E"/>
    <w:rsid w:val="003C3671"/>
    <w:rsid w:val="003C6921"/>
    <w:rsid w:val="003C7AA2"/>
    <w:rsid w:val="003D2149"/>
    <w:rsid w:val="003D325D"/>
    <w:rsid w:val="003D3363"/>
    <w:rsid w:val="003D3712"/>
    <w:rsid w:val="003F07BC"/>
    <w:rsid w:val="004126A0"/>
    <w:rsid w:val="0041379E"/>
    <w:rsid w:val="00417096"/>
    <w:rsid w:val="00426454"/>
    <w:rsid w:val="004348AB"/>
    <w:rsid w:val="00437086"/>
    <w:rsid w:val="00444576"/>
    <w:rsid w:val="00446FEF"/>
    <w:rsid w:val="00451205"/>
    <w:rsid w:val="00451ACD"/>
    <w:rsid w:val="00456A70"/>
    <w:rsid w:val="0047040C"/>
    <w:rsid w:val="00473829"/>
    <w:rsid w:val="00473BE3"/>
    <w:rsid w:val="0048591D"/>
    <w:rsid w:val="004A534C"/>
    <w:rsid w:val="004E5DA2"/>
    <w:rsid w:val="004F6252"/>
    <w:rsid w:val="0050173D"/>
    <w:rsid w:val="00501B90"/>
    <w:rsid w:val="00515923"/>
    <w:rsid w:val="00527695"/>
    <w:rsid w:val="005335BF"/>
    <w:rsid w:val="005427F2"/>
    <w:rsid w:val="005429EF"/>
    <w:rsid w:val="00544813"/>
    <w:rsid w:val="0054665D"/>
    <w:rsid w:val="005506A3"/>
    <w:rsid w:val="00561EAC"/>
    <w:rsid w:val="00565070"/>
    <w:rsid w:val="00570849"/>
    <w:rsid w:val="00572BD3"/>
    <w:rsid w:val="00573418"/>
    <w:rsid w:val="0057601B"/>
    <w:rsid w:val="00582DA7"/>
    <w:rsid w:val="005835D7"/>
    <w:rsid w:val="00590AB0"/>
    <w:rsid w:val="005943C8"/>
    <w:rsid w:val="005B01F6"/>
    <w:rsid w:val="005E1EB8"/>
    <w:rsid w:val="005F64CE"/>
    <w:rsid w:val="00615F57"/>
    <w:rsid w:val="00617F6E"/>
    <w:rsid w:val="006216DF"/>
    <w:rsid w:val="00635A70"/>
    <w:rsid w:val="00642740"/>
    <w:rsid w:val="00652EA0"/>
    <w:rsid w:val="006604D9"/>
    <w:rsid w:val="006615F8"/>
    <w:rsid w:val="006644E1"/>
    <w:rsid w:val="00674BD5"/>
    <w:rsid w:val="006815B3"/>
    <w:rsid w:val="00682C2F"/>
    <w:rsid w:val="0068442A"/>
    <w:rsid w:val="0068444B"/>
    <w:rsid w:val="006904A9"/>
    <w:rsid w:val="00697C22"/>
    <w:rsid w:val="006A71AC"/>
    <w:rsid w:val="006B748B"/>
    <w:rsid w:val="006C2702"/>
    <w:rsid w:val="006C2BC4"/>
    <w:rsid w:val="006C5E31"/>
    <w:rsid w:val="006D16B2"/>
    <w:rsid w:val="006D20FA"/>
    <w:rsid w:val="006D27E4"/>
    <w:rsid w:val="006D73CB"/>
    <w:rsid w:val="006E21A2"/>
    <w:rsid w:val="006E25F3"/>
    <w:rsid w:val="006E2DA7"/>
    <w:rsid w:val="006E554C"/>
    <w:rsid w:val="006E5E2D"/>
    <w:rsid w:val="006E6F71"/>
    <w:rsid w:val="006F7200"/>
    <w:rsid w:val="00706812"/>
    <w:rsid w:val="0072782A"/>
    <w:rsid w:val="00733F15"/>
    <w:rsid w:val="007455B6"/>
    <w:rsid w:val="00762C53"/>
    <w:rsid w:val="00764C34"/>
    <w:rsid w:val="00777229"/>
    <w:rsid w:val="007844F7"/>
    <w:rsid w:val="00786EFB"/>
    <w:rsid w:val="00790A9C"/>
    <w:rsid w:val="007A7BC5"/>
    <w:rsid w:val="007B22CB"/>
    <w:rsid w:val="007C02DC"/>
    <w:rsid w:val="007C1BBA"/>
    <w:rsid w:val="007C306E"/>
    <w:rsid w:val="007F0DD6"/>
    <w:rsid w:val="007F2AF6"/>
    <w:rsid w:val="007F2F08"/>
    <w:rsid w:val="007F3D6D"/>
    <w:rsid w:val="00800631"/>
    <w:rsid w:val="00802BD6"/>
    <w:rsid w:val="00831D06"/>
    <w:rsid w:val="00837B33"/>
    <w:rsid w:val="0084020A"/>
    <w:rsid w:val="00850736"/>
    <w:rsid w:val="008547BD"/>
    <w:rsid w:val="008577C9"/>
    <w:rsid w:val="00871D9D"/>
    <w:rsid w:val="008751F8"/>
    <w:rsid w:val="008752AF"/>
    <w:rsid w:val="00884545"/>
    <w:rsid w:val="00885811"/>
    <w:rsid w:val="00886B0D"/>
    <w:rsid w:val="00887592"/>
    <w:rsid w:val="0089049D"/>
    <w:rsid w:val="0089142E"/>
    <w:rsid w:val="00891D3F"/>
    <w:rsid w:val="00896B84"/>
    <w:rsid w:val="008A362E"/>
    <w:rsid w:val="008A63E3"/>
    <w:rsid w:val="008C3F63"/>
    <w:rsid w:val="008C5CA3"/>
    <w:rsid w:val="008C62FE"/>
    <w:rsid w:val="008C7741"/>
    <w:rsid w:val="008D0930"/>
    <w:rsid w:val="008D0BDD"/>
    <w:rsid w:val="008D4F34"/>
    <w:rsid w:val="008D65BA"/>
    <w:rsid w:val="008D6751"/>
    <w:rsid w:val="008D6CFF"/>
    <w:rsid w:val="008D79C9"/>
    <w:rsid w:val="008E4CCD"/>
    <w:rsid w:val="008E62CD"/>
    <w:rsid w:val="008E7518"/>
    <w:rsid w:val="008E7AF9"/>
    <w:rsid w:val="008F25A6"/>
    <w:rsid w:val="008F315B"/>
    <w:rsid w:val="0090335A"/>
    <w:rsid w:val="0090787D"/>
    <w:rsid w:val="00916045"/>
    <w:rsid w:val="00927A33"/>
    <w:rsid w:val="009321BE"/>
    <w:rsid w:val="009325D2"/>
    <w:rsid w:val="009343E9"/>
    <w:rsid w:val="009349D4"/>
    <w:rsid w:val="009372AA"/>
    <w:rsid w:val="009418A3"/>
    <w:rsid w:val="00941E24"/>
    <w:rsid w:val="00943585"/>
    <w:rsid w:val="00946AC8"/>
    <w:rsid w:val="00955C80"/>
    <w:rsid w:val="009566FF"/>
    <w:rsid w:val="00960551"/>
    <w:rsid w:val="00963C23"/>
    <w:rsid w:val="00966A1E"/>
    <w:rsid w:val="00975A1E"/>
    <w:rsid w:val="00976BED"/>
    <w:rsid w:val="00981EFF"/>
    <w:rsid w:val="00983077"/>
    <w:rsid w:val="00986B19"/>
    <w:rsid w:val="00991F4E"/>
    <w:rsid w:val="0099215C"/>
    <w:rsid w:val="009A014E"/>
    <w:rsid w:val="009A6972"/>
    <w:rsid w:val="009A6B8D"/>
    <w:rsid w:val="009B3A25"/>
    <w:rsid w:val="009B5828"/>
    <w:rsid w:val="009B5C65"/>
    <w:rsid w:val="009C55CC"/>
    <w:rsid w:val="009C7E47"/>
    <w:rsid w:val="009D407A"/>
    <w:rsid w:val="009D4B9F"/>
    <w:rsid w:val="009E1158"/>
    <w:rsid w:val="009E12A2"/>
    <w:rsid w:val="009E207B"/>
    <w:rsid w:val="009F0B4E"/>
    <w:rsid w:val="009F0E2D"/>
    <w:rsid w:val="009F5068"/>
    <w:rsid w:val="009F7AFC"/>
    <w:rsid w:val="00A10F7C"/>
    <w:rsid w:val="00A139EB"/>
    <w:rsid w:val="00A13C6B"/>
    <w:rsid w:val="00A226DF"/>
    <w:rsid w:val="00A24CE7"/>
    <w:rsid w:val="00A26EFA"/>
    <w:rsid w:val="00A449BF"/>
    <w:rsid w:val="00A54B84"/>
    <w:rsid w:val="00A562BF"/>
    <w:rsid w:val="00A5642F"/>
    <w:rsid w:val="00A568D2"/>
    <w:rsid w:val="00A61717"/>
    <w:rsid w:val="00A67DF3"/>
    <w:rsid w:val="00A8277A"/>
    <w:rsid w:val="00A92AC6"/>
    <w:rsid w:val="00A92CCB"/>
    <w:rsid w:val="00AA48C7"/>
    <w:rsid w:val="00AA674C"/>
    <w:rsid w:val="00AB15FA"/>
    <w:rsid w:val="00AC162A"/>
    <w:rsid w:val="00AE4459"/>
    <w:rsid w:val="00B00E38"/>
    <w:rsid w:val="00B01CCE"/>
    <w:rsid w:val="00B02131"/>
    <w:rsid w:val="00B26389"/>
    <w:rsid w:val="00B30C24"/>
    <w:rsid w:val="00B30E26"/>
    <w:rsid w:val="00B61867"/>
    <w:rsid w:val="00B65FD0"/>
    <w:rsid w:val="00B729AF"/>
    <w:rsid w:val="00B77925"/>
    <w:rsid w:val="00B810AA"/>
    <w:rsid w:val="00B84117"/>
    <w:rsid w:val="00B916DD"/>
    <w:rsid w:val="00BA5C59"/>
    <w:rsid w:val="00BA6BC0"/>
    <w:rsid w:val="00BB1AF8"/>
    <w:rsid w:val="00BB3904"/>
    <w:rsid w:val="00BD563D"/>
    <w:rsid w:val="00BD6315"/>
    <w:rsid w:val="00BE0D9A"/>
    <w:rsid w:val="00BE0F6E"/>
    <w:rsid w:val="00BE2F37"/>
    <w:rsid w:val="00BF1A6D"/>
    <w:rsid w:val="00BF736C"/>
    <w:rsid w:val="00BF792F"/>
    <w:rsid w:val="00C01175"/>
    <w:rsid w:val="00C0395A"/>
    <w:rsid w:val="00C119AB"/>
    <w:rsid w:val="00C36DD7"/>
    <w:rsid w:val="00C439CF"/>
    <w:rsid w:val="00C448F6"/>
    <w:rsid w:val="00C60206"/>
    <w:rsid w:val="00C60EC7"/>
    <w:rsid w:val="00C62CD8"/>
    <w:rsid w:val="00C62CDE"/>
    <w:rsid w:val="00C64839"/>
    <w:rsid w:val="00C6779A"/>
    <w:rsid w:val="00C709BC"/>
    <w:rsid w:val="00C725D8"/>
    <w:rsid w:val="00C73C5D"/>
    <w:rsid w:val="00C85F96"/>
    <w:rsid w:val="00C968D3"/>
    <w:rsid w:val="00C96B6D"/>
    <w:rsid w:val="00CA6EDE"/>
    <w:rsid w:val="00CB6A94"/>
    <w:rsid w:val="00CC3B41"/>
    <w:rsid w:val="00CC4E37"/>
    <w:rsid w:val="00CC5A57"/>
    <w:rsid w:val="00CC7DF3"/>
    <w:rsid w:val="00CD29FF"/>
    <w:rsid w:val="00CD5C04"/>
    <w:rsid w:val="00CF40D3"/>
    <w:rsid w:val="00CF5C08"/>
    <w:rsid w:val="00D04263"/>
    <w:rsid w:val="00D06F12"/>
    <w:rsid w:val="00D10F10"/>
    <w:rsid w:val="00D116A9"/>
    <w:rsid w:val="00D13589"/>
    <w:rsid w:val="00D14D73"/>
    <w:rsid w:val="00D173E3"/>
    <w:rsid w:val="00D214F5"/>
    <w:rsid w:val="00D365CB"/>
    <w:rsid w:val="00D444AA"/>
    <w:rsid w:val="00D64BA1"/>
    <w:rsid w:val="00D65473"/>
    <w:rsid w:val="00D77021"/>
    <w:rsid w:val="00D77463"/>
    <w:rsid w:val="00D859AE"/>
    <w:rsid w:val="00D93652"/>
    <w:rsid w:val="00D942B0"/>
    <w:rsid w:val="00DA4223"/>
    <w:rsid w:val="00DA4904"/>
    <w:rsid w:val="00DC3D83"/>
    <w:rsid w:val="00DC65AC"/>
    <w:rsid w:val="00DC7D93"/>
    <w:rsid w:val="00DD0D53"/>
    <w:rsid w:val="00DE19AA"/>
    <w:rsid w:val="00DF18B8"/>
    <w:rsid w:val="00E06EC5"/>
    <w:rsid w:val="00E1505F"/>
    <w:rsid w:val="00E205AC"/>
    <w:rsid w:val="00E21E0D"/>
    <w:rsid w:val="00E22BE3"/>
    <w:rsid w:val="00E23C2A"/>
    <w:rsid w:val="00E359A1"/>
    <w:rsid w:val="00E414E5"/>
    <w:rsid w:val="00E43EA7"/>
    <w:rsid w:val="00E53795"/>
    <w:rsid w:val="00E5504C"/>
    <w:rsid w:val="00E60CE1"/>
    <w:rsid w:val="00E62504"/>
    <w:rsid w:val="00E648E5"/>
    <w:rsid w:val="00E655A9"/>
    <w:rsid w:val="00E70124"/>
    <w:rsid w:val="00E76C58"/>
    <w:rsid w:val="00E7757D"/>
    <w:rsid w:val="00E8195F"/>
    <w:rsid w:val="00EA21F0"/>
    <w:rsid w:val="00EA67AD"/>
    <w:rsid w:val="00EB6557"/>
    <w:rsid w:val="00ED21FB"/>
    <w:rsid w:val="00ED4D7E"/>
    <w:rsid w:val="00EE010E"/>
    <w:rsid w:val="00EE78E4"/>
    <w:rsid w:val="00EF2466"/>
    <w:rsid w:val="00EF3A09"/>
    <w:rsid w:val="00EF50E2"/>
    <w:rsid w:val="00F01539"/>
    <w:rsid w:val="00F065F3"/>
    <w:rsid w:val="00F07033"/>
    <w:rsid w:val="00F0715D"/>
    <w:rsid w:val="00F106BD"/>
    <w:rsid w:val="00F1566B"/>
    <w:rsid w:val="00F157F4"/>
    <w:rsid w:val="00F20418"/>
    <w:rsid w:val="00F24298"/>
    <w:rsid w:val="00F245FD"/>
    <w:rsid w:val="00F27E2F"/>
    <w:rsid w:val="00F32D1F"/>
    <w:rsid w:val="00F426F9"/>
    <w:rsid w:val="00F42943"/>
    <w:rsid w:val="00F43E8D"/>
    <w:rsid w:val="00F4571C"/>
    <w:rsid w:val="00F50CF9"/>
    <w:rsid w:val="00F53832"/>
    <w:rsid w:val="00F538B3"/>
    <w:rsid w:val="00F6645D"/>
    <w:rsid w:val="00F73B75"/>
    <w:rsid w:val="00F750EF"/>
    <w:rsid w:val="00F755F4"/>
    <w:rsid w:val="00F8014F"/>
    <w:rsid w:val="00F86492"/>
    <w:rsid w:val="00F92F75"/>
    <w:rsid w:val="00FB0ADC"/>
    <w:rsid w:val="00FB780C"/>
    <w:rsid w:val="00FD456A"/>
    <w:rsid w:val="00FE1F53"/>
    <w:rsid w:val="00FE4C5A"/>
    <w:rsid w:val="00FF30C4"/>
    <w:rsid w:val="00FF310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C7279D-F2DA-4130-8A39-F2C07660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551"/>
    <w:pPr>
      <w:spacing w:line="480" w:lineRule="auto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D0BD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1473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BC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6751"/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D6751"/>
    <w:rPr>
      <w:rFonts w:asciiTheme="majorBidi" w:hAnsiTheme="majorBid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9AF"/>
  </w:style>
  <w:style w:type="character" w:customStyle="1" w:styleId="SubtitleChar">
    <w:name w:val="Subtitle Char"/>
    <w:basedOn w:val="DefaultParagraphFont"/>
    <w:link w:val="Subtitle"/>
    <w:uiPriority w:val="11"/>
    <w:rsid w:val="00B729AF"/>
    <w:rPr>
      <w:rFonts w:asciiTheme="majorBidi" w:hAnsiTheme="majorBidi" w:cstheme="majorBidi"/>
      <w:sz w:val="24"/>
      <w:szCs w:val="24"/>
    </w:rPr>
  </w:style>
  <w:style w:type="character" w:styleId="SubtleEmphasis">
    <w:name w:val="Subtle Emphasis"/>
    <w:uiPriority w:val="19"/>
    <w:qFormat/>
    <w:rsid w:val="00B729AF"/>
    <w:rPr>
      <w:rFonts w:asciiTheme="majorBidi" w:hAnsiTheme="majorBidi" w:cstheme="majorBidi"/>
    </w:rPr>
  </w:style>
  <w:style w:type="character" w:styleId="Emphasis">
    <w:name w:val="Emphasis"/>
    <w:uiPriority w:val="20"/>
    <w:qFormat/>
    <w:rsid w:val="00B729AF"/>
    <w:rPr>
      <w:b/>
      <w:bCs/>
    </w:rPr>
  </w:style>
  <w:style w:type="paragraph" w:styleId="ListParagraph">
    <w:name w:val="List Paragraph"/>
    <w:basedOn w:val="Normal"/>
    <w:uiPriority w:val="34"/>
    <w:qFormat/>
    <w:rsid w:val="008D0B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BDD"/>
    <w:rPr>
      <w:rFonts w:asciiTheme="majorBidi" w:hAnsiTheme="majorBidi" w:cstheme="majorBidi"/>
      <w:b/>
      <w:bCs/>
      <w:sz w:val="24"/>
      <w:szCs w:val="24"/>
    </w:rPr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381B6A"/>
    <w:pPr>
      <w:spacing w:after="0"/>
      <w:jc w:val="center"/>
    </w:pPr>
    <w:rPr>
      <w:rFonts w:ascii="Times New Roman" w:eastAsia="MS Mincho" w:hAnsi="Times New Roman" w:cs="Times New Roman"/>
      <w:lang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B916DD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16DD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B916DD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916DD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59"/>
    <w:rsid w:val="0083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1473"/>
    <w:rPr>
      <w:rFonts w:asciiTheme="majorBidi" w:hAnsiTheme="majorBid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252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252"/>
    <w:rPr>
      <w:rFonts w:asciiTheme="majorBidi" w:hAnsiTheme="majorBidi" w:cstheme="majorBidi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F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adasgarpour@ut.ac.i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30CD0-5BFA-4EAA-9C62-B6917C4B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Milad Asgarpour Khansary</cp:lastModifiedBy>
  <cp:revision>329</cp:revision>
  <dcterms:created xsi:type="dcterms:W3CDTF">2016-07-28T15:48:00Z</dcterms:created>
  <dcterms:modified xsi:type="dcterms:W3CDTF">2017-02-15T15:18:00Z</dcterms:modified>
</cp:coreProperties>
</file>