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AA3" w:rsidRPr="00805618" w:rsidRDefault="001D4AA3" w:rsidP="001D4AA3">
      <w:pPr>
        <w:pStyle w:val="Title"/>
        <w:jc w:val="center"/>
      </w:pPr>
      <w:bookmarkStart w:id="0" w:name="_GoBack"/>
      <w:r w:rsidRPr="00805618">
        <w:t xml:space="preserve">Appendix </w:t>
      </w:r>
      <w:r>
        <w:t>C</w:t>
      </w:r>
      <w:r w:rsidRPr="00805618">
        <w:t xml:space="preserve"> – Sigma profiles of individual compounds</w:t>
      </w:r>
      <w:r>
        <w:t xml:space="preserve"> in each mixture</w:t>
      </w:r>
    </w:p>
    <w:p w:rsidR="001D4AA3" w:rsidRPr="00805618" w:rsidRDefault="001D4AA3" w:rsidP="001D4AA3"/>
    <w:p w:rsidR="001D4AA3" w:rsidRDefault="001D4AA3" w:rsidP="001D4AA3">
      <w:pPr>
        <w:pStyle w:val="Title"/>
      </w:pPr>
      <w:r w:rsidRPr="00F0208A">
        <w:t xml:space="preserve">Evaluating cellulose potential for estrogen micropollutants removal from water effluents using quantum chemical calculations </w:t>
      </w:r>
    </w:p>
    <w:p w:rsidR="001D4AA3" w:rsidRPr="00805618" w:rsidRDefault="001D4AA3" w:rsidP="001D4AA3"/>
    <w:p w:rsidR="001D4AA3" w:rsidRDefault="001D4AA3" w:rsidP="001D4AA3">
      <w:r w:rsidRPr="00F0208A">
        <w:t>Milad Asgarpour Khansary 1*, Azam Marjani 2, Saeed Shirazian 3</w:t>
      </w:r>
    </w:p>
    <w:p w:rsidR="001D4AA3" w:rsidRPr="00F0208A" w:rsidRDefault="001D4AA3" w:rsidP="001D4AA3"/>
    <w:p w:rsidR="001D4AA3" w:rsidRPr="00F0208A" w:rsidRDefault="001D4AA3" w:rsidP="001D4AA3">
      <w:r w:rsidRPr="00F0208A">
        <w:t xml:space="preserve">1 – Young Researchers and Elite Club, South Tehran Branch, Islamic Azad University, Tehran, Iran </w:t>
      </w:r>
    </w:p>
    <w:p w:rsidR="001D4AA3" w:rsidRPr="00F0208A" w:rsidRDefault="001D4AA3" w:rsidP="001D4AA3">
      <w:r w:rsidRPr="00F0208A">
        <w:t xml:space="preserve">2 – Department of Chemistry, Arak Branch, Islamic Azad University, Arak, Iran </w:t>
      </w:r>
    </w:p>
    <w:p w:rsidR="001D4AA3" w:rsidRPr="00F0208A" w:rsidRDefault="001D4AA3" w:rsidP="001D4AA3">
      <w:r w:rsidRPr="00F0208A">
        <w:t>3 – Department of Chemical Sciences, Bernal Institute, University of Limerick, Limerick, Ireland</w:t>
      </w:r>
      <w:r>
        <w:t xml:space="preserve">  </w:t>
      </w:r>
    </w:p>
    <w:p w:rsidR="001D4AA3" w:rsidRPr="00F0208A" w:rsidRDefault="001D4AA3" w:rsidP="001D4AA3">
      <w:r w:rsidRPr="00F0208A">
        <w:t xml:space="preserve">* email: </w:t>
      </w:r>
      <w:hyperlink r:id="rId8" w:history="1">
        <w:r w:rsidRPr="00F0208A">
          <w:rPr>
            <w:rStyle w:val="Hyperlink"/>
          </w:rPr>
          <w:t>miladasgarpour@ut.ac.ir</w:t>
        </w:r>
      </w:hyperlink>
      <w:r w:rsidRPr="00F0208A">
        <w:t xml:space="preserve"> </w:t>
      </w:r>
    </w:p>
    <w:p w:rsidR="001D4AA3" w:rsidRDefault="001D4AA3" w:rsidP="001D4AA3"/>
    <w:p w:rsidR="001D4AA3" w:rsidRDefault="001D4AA3" w:rsidP="001D4AA3"/>
    <w:p w:rsidR="001D4AA3" w:rsidRDefault="001D4AA3" w:rsidP="001D4AA3"/>
    <w:p w:rsidR="001D4AA3" w:rsidRDefault="001D4AA3" w:rsidP="001D4AA3"/>
    <w:p w:rsidR="001D4AA3" w:rsidRDefault="001D4AA3" w:rsidP="001D4AA3"/>
    <w:p w:rsidR="001D4AA3" w:rsidRDefault="001D4AA3" w:rsidP="001D4AA3"/>
    <w:p w:rsidR="009E207B" w:rsidRPr="009E207B" w:rsidRDefault="009E207B" w:rsidP="009E207B">
      <w:pPr>
        <w:rPr>
          <w:lang w:eastAsia="ja-JP"/>
        </w:rPr>
      </w:pPr>
      <w:r>
        <w:rPr>
          <w:noProof/>
        </w:rPr>
        <w:lastRenderedPageBreak/>
        <w:drawing>
          <wp:inline distT="0" distB="0" distL="0" distR="0" wp14:anchorId="1A976084" wp14:editId="3C5E7A4D">
            <wp:extent cx="6567055" cy="4607513"/>
            <wp:effectExtent l="0" t="0" r="5715"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5490" cy="4606415"/>
                    </a:xfrm>
                    <a:prstGeom prst="rect">
                      <a:avLst/>
                    </a:prstGeom>
                    <a:noFill/>
                  </pic:spPr>
                </pic:pic>
              </a:graphicData>
            </a:graphic>
          </wp:inline>
        </w:drawing>
      </w:r>
    </w:p>
    <w:p w:rsidR="009E207B" w:rsidRDefault="009E207B" w:rsidP="009E207B">
      <w:pPr>
        <w:pStyle w:val="Caption"/>
      </w:pPr>
      <w:bookmarkStart w:id="1" w:name="_Ref457913911"/>
      <w:r w:rsidRPr="00AB15FA">
        <w:t xml:space="preserve">Fig. </w:t>
      </w:r>
      <w:fldSimple w:instr=" SEQ Figure \* ARABIC ">
        <w:r w:rsidR="001D4AA3">
          <w:rPr>
            <w:noProof/>
          </w:rPr>
          <w:t>1</w:t>
        </w:r>
      </w:fldSimple>
      <w:bookmarkEnd w:id="1"/>
      <w:r w:rsidRPr="00AB15FA">
        <w:t xml:space="preserve">. </w:t>
      </w:r>
      <w:r>
        <w:t xml:space="preserve">Comparing charge density profiles of water, cellulose and </w:t>
      </w:r>
      <w:r w:rsidRPr="003A6F60">
        <w:t xml:space="preserve">Estrone </w:t>
      </w:r>
      <w:r w:rsidRPr="00AB15FA">
        <w:t>(E1)</w:t>
      </w:r>
    </w:p>
    <w:p w:rsidR="005429EF" w:rsidRDefault="005429EF" w:rsidP="005429EF">
      <w:pPr>
        <w:rPr>
          <w:lang w:eastAsia="ja-JP"/>
        </w:rPr>
      </w:pPr>
      <w:r>
        <w:t xml:space="preserve">For E1 in mixture of water+E1, almost of peaks find matching partner and no considerable mismatch can be seen, consequently, E1 will feel electrostatically much stable in comparison to E1 in mixture of cellulose+E1 where only loose π-faces associated peaks find their matching partner. The peaks in </w:t>
      </w:r>
      <w:r w:rsidRPr="00AB15FA">
        <w:t xml:space="preserve">charge density </w:t>
      </w:r>
      <w:r>
        <w:t xml:space="preserve">within the </w:t>
      </w:r>
      <w:r w:rsidRPr="00AB15FA">
        <w:t>range of −0.0</w:t>
      </w:r>
      <w:r>
        <w:t>01</w:t>
      </w:r>
      <w:r w:rsidRPr="00AB15FA">
        <w:t xml:space="preserve"> to 0.0</w:t>
      </w:r>
      <w:r>
        <w:t>01</w:t>
      </w:r>
      <w:r w:rsidRPr="00AB15FA">
        <w:t xml:space="preserve"> e/Å</w:t>
      </w:r>
      <w:r w:rsidRPr="00AB15FA">
        <w:rPr>
          <w:vertAlign w:val="superscript"/>
        </w:rPr>
        <w:t>2</w:t>
      </w:r>
      <w:r>
        <w:t xml:space="preserve">are associated to weak polar interactions, which in mixture of water+E1 might results in some interactions however, as discussed in previous sections, the cellulose does not tend to show such interactions and if such interactions happen, they are over its own functional groups. Therefore, the weak polar hydrogen peak in cellulose contributes on nothing.  Thus, the lower content of E1 in cellulose in comparison to water is expected. </w:t>
      </w:r>
    </w:p>
    <w:p w:rsidR="00E1505F" w:rsidRPr="00AB15FA" w:rsidRDefault="00E1505F" w:rsidP="00E1505F">
      <w:pPr>
        <w:pStyle w:val="Caption"/>
      </w:pPr>
    </w:p>
    <w:p w:rsidR="00C96B6D" w:rsidRDefault="00C62CD8" w:rsidP="003C3671">
      <w:pPr>
        <w:rPr>
          <w:lang w:eastAsia="ja-JP"/>
        </w:rPr>
      </w:pPr>
      <w:r>
        <w:rPr>
          <w:noProof/>
        </w:rPr>
        <w:lastRenderedPageBreak/>
        <w:drawing>
          <wp:inline distT="0" distB="0" distL="0" distR="0" wp14:anchorId="0C24782D" wp14:editId="6E2311EA">
            <wp:extent cx="6573594" cy="4619501"/>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027" cy="4618400"/>
                    </a:xfrm>
                    <a:prstGeom prst="rect">
                      <a:avLst/>
                    </a:prstGeom>
                    <a:noFill/>
                  </pic:spPr>
                </pic:pic>
              </a:graphicData>
            </a:graphic>
          </wp:inline>
        </w:drawing>
      </w:r>
    </w:p>
    <w:p w:rsidR="00C96B6D" w:rsidRDefault="00C96B6D" w:rsidP="00C96B6D">
      <w:pPr>
        <w:pStyle w:val="Caption"/>
      </w:pPr>
      <w:bookmarkStart w:id="2" w:name="_Ref457914887"/>
      <w:r w:rsidRPr="00AB15FA">
        <w:t xml:space="preserve">Fig. </w:t>
      </w:r>
      <w:fldSimple w:instr=" SEQ Figure \* ARABIC ">
        <w:r w:rsidR="001D4AA3">
          <w:rPr>
            <w:noProof/>
          </w:rPr>
          <w:t>2</w:t>
        </w:r>
      </w:fldSimple>
      <w:bookmarkEnd w:id="2"/>
      <w:r w:rsidRPr="00AB15FA">
        <w:t xml:space="preserve">. </w:t>
      </w:r>
      <w:r>
        <w:t xml:space="preserve">Comparing charge density profiles of water, cellulose and </w:t>
      </w:r>
      <w:r w:rsidRPr="00AB15FA">
        <w:t>Estradiol (E2)</w:t>
      </w:r>
    </w:p>
    <w:p w:rsidR="00BE0F6E" w:rsidRDefault="00BE0F6E" w:rsidP="00BE0F6E">
      <w:pPr>
        <w:rPr>
          <w:lang w:eastAsia="ja-JP"/>
        </w:rPr>
      </w:pPr>
      <w:r>
        <w:t xml:space="preserve">Similar to E1 systems, for E2 in mixture of water+E2, almost of peaks find matching partner and no considerable mismatch can be seen, consequently, E2 will feel electrostatically much stable in comparison to E2 in mixture of cellulose+E2 where only loose π-faces associated peaks find their matching partner. The oxygen and hydrogen associated peaks of E2 are well matched with those of water as shown in </w:t>
      </w:r>
      <w:r>
        <w:fldChar w:fldCharType="begin"/>
      </w:r>
      <w:r>
        <w:instrText xml:space="preserve"> REF _Ref457914887 \h </w:instrText>
      </w:r>
      <w:r>
        <w:fldChar w:fldCharType="separate"/>
      </w:r>
      <w:r w:rsidR="001D4AA3" w:rsidRPr="00AB15FA">
        <w:t xml:space="preserve">Fig. </w:t>
      </w:r>
      <w:r w:rsidR="001D4AA3">
        <w:rPr>
          <w:noProof/>
        </w:rPr>
        <w:t>2</w:t>
      </w:r>
      <w:r>
        <w:fldChar w:fldCharType="end"/>
      </w:r>
      <w:r>
        <w:t xml:space="preserve">. The peaks in </w:t>
      </w:r>
      <w:r w:rsidRPr="00AB15FA">
        <w:t xml:space="preserve">charge density </w:t>
      </w:r>
      <w:r>
        <w:t xml:space="preserve">within the </w:t>
      </w:r>
      <w:r w:rsidRPr="00AB15FA">
        <w:t>range of −0.0</w:t>
      </w:r>
      <w:r>
        <w:t>01</w:t>
      </w:r>
      <w:r w:rsidRPr="00AB15FA">
        <w:t xml:space="preserve"> to 0.0</w:t>
      </w:r>
      <w:r>
        <w:t>01</w:t>
      </w:r>
      <w:r w:rsidRPr="00AB15FA">
        <w:t xml:space="preserve"> e/Å</w:t>
      </w:r>
      <w:r w:rsidRPr="00AB15FA">
        <w:rPr>
          <w:vertAlign w:val="superscript"/>
        </w:rPr>
        <w:t>2</w:t>
      </w:r>
      <w:r>
        <w:t xml:space="preserve">are associated to weak polar interactions. Thus, the lower content of E2 in cellulose in comparison to water is expected. </w:t>
      </w:r>
    </w:p>
    <w:p w:rsidR="009D4B9F" w:rsidRDefault="009D4B9F" w:rsidP="003C3671">
      <w:pPr>
        <w:rPr>
          <w:lang w:eastAsia="ja-JP"/>
        </w:rPr>
      </w:pPr>
      <w:r>
        <w:rPr>
          <w:noProof/>
        </w:rPr>
        <w:lastRenderedPageBreak/>
        <w:drawing>
          <wp:inline distT="0" distB="0" distL="0" distR="0" wp14:anchorId="762E41BB" wp14:editId="679C95DF">
            <wp:extent cx="6519553" cy="457418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8000" cy="4573095"/>
                    </a:xfrm>
                    <a:prstGeom prst="rect">
                      <a:avLst/>
                    </a:prstGeom>
                    <a:noFill/>
                  </pic:spPr>
                </pic:pic>
              </a:graphicData>
            </a:graphic>
          </wp:inline>
        </w:drawing>
      </w:r>
    </w:p>
    <w:p w:rsidR="009D4B9F" w:rsidRDefault="009D4B9F" w:rsidP="009D4B9F">
      <w:pPr>
        <w:jc w:val="center"/>
        <w:rPr>
          <w:lang w:eastAsia="ja-JP"/>
        </w:rPr>
      </w:pPr>
      <w:bookmarkStart w:id="3" w:name="_Ref457915315"/>
      <w:r w:rsidRPr="00AB15FA">
        <w:t xml:space="preserve">Fig. </w:t>
      </w:r>
      <w:fldSimple w:instr=" SEQ Figure \* ARABIC ">
        <w:r w:rsidR="001D4AA3">
          <w:rPr>
            <w:noProof/>
          </w:rPr>
          <w:t>3</w:t>
        </w:r>
      </w:fldSimple>
      <w:bookmarkEnd w:id="3"/>
      <w:r w:rsidRPr="00AB15FA">
        <w:t xml:space="preserve">. </w:t>
      </w:r>
      <w:r>
        <w:t xml:space="preserve">Comparing </w:t>
      </w:r>
      <w:r>
        <w:rPr>
          <w:lang w:eastAsia="ja-JP"/>
        </w:rPr>
        <w:t xml:space="preserve">charge density profiles of water, cellulose and </w:t>
      </w:r>
      <w:r w:rsidRPr="00AB15FA">
        <w:t>Estriol (E3)</w:t>
      </w:r>
    </w:p>
    <w:p w:rsidR="00BE0F6E" w:rsidRDefault="00BE0F6E" w:rsidP="00BE0F6E">
      <w:pPr>
        <w:rPr>
          <w:lang w:eastAsia="ja-JP"/>
        </w:rPr>
      </w:pPr>
      <w:r>
        <w:t xml:space="preserve">As seen the contribution of π-faces peaks due to the carbon atoms exposure and carbon rings is much wider than previous two cases. Thus a little more attractive covalent bonding and interactions can be expected between cellulose and E3 resulting in an increase in its sorption onto cellulose. The peaks in </w:t>
      </w:r>
      <w:r w:rsidRPr="00AB15FA">
        <w:t xml:space="preserve">charge density </w:t>
      </w:r>
      <w:r>
        <w:t xml:space="preserve">within the </w:t>
      </w:r>
      <w:r w:rsidRPr="00AB15FA">
        <w:t>range of −0.0</w:t>
      </w:r>
      <w:r>
        <w:t>01</w:t>
      </w:r>
      <w:r w:rsidRPr="00AB15FA">
        <w:t xml:space="preserve"> to 0.0</w:t>
      </w:r>
      <w:r>
        <w:t>01</w:t>
      </w:r>
      <w:r w:rsidRPr="00AB15FA">
        <w:t xml:space="preserve"> e/Å</w:t>
      </w:r>
      <w:r w:rsidRPr="00AB15FA">
        <w:rPr>
          <w:vertAlign w:val="superscript"/>
        </w:rPr>
        <w:t>2</w:t>
      </w:r>
      <w:r>
        <w:t xml:space="preserve">are associated to weak polar interactions. </w:t>
      </w:r>
    </w:p>
    <w:p w:rsidR="009325D2" w:rsidRDefault="009325D2" w:rsidP="001B2CF4">
      <w:pPr>
        <w:rPr>
          <w:lang w:eastAsia="ja-JP"/>
        </w:rPr>
      </w:pPr>
      <w:r>
        <w:rPr>
          <w:noProof/>
        </w:rPr>
        <w:lastRenderedPageBreak/>
        <w:drawing>
          <wp:inline distT="0" distB="0" distL="0" distR="0" wp14:anchorId="33FB25A9" wp14:editId="44E08B80">
            <wp:extent cx="6584142" cy="4619501"/>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2573" cy="4618400"/>
                    </a:xfrm>
                    <a:prstGeom prst="rect">
                      <a:avLst/>
                    </a:prstGeom>
                    <a:noFill/>
                  </pic:spPr>
                </pic:pic>
              </a:graphicData>
            </a:graphic>
          </wp:inline>
        </w:drawing>
      </w:r>
    </w:p>
    <w:p w:rsidR="009325D2" w:rsidRDefault="009325D2" w:rsidP="009325D2">
      <w:pPr>
        <w:pStyle w:val="Caption"/>
      </w:pPr>
      <w:bookmarkStart w:id="4" w:name="_Ref457915754"/>
      <w:r w:rsidRPr="00AB15FA">
        <w:t xml:space="preserve">Fig. </w:t>
      </w:r>
      <w:fldSimple w:instr=" SEQ Figure \* ARABIC ">
        <w:r w:rsidR="001D4AA3">
          <w:rPr>
            <w:noProof/>
          </w:rPr>
          <w:t>4</w:t>
        </w:r>
      </w:fldSimple>
      <w:bookmarkEnd w:id="4"/>
      <w:r w:rsidRPr="00AB15FA">
        <w:t xml:space="preserve">. </w:t>
      </w:r>
      <w:r>
        <w:t xml:space="preserve">Comparing charge density profiles of water, cellulose and </w:t>
      </w:r>
      <w:r w:rsidRPr="00AB15FA">
        <w:t>Ethinylestradiol (EE2)</w:t>
      </w:r>
    </w:p>
    <w:p w:rsidR="00BE0F6E" w:rsidRDefault="00BE0F6E" w:rsidP="00BE0F6E">
      <w:r>
        <w:rPr>
          <w:lang w:eastAsia="ja-JP"/>
        </w:rPr>
        <w:t xml:space="preserve">The low sorption capacity of </w:t>
      </w:r>
      <w:r w:rsidRPr="00AB15FA">
        <w:t>Ethinylestradiol (EE2)</w:t>
      </w:r>
      <w:r>
        <w:t xml:space="preserve"> in cellulose is due to the fact that no receptive matching on change density profiles can be observed (</w:t>
      </w:r>
      <w:r>
        <w:fldChar w:fldCharType="begin"/>
      </w:r>
      <w:r>
        <w:instrText xml:space="preserve"> REF _Ref457915754 \h </w:instrText>
      </w:r>
      <w:r>
        <w:fldChar w:fldCharType="separate"/>
      </w:r>
      <w:r w:rsidR="001D4AA3" w:rsidRPr="00AB15FA">
        <w:t xml:space="preserve">Fig. </w:t>
      </w:r>
      <w:r w:rsidR="001D4AA3">
        <w:rPr>
          <w:noProof/>
        </w:rPr>
        <w:t>4</w:t>
      </w:r>
      <w:r>
        <w:fldChar w:fldCharType="end"/>
      </w:r>
      <w:r>
        <w:t xml:space="preserve">). While the hydrogen associated peaks are matched, however, as mentioned in previous section, cellulose will not interact with other molecules through hydrogen bonding interaction. The covalent interactions, which were observed for three other systems discussed earlier, are now absent and weakly contribute as they found no matching partners. These observations come to the conclusion of very low sorption of EE2 in cellulose. </w:t>
      </w:r>
    </w:p>
    <w:p w:rsidR="00582DA7" w:rsidRPr="00AB15FA" w:rsidRDefault="00582DA7" w:rsidP="00927A33">
      <w:pPr>
        <w:rPr>
          <w:lang w:eastAsia="ja-JP"/>
        </w:rPr>
      </w:pPr>
    </w:p>
    <w:p w:rsidR="00BD6315" w:rsidRDefault="00BD6315" w:rsidP="00642740">
      <w:pPr>
        <w:rPr>
          <w:lang w:eastAsia="ja-JP"/>
        </w:rPr>
      </w:pPr>
      <w:r>
        <w:rPr>
          <w:noProof/>
        </w:rPr>
        <w:lastRenderedPageBreak/>
        <w:drawing>
          <wp:inline distT="0" distB="0" distL="0" distR="0" wp14:anchorId="7DDC7366" wp14:editId="0D441B20">
            <wp:extent cx="6550291" cy="4595751"/>
            <wp:effectExtent l="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4290" cy="4598557"/>
                    </a:xfrm>
                    <a:prstGeom prst="rect">
                      <a:avLst/>
                    </a:prstGeom>
                    <a:noFill/>
                  </pic:spPr>
                </pic:pic>
              </a:graphicData>
            </a:graphic>
          </wp:inline>
        </w:drawing>
      </w:r>
    </w:p>
    <w:p w:rsidR="00BD6315" w:rsidRDefault="00BD6315" w:rsidP="00BD6315">
      <w:pPr>
        <w:pStyle w:val="Caption"/>
      </w:pPr>
      <w:bookmarkStart w:id="5" w:name="_Ref457918554"/>
      <w:r w:rsidRPr="00AB15FA">
        <w:t xml:space="preserve">Fig. </w:t>
      </w:r>
      <w:fldSimple w:instr=" SEQ Figure \* ARABIC ">
        <w:r w:rsidR="001D4AA3">
          <w:rPr>
            <w:noProof/>
          </w:rPr>
          <w:t>5</w:t>
        </w:r>
      </w:fldSimple>
      <w:bookmarkEnd w:id="5"/>
      <w:r w:rsidRPr="00AB15FA">
        <w:t xml:space="preserve">. </w:t>
      </w:r>
      <w:r>
        <w:t xml:space="preserve">Comparing charge density profiles of water, cellulose and </w:t>
      </w:r>
      <w:r w:rsidRPr="00AB15FA">
        <w:t>Diethylstilbestrol (DES)</w:t>
      </w:r>
    </w:p>
    <w:p w:rsidR="00BE0F6E" w:rsidRDefault="00BE0F6E" w:rsidP="00BE0F6E">
      <w:pPr>
        <w:rPr>
          <w:lang w:eastAsia="ja-JP"/>
        </w:rPr>
      </w:pPr>
      <w:r>
        <w:rPr>
          <w:lang w:eastAsia="ja-JP"/>
        </w:rPr>
        <w:t xml:space="preserve">The good performance of cellulose for DES removal is due to </w:t>
      </w:r>
      <w:r>
        <w:t xml:space="preserve">combination of exposed surfaces of carbon atoms and the π-faced caused by the carbon as shown by a peak around 0.0035 </w:t>
      </w:r>
      <w:r w:rsidRPr="00AB15FA">
        <w:t>e/Å</w:t>
      </w:r>
      <w:r w:rsidRPr="00AB15FA">
        <w:rPr>
          <w:vertAlign w:val="superscript"/>
        </w:rPr>
        <w:t>2</w:t>
      </w:r>
      <w:r>
        <w:t>which can interact with the hydrogen atoms of cellulose with the approximately same charge density on the other side of sigma axis (</w:t>
      </w:r>
      <w:r>
        <w:fldChar w:fldCharType="begin"/>
      </w:r>
      <w:r>
        <w:instrText xml:space="preserve"> REF _Ref457918554 \h </w:instrText>
      </w:r>
      <w:r>
        <w:fldChar w:fldCharType="separate"/>
      </w:r>
      <w:r w:rsidR="001D4AA3" w:rsidRPr="00AB15FA">
        <w:t xml:space="preserve">Fig. </w:t>
      </w:r>
      <w:r w:rsidR="001D4AA3">
        <w:rPr>
          <w:noProof/>
        </w:rPr>
        <w:t>5</w:t>
      </w:r>
      <w:r>
        <w:fldChar w:fldCharType="end"/>
      </w:r>
      <w:r>
        <w:t xml:space="preserve">).  Consequently, one might expect much better interaction between cellulose and DES in comparison to DES and water resulting in good sorption behavior. </w:t>
      </w:r>
    </w:p>
    <w:p w:rsidR="00BD6315" w:rsidRDefault="00BD6315" w:rsidP="00777229">
      <w:r>
        <w:rPr>
          <w:noProof/>
        </w:rPr>
        <w:lastRenderedPageBreak/>
        <w:drawing>
          <wp:inline distT="0" distB="0" distL="0" distR="0" wp14:anchorId="41C403FA">
            <wp:extent cx="6617995" cy="4643252"/>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38" cy="4649036"/>
                    </a:xfrm>
                    <a:prstGeom prst="rect">
                      <a:avLst/>
                    </a:prstGeom>
                    <a:noFill/>
                  </pic:spPr>
                </pic:pic>
              </a:graphicData>
            </a:graphic>
          </wp:inline>
        </w:drawing>
      </w:r>
    </w:p>
    <w:p w:rsidR="00BD6315" w:rsidRDefault="00BD6315" w:rsidP="00BD6315">
      <w:pPr>
        <w:pStyle w:val="Caption"/>
      </w:pPr>
      <w:bookmarkStart w:id="6" w:name="_Ref457918978"/>
      <w:r w:rsidRPr="00AB15FA">
        <w:t xml:space="preserve">Fig. </w:t>
      </w:r>
      <w:fldSimple w:instr=" SEQ Figure \* ARABIC ">
        <w:r w:rsidR="001D4AA3">
          <w:rPr>
            <w:noProof/>
          </w:rPr>
          <w:t>6</w:t>
        </w:r>
      </w:fldSimple>
      <w:bookmarkEnd w:id="6"/>
      <w:r w:rsidRPr="00AB15FA">
        <w:t xml:space="preserve">. </w:t>
      </w:r>
      <w:r>
        <w:t xml:space="preserve">Comparing charge density profiles of water, cellulose and </w:t>
      </w:r>
      <w:r w:rsidRPr="00AB15FA">
        <w:t>Mestranol (ME2)</w:t>
      </w:r>
    </w:p>
    <w:p w:rsidR="00BD6315" w:rsidRDefault="00E5504C" w:rsidP="00777229">
      <w:r>
        <w:rPr>
          <w:lang w:eastAsia="ja-JP"/>
        </w:rPr>
        <w:t xml:space="preserve">Charge density profiles of water, cellulose and </w:t>
      </w:r>
      <w:r w:rsidRPr="00AB15FA">
        <w:t>Mestranol (ME2)</w:t>
      </w:r>
      <w:r>
        <w:t xml:space="preserve"> are shown in </w:t>
      </w:r>
      <w:r>
        <w:fldChar w:fldCharType="begin"/>
      </w:r>
      <w:r>
        <w:instrText xml:space="preserve"> REF _Ref457918978 \h </w:instrText>
      </w:r>
      <w:r>
        <w:fldChar w:fldCharType="separate"/>
      </w:r>
      <w:r w:rsidR="001D4AA3" w:rsidRPr="00AB15FA">
        <w:t xml:space="preserve">Fig. </w:t>
      </w:r>
      <w:r w:rsidR="001D4AA3">
        <w:rPr>
          <w:noProof/>
        </w:rPr>
        <w:t>6</w:t>
      </w:r>
      <w:r>
        <w:fldChar w:fldCharType="end"/>
      </w:r>
      <w:r>
        <w:t xml:space="preserve">. </w:t>
      </w:r>
      <w:r w:rsidR="0089142E">
        <w:t>As seen, desirable interaction and peak matching can be observed for water+ME2 mixtures, therefore, ME2 feels much comfortable in water+ME2 mixtures than cellulose+ME2 mixture and prefer to no to leave the water+ME2 mixtures. However, the matching of peaks of carbon rings and π-faces encourage the ME2 to be sorbed onto the cellulose even in small contents. This simply justifies the sorption behavior of cellulose of ME2.</w:t>
      </w:r>
    </w:p>
    <w:p w:rsidR="00515923" w:rsidRPr="00AB15FA" w:rsidRDefault="00515923" w:rsidP="00515923">
      <w:pPr>
        <w:rPr>
          <w:lang w:eastAsia="ja-JP"/>
        </w:rPr>
      </w:pPr>
    </w:p>
    <w:p w:rsidR="00A449BF" w:rsidRDefault="00426454" w:rsidP="00777229">
      <w:pPr>
        <w:rPr>
          <w:lang w:eastAsia="ja-JP"/>
        </w:rPr>
      </w:pPr>
      <w:r>
        <w:rPr>
          <w:noProof/>
        </w:rPr>
        <w:lastRenderedPageBreak/>
        <w:drawing>
          <wp:inline distT="0" distB="0" distL="0" distR="0" wp14:anchorId="4F5B612C" wp14:editId="7FABAAA0">
            <wp:extent cx="6602681" cy="4639942"/>
            <wp:effectExtent l="0" t="0" r="8255"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1107" cy="4638836"/>
                    </a:xfrm>
                    <a:prstGeom prst="rect">
                      <a:avLst/>
                    </a:prstGeom>
                    <a:noFill/>
                  </pic:spPr>
                </pic:pic>
              </a:graphicData>
            </a:graphic>
          </wp:inline>
        </w:drawing>
      </w:r>
    </w:p>
    <w:p w:rsidR="00A449BF" w:rsidRDefault="00A449BF" w:rsidP="00A449BF">
      <w:pPr>
        <w:pStyle w:val="Caption"/>
      </w:pPr>
      <w:bookmarkStart w:id="7" w:name="_Ref457917456"/>
      <w:r w:rsidRPr="00AB15FA">
        <w:t xml:space="preserve">Fig. </w:t>
      </w:r>
      <w:fldSimple w:instr=" SEQ Figure \* ARABIC ">
        <w:r w:rsidR="001D4AA3">
          <w:rPr>
            <w:noProof/>
          </w:rPr>
          <w:t>7</w:t>
        </w:r>
      </w:fldSimple>
      <w:bookmarkEnd w:id="7"/>
      <w:r w:rsidRPr="00AB15FA">
        <w:t xml:space="preserve">. </w:t>
      </w:r>
      <w:r>
        <w:t xml:space="preserve">Comparing charge density profiles of water, cellulose and </w:t>
      </w:r>
      <w:r w:rsidRPr="00AB15FA">
        <w:t>Testosterone (T)</w:t>
      </w:r>
    </w:p>
    <w:p w:rsidR="00BE0F6E" w:rsidRDefault="00BE0F6E" w:rsidP="00BE0F6E">
      <w:pPr>
        <w:rPr>
          <w:lang w:eastAsia="ja-JP"/>
        </w:rPr>
      </w:pPr>
      <w:r>
        <w:t xml:space="preserve">Comparing </w:t>
      </w:r>
      <w:r>
        <w:rPr>
          <w:lang w:eastAsia="ja-JP"/>
        </w:rPr>
        <w:t xml:space="preserve">charge density profiles of water, cellulose and </w:t>
      </w:r>
      <w:r w:rsidRPr="00AB15FA">
        <w:t>Testosterone (T)</w:t>
      </w:r>
      <w:r>
        <w:t xml:space="preserve"> is shown in </w:t>
      </w:r>
      <w:r>
        <w:fldChar w:fldCharType="begin"/>
      </w:r>
      <w:r>
        <w:instrText xml:space="preserve"> REF _Ref457917456 \h </w:instrText>
      </w:r>
      <w:r>
        <w:fldChar w:fldCharType="separate"/>
      </w:r>
      <w:r w:rsidR="001D4AA3" w:rsidRPr="00AB15FA">
        <w:t xml:space="preserve">Fig. </w:t>
      </w:r>
      <w:r w:rsidR="001D4AA3">
        <w:rPr>
          <w:noProof/>
        </w:rPr>
        <w:t>7</w:t>
      </w:r>
      <w:r>
        <w:fldChar w:fldCharType="end"/>
      </w:r>
      <w:r>
        <w:t xml:space="preserve">. There no considerable and significant peak matching in water+T mixture as well as cellulose mixture.  It can be observed that T will not feel comfortable in water too much as no receptive matching can be found for its peaks. The sorption of T on cellulose might be due to the electrostatic interaction between polarized hydrogen in –OH group with those of oxygen group in cellulose that would results in effective sorption.   </w:t>
      </w:r>
    </w:p>
    <w:p w:rsidR="00A449BF" w:rsidRPr="00AB15FA" w:rsidRDefault="00A449BF" w:rsidP="0057601B">
      <w:pPr>
        <w:rPr>
          <w:lang w:eastAsia="ja-JP"/>
        </w:rPr>
      </w:pPr>
      <w:r>
        <w:rPr>
          <w:noProof/>
        </w:rPr>
        <w:lastRenderedPageBreak/>
        <w:drawing>
          <wp:inline distT="0" distB="0" distL="0" distR="0" wp14:anchorId="195C0B55" wp14:editId="7B2B829C">
            <wp:extent cx="6567216" cy="4607626"/>
            <wp:effectExtent l="0" t="0" r="5080" b="254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3069" cy="4611733"/>
                    </a:xfrm>
                    <a:prstGeom prst="rect">
                      <a:avLst/>
                    </a:prstGeom>
                    <a:noFill/>
                  </pic:spPr>
                </pic:pic>
              </a:graphicData>
            </a:graphic>
          </wp:inline>
        </w:drawing>
      </w:r>
    </w:p>
    <w:p w:rsidR="00A449BF" w:rsidRDefault="00A449BF" w:rsidP="00A449BF">
      <w:pPr>
        <w:pStyle w:val="Caption"/>
      </w:pPr>
      <w:bookmarkStart w:id="8" w:name="_Ref457916489"/>
      <w:r w:rsidRPr="00AB15FA">
        <w:t xml:space="preserve">Fig. </w:t>
      </w:r>
      <w:fldSimple w:instr=" SEQ Figure \* ARABIC ">
        <w:r w:rsidR="001D4AA3">
          <w:rPr>
            <w:noProof/>
          </w:rPr>
          <w:t>8</w:t>
        </w:r>
      </w:fldSimple>
      <w:bookmarkEnd w:id="8"/>
      <w:r w:rsidRPr="00AB15FA">
        <w:t xml:space="preserve">. </w:t>
      </w:r>
      <w:r>
        <w:t xml:space="preserve">Comparing charge density profiles of water, cellulose and </w:t>
      </w:r>
      <w:r w:rsidRPr="00AB15FA">
        <w:t>Progesterone (P)</w:t>
      </w:r>
      <w:r>
        <w:t xml:space="preserve"> </w:t>
      </w:r>
    </w:p>
    <w:p w:rsidR="00BE0F6E" w:rsidRDefault="00BE0F6E" w:rsidP="00BE0F6E">
      <w:r>
        <w:rPr>
          <w:lang w:eastAsia="ja-JP"/>
        </w:rPr>
        <w:t xml:space="preserve">The interactions between water and </w:t>
      </w:r>
      <w:r w:rsidRPr="00AB15FA">
        <w:t>Progesterone</w:t>
      </w:r>
      <w:r>
        <w:t xml:space="preserve"> are not considerable as shown in </w:t>
      </w:r>
      <w:r>
        <w:fldChar w:fldCharType="begin"/>
      </w:r>
      <w:r>
        <w:instrText xml:space="preserve"> REF _Ref457916489 \h </w:instrText>
      </w:r>
      <w:r>
        <w:fldChar w:fldCharType="separate"/>
      </w:r>
      <w:r w:rsidR="001D4AA3" w:rsidRPr="00AB15FA">
        <w:t xml:space="preserve">Fig. </w:t>
      </w:r>
      <w:r w:rsidR="001D4AA3">
        <w:rPr>
          <w:noProof/>
        </w:rPr>
        <w:t>8</w:t>
      </w:r>
      <w:r>
        <w:fldChar w:fldCharType="end"/>
      </w:r>
      <w:r>
        <w:t xml:space="preserve">, therefore, P can be much more easier removed from water effluents. There is no matching partner for peaks of P in water charge density profile, thus P feels no comfortable in water+P mixture and tends to leave it.  The partly matching of oxygen peaks is responsible for active interaction of cellulose and P where the carbon rings are also </w:t>
      </w:r>
      <w:r w:rsidR="001D4AA3">
        <w:t>contributing</w:t>
      </w:r>
      <w:r>
        <w:t xml:space="preserve"> in some extends. </w:t>
      </w:r>
      <w:bookmarkEnd w:id="0"/>
    </w:p>
    <w:sectPr w:rsidR="00BE0F6E" w:rsidSect="004F6252">
      <w:footerReference w:type="default" r:id="rId17"/>
      <w:pgSz w:w="11907" w:h="16839"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72D" w:rsidRDefault="0063672D" w:rsidP="004F6252">
      <w:pPr>
        <w:spacing w:after="0" w:line="240" w:lineRule="auto"/>
      </w:pPr>
      <w:r>
        <w:separator/>
      </w:r>
    </w:p>
  </w:endnote>
  <w:endnote w:type="continuationSeparator" w:id="0">
    <w:p w:rsidR="0063672D" w:rsidRDefault="0063672D" w:rsidP="004F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82301"/>
      <w:docPartObj>
        <w:docPartGallery w:val="Page Numbers (Bottom of Page)"/>
        <w:docPartUnique/>
      </w:docPartObj>
    </w:sdtPr>
    <w:sdtEndPr>
      <w:rPr>
        <w:noProof/>
      </w:rPr>
    </w:sdtEndPr>
    <w:sdtContent>
      <w:p w:rsidR="00CF5C08" w:rsidRDefault="00CF5C08">
        <w:pPr>
          <w:pStyle w:val="Footer"/>
          <w:jc w:val="center"/>
        </w:pPr>
        <w:r>
          <w:fldChar w:fldCharType="begin"/>
        </w:r>
        <w:r>
          <w:instrText xml:space="preserve"> PAGE   \* MERGEFORMAT </w:instrText>
        </w:r>
        <w:r>
          <w:fldChar w:fldCharType="separate"/>
        </w:r>
        <w:r w:rsidR="001D4AA3">
          <w:rPr>
            <w:noProof/>
          </w:rPr>
          <w:t>5</w:t>
        </w:r>
        <w:r>
          <w:rPr>
            <w:noProof/>
          </w:rPr>
          <w:fldChar w:fldCharType="end"/>
        </w:r>
      </w:p>
    </w:sdtContent>
  </w:sdt>
  <w:p w:rsidR="00CF5C08" w:rsidRDefault="00CF5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72D" w:rsidRDefault="0063672D" w:rsidP="004F6252">
      <w:pPr>
        <w:spacing w:after="0" w:line="240" w:lineRule="auto"/>
      </w:pPr>
      <w:r>
        <w:separator/>
      </w:r>
    </w:p>
  </w:footnote>
  <w:footnote w:type="continuationSeparator" w:id="0">
    <w:p w:rsidR="0063672D" w:rsidRDefault="0063672D" w:rsidP="004F6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43F63"/>
    <w:multiLevelType w:val="multilevel"/>
    <w:tmpl w:val="164E176A"/>
    <w:lvl w:ilvl="0">
      <w:start w:val="1"/>
      <w:numFmt w:val="decimal"/>
      <w:pStyle w:val="Heading1"/>
      <w:lvlText w:val="%1."/>
      <w:lvlJc w:val="left"/>
      <w:pPr>
        <w:ind w:left="63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BasicNumb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edxfspa0hevet1epx2qxp5rdfxf99ae220dv&quot;&gt;EndNote Library-Saved&lt;record-ids&gt;&lt;item&gt;1031&lt;/item&gt;&lt;item&gt;2616&lt;/item&gt;&lt;item&gt;2810&lt;/item&gt;&lt;item&gt;2817&lt;/item&gt;&lt;item&gt;2831&lt;/item&gt;&lt;item&gt;2837&lt;/item&gt;&lt;item&gt;2876&lt;/item&gt;&lt;item&gt;3000&lt;/item&gt;&lt;item&gt;3002&lt;/item&gt;&lt;item&gt;3267&lt;/item&gt;&lt;item&gt;3305&lt;/item&gt;&lt;item&gt;3346&lt;/item&gt;&lt;item&gt;3843&lt;/item&gt;&lt;item&gt;4487&lt;/item&gt;&lt;item&gt;4513&lt;/item&gt;&lt;item&gt;4716&lt;/item&gt;&lt;item&gt;4758&lt;/item&gt;&lt;item&gt;4777&lt;/item&gt;&lt;/record-ids&gt;&lt;/item&gt;&lt;/Libraries&gt;"/>
  </w:docVars>
  <w:rsids>
    <w:rsidRoot w:val="00AA48C7"/>
    <w:rsid w:val="00015054"/>
    <w:rsid w:val="00030CD1"/>
    <w:rsid w:val="00056988"/>
    <w:rsid w:val="00070500"/>
    <w:rsid w:val="000721DE"/>
    <w:rsid w:val="000724FE"/>
    <w:rsid w:val="00077119"/>
    <w:rsid w:val="00083B2F"/>
    <w:rsid w:val="0009574F"/>
    <w:rsid w:val="00095A56"/>
    <w:rsid w:val="00096BA0"/>
    <w:rsid w:val="00097F4E"/>
    <w:rsid w:val="000A201B"/>
    <w:rsid w:val="000B4F8E"/>
    <w:rsid w:val="000C3490"/>
    <w:rsid w:val="000F3CCD"/>
    <w:rsid w:val="000F4BD1"/>
    <w:rsid w:val="000F4F59"/>
    <w:rsid w:val="00117E72"/>
    <w:rsid w:val="001263A0"/>
    <w:rsid w:val="001276CC"/>
    <w:rsid w:val="001461A4"/>
    <w:rsid w:val="00174DC1"/>
    <w:rsid w:val="001833E3"/>
    <w:rsid w:val="0019106C"/>
    <w:rsid w:val="00193049"/>
    <w:rsid w:val="00195D26"/>
    <w:rsid w:val="001A14FB"/>
    <w:rsid w:val="001B2CF4"/>
    <w:rsid w:val="001B50FA"/>
    <w:rsid w:val="001B569D"/>
    <w:rsid w:val="001C5C80"/>
    <w:rsid w:val="001D4AA3"/>
    <w:rsid w:val="001E02B4"/>
    <w:rsid w:val="00200B3D"/>
    <w:rsid w:val="00201473"/>
    <w:rsid w:val="002043C6"/>
    <w:rsid w:val="0021462D"/>
    <w:rsid w:val="002178F9"/>
    <w:rsid w:val="002204DD"/>
    <w:rsid w:val="00221CC5"/>
    <w:rsid w:val="0022594A"/>
    <w:rsid w:val="0022758A"/>
    <w:rsid w:val="00227993"/>
    <w:rsid w:val="002356A1"/>
    <w:rsid w:val="002400A5"/>
    <w:rsid w:val="00243CB7"/>
    <w:rsid w:val="0025535E"/>
    <w:rsid w:val="00257E33"/>
    <w:rsid w:val="00262F0B"/>
    <w:rsid w:val="00271114"/>
    <w:rsid w:val="002A42FE"/>
    <w:rsid w:val="002A7504"/>
    <w:rsid w:val="002B069D"/>
    <w:rsid w:val="002B7565"/>
    <w:rsid w:val="002C511A"/>
    <w:rsid w:val="002C7A49"/>
    <w:rsid w:val="002D0EC7"/>
    <w:rsid w:val="002D2BCF"/>
    <w:rsid w:val="002D500D"/>
    <w:rsid w:val="002E774E"/>
    <w:rsid w:val="00312841"/>
    <w:rsid w:val="00322236"/>
    <w:rsid w:val="00324474"/>
    <w:rsid w:val="00325A7A"/>
    <w:rsid w:val="00335930"/>
    <w:rsid w:val="00337021"/>
    <w:rsid w:val="00342146"/>
    <w:rsid w:val="0034751F"/>
    <w:rsid w:val="00374A13"/>
    <w:rsid w:val="00376390"/>
    <w:rsid w:val="00380141"/>
    <w:rsid w:val="00381B6A"/>
    <w:rsid w:val="0039449E"/>
    <w:rsid w:val="00395AB9"/>
    <w:rsid w:val="003A31E1"/>
    <w:rsid w:val="003A472C"/>
    <w:rsid w:val="003A6F60"/>
    <w:rsid w:val="003B4AC6"/>
    <w:rsid w:val="003B52BE"/>
    <w:rsid w:val="003B729E"/>
    <w:rsid w:val="003C3671"/>
    <w:rsid w:val="003C6921"/>
    <w:rsid w:val="003C7AA2"/>
    <w:rsid w:val="003D2149"/>
    <w:rsid w:val="003D325D"/>
    <w:rsid w:val="003D3363"/>
    <w:rsid w:val="003D3712"/>
    <w:rsid w:val="004126A0"/>
    <w:rsid w:val="0041379E"/>
    <w:rsid w:val="00417096"/>
    <w:rsid w:val="00426454"/>
    <w:rsid w:val="004348AB"/>
    <w:rsid w:val="00437086"/>
    <w:rsid w:val="00444576"/>
    <w:rsid w:val="00446FEF"/>
    <w:rsid w:val="00451205"/>
    <w:rsid w:val="00451ACD"/>
    <w:rsid w:val="00456A70"/>
    <w:rsid w:val="0047040C"/>
    <w:rsid w:val="00473829"/>
    <w:rsid w:val="00473BE3"/>
    <w:rsid w:val="0048591D"/>
    <w:rsid w:val="004A534C"/>
    <w:rsid w:val="004E5DA2"/>
    <w:rsid w:val="004F6252"/>
    <w:rsid w:val="0050173D"/>
    <w:rsid w:val="00501B90"/>
    <w:rsid w:val="00515923"/>
    <w:rsid w:val="00527695"/>
    <w:rsid w:val="005335BF"/>
    <w:rsid w:val="005427F2"/>
    <w:rsid w:val="005429EF"/>
    <w:rsid w:val="00544813"/>
    <w:rsid w:val="0054665D"/>
    <w:rsid w:val="005506A3"/>
    <w:rsid w:val="00561EAC"/>
    <w:rsid w:val="00565070"/>
    <w:rsid w:val="00570849"/>
    <w:rsid w:val="00572BD3"/>
    <w:rsid w:val="00573418"/>
    <w:rsid w:val="0057601B"/>
    <w:rsid w:val="00582DA7"/>
    <w:rsid w:val="005835D7"/>
    <w:rsid w:val="00590AB0"/>
    <w:rsid w:val="005943C8"/>
    <w:rsid w:val="005B01F6"/>
    <w:rsid w:val="005E1EB8"/>
    <w:rsid w:val="005F64CE"/>
    <w:rsid w:val="00615F57"/>
    <w:rsid w:val="00617F6E"/>
    <w:rsid w:val="006216DF"/>
    <w:rsid w:val="00635A70"/>
    <w:rsid w:val="0063672D"/>
    <w:rsid w:val="00642740"/>
    <w:rsid w:val="00652EA0"/>
    <w:rsid w:val="006604D9"/>
    <w:rsid w:val="006615F8"/>
    <w:rsid w:val="006644E1"/>
    <w:rsid w:val="00674BD5"/>
    <w:rsid w:val="006815B3"/>
    <w:rsid w:val="00682C2F"/>
    <w:rsid w:val="0068442A"/>
    <w:rsid w:val="0068444B"/>
    <w:rsid w:val="006904A9"/>
    <w:rsid w:val="00697C22"/>
    <w:rsid w:val="006A71AC"/>
    <w:rsid w:val="006B748B"/>
    <w:rsid w:val="006C2702"/>
    <w:rsid w:val="006C2BC4"/>
    <w:rsid w:val="006C5E31"/>
    <w:rsid w:val="006D16B2"/>
    <w:rsid w:val="006D20FA"/>
    <w:rsid w:val="006D73CB"/>
    <w:rsid w:val="006E21A2"/>
    <w:rsid w:val="006E25F3"/>
    <w:rsid w:val="006E554C"/>
    <w:rsid w:val="006E5E2D"/>
    <w:rsid w:val="006E6F71"/>
    <w:rsid w:val="006F7200"/>
    <w:rsid w:val="00706812"/>
    <w:rsid w:val="0072782A"/>
    <w:rsid w:val="00733F15"/>
    <w:rsid w:val="007455B6"/>
    <w:rsid w:val="00762C53"/>
    <w:rsid w:val="00764C34"/>
    <w:rsid w:val="00777229"/>
    <w:rsid w:val="007844F7"/>
    <w:rsid w:val="00786EFB"/>
    <w:rsid w:val="00790A9C"/>
    <w:rsid w:val="007A7BC5"/>
    <w:rsid w:val="007B22CB"/>
    <w:rsid w:val="007C02DC"/>
    <w:rsid w:val="007C1BBA"/>
    <w:rsid w:val="007C306E"/>
    <w:rsid w:val="007F0DD6"/>
    <w:rsid w:val="007F2F08"/>
    <w:rsid w:val="007F3D6D"/>
    <w:rsid w:val="00800631"/>
    <w:rsid w:val="00802BD6"/>
    <w:rsid w:val="00831D06"/>
    <w:rsid w:val="00837B33"/>
    <w:rsid w:val="0084020A"/>
    <w:rsid w:val="00850736"/>
    <w:rsid w:val="008547BD"/>
    <w:rsid w:val="008577C9"/>
    <w:rsid w:val="00871D9D"/>
    <w:rsid w:val="008751F8"/>
    <w:rsid w:val="008752AF"/>
    <w:rsid w:val="00884545"/>
    <w:rsid w:val="00885811"/>
    <w:rsid w:val="00886B0D"/>
    <w:rsid w:val="00887592"/>
    <w:rsid w:val="0089049D"/>
    <w:rsid w:val="0089142E"/>
    <w:rsid w:val="00891D3F"/>
    <w:rsid w:val="00896B84"/>
    <w:rsid w:val="008A362E"/>
    <w:rsid w:val="008A63E3"/>
    <w:rsid w:val="008C3F63"/>
    <w:rsid w:val="008C5CA3"/>
    <w:rsid w:val="008C62FE"/>
    <w:rsid w:val="008C7741"/>
    <w:rsid w:val="008D0930"/>
    <w:rsid w:val="008D0BDD"/>
    <w:rsid w:val="008D4F34"/>
    <w:rsid w:val="008D65BA"/>
    <w:rsid w:val="008D6751"/>
    <w:rsid w:val="008D6CFF"/>
    <w:rsid w:val="008D79C9"/>
    <w:rsid w:val="008E4CCD"/>
    <w:rsid w:val="008E62CD"/>
    <w:rsid w:val="008E7518"/>
    <w:rsid w:val="008E7AF9"/>
    <w:rsid w:val="008F25A6"/>
    <w:rsid w:val="008F315B"/>
    <w:rsid w:val="0090335A"/>
    <w:rsid w:val="0090787D"/>
    <w:rsid w:val="00916045"/>
    <w:rsid w:val="00927A33"/>
    <w:rsid w:val="009321BE"/>
    <w:rsid w:val="009325D2"/>
    <w:rsid w:val="009343E9"/>
    <w:rsid w:val="009349D4"/>
    <w:rsid w:val="009372AA"/>
    <w:rsid w:val="009418A3"/>
    <w:rsid w:val="00941E24"/>
    <w:rsid w:val="00943585"/>
    <w:rsid w:val="00946AC8"/>
    <w:rsid w:val="00955C80"/>
    <w:rsid w:val="009566FF"/>
    <w:rsid w:val="00960551"/>
    <w:rsid w:val="00963C23"/>
    <w:rsid w:val="00966A1E"/>
    <w:rsid w:val="00975A1E"/>
    <w:rsid w:val="00976BED"/>
    <w:rsid w:val="00981EFF"/>
    <w:rsid w:val="00983077"/>
    <w:rsid w:val="00986B19"/>
    <w:rsid w:val="00991F4E"/>
    <w:rsid w:val="0099215C"/>
    <w:rsid w:val="009A014E"/>
    <w:rsid w:val="009A6972"/>
    <w:rsid w:val="009A6B8D"/>
    <w:rsid w:val="009B3A25"/>
    <w:rsid w:val="009B5828"/>
    <w:rsid w:val="009B5C65"/>
    <w:rsid w:val="009C55CC"/>
    <w:rsid w:val="009C7E47"/>
    <w:rsid w:val="009D407A"/>
    <w:rsid w:val="009D4B9F"/>
    <w:rsid w:val="009E1158"/>
    <w:rsid w:val="009E12A2"/>
    <w:rsid w:val="009E207B"/>
    <w:rsid w:val="009F0B4E"/>
    <w:rsid w:val="009F0E2D"/>
    <w:rsid w:val="009F5068"/>
    <w:rsid w:val="009F7AFC"/>
    <w:rsid w:val="00A10F7C"/>
    <w:rsid w:val="00A139EB"/>
    <w:rsid w:val="00A13C6B"/>
    <w:rsid w:val="00A226DF"/>
    <w:rsid w:val="00A24CE7"/>
    <w:rsid w:val="00A26EFA"/>
    <w:rsid w:val="00A449BF"/>
    <w:rsid w:val="00A54B84"/>
    <w:rsid w:val="00A562BF"/>
    <w:rsid w:val="00A5642F"/>
    <w:rsid w:val="00A568D2"/>
    <w:rsid w:val="00A61717"/>
    <w:rsid w:val="00A67DF3"/>
    <w:rsid w:val="00A8277A"/>
    <w:rsid w:val="00A92AC6"/>
    <w:rsid w:val="00A92CCB"/>
    <w:rsid w:val="00AA48C7"/>
    <w:rsid w:val="00AA674C"/>
    <w:rsid w:val="00AB15FA"/>
    <w:rsid w:val="00AC162A"/>
    <w:rsid w:val="00AE4459"/>
    <w:rsid w:val="00B00E38"/>
    <w:rsid w:val="00B01CCE"/>
    <w:rsid w:val="00B02131"/>
    <w:rsid w:val="00B30C24"/>
    <w:rsid w:val="00B30E26"/>
    <w:rsid w:val="00B61867"/>
    <w:rsid w:val="00B65FD0"/>
    <w:rsid w:val="00B729AF"/>
    <w:rsid w:val="00B77925"/>
    <w:rsid w:val="00B810AA"/>
    <w:rsid w:val="00B84117"/>
    <w:rsid w:val="00B916DD"/>
    <w:rsid w:val="00BA5C59"/>
    <w:rsid w:val="00BA6BC0"/>
    <w:rsid w:val="00BB1AF8"/>
    <w:rsid w:val="00BB3904"/>
    <w:rsid w:val="00BD563D"/>
    <w:rsid w:val="00BD6315"/>
    <w:rsid w:val="00BE0D9A"/>
    <w:rsid w:val="00BE0F6E"/>
    <w:rsid w:val="00BE2F37"/>
    <w:rsid w:val="00BF1A6D"/>
    <w:rsid w:val="00BF736C"/>
    <w:rsid w:val="00BF792F"/>
    <w:rsid w:val="00C01175"/>
    <w:rsid w:val="00C0395A"/>
    <w:rsid w:val="00C119AB"/>
    <w:rsid w:val="00C36DD7"/>
    <w:rsid w:val="00C439CF"/>
    <w:rsid w:val="00C448F6"/>
    <w:rsid w:val="00C60206"/>
    <w:rsid w:val="00C60EC7"/>
    <w:rsid w:val="00C62CD8"/>
    <w:rsid w:val="00C62CDE"/>
    <w:rsid w:val="00C64839"/>
    <w:rsid w:val="00C6779A"/>
    <w:rsid w:val="00C709BC"/>
    <w:rsid w:val="00C725D8"/>
    <w:rsid w:val="00C73C5D"/>
    <w:rsid w:val="00C85F96"/>
    <w:rsid w:val="00C968D3"/>
    <w:rsid w:val="00C96B6D"/>
    <w:rsid w:val="00CA6EDE"/>
    <w:rsid w:val="00CB6A94"/>
    <w:rsid w:val="00CC3B41"/>
    <w:rsid w:val="00CC4E37"/>
    <w:rsid w:val="00CC5A57"/>
    <w:rsid w:val="00CC7DF3"/>
    <w:rsid w:val="00CD29FF"/>
    <w:rsid w:val="00CD5C04"/>
    <w:rsid w:val="00CF40D3"/>
    <w:rsid w:val="00CF5C08"/>
    <w:rsid w:val="00D04263"/>
    <w:rsid w:val="00D06F12"/>
    <w:rsid w:val="00D10F10"/>
    <w:rsid w:val="00D116A9"/>
    <w:rsid w:val="00D13589"/>
    <w:rsid w:val="00D14D73"/>
    <w:rsid w:val="00D173E3"/>
    <w:rsid w:val="00D214F5"/>
    <w:rsid w:val="00D444AA"/>
    <w:rsid w:val="00D64BA1"/>
    <w:rsid w:val="00D65473"/>
    <w:rsid w:val="00D77021"/>
    <w:rsid w:val="00D77463"/>
    <w:rsid w:val="00D859AE"/>
    <w:rsid w:val="00D93652"/>
    <w:rsid w:val="00D942B0"/>
    <w:rsid w:val="00DA4223"/>
    <w:rsid w:val="00DA4904"/>
    <w:rsid w:val="00DC3D83"/>
    <w:rsid w:val="00DC65AC"/>
    <w:rsid w:val="00DC7D93"/>
    <w:rsid w:val="00DD0D53"/>
    <w:rsid w:val="00DE19AA"/>
    <w:rsid w:val="00DF18B8"/>
    <w:rsid w:val="00E06EC5"/>
    <w:rsid w:val="00E1505F"/>
    <w:rsid w:val="00E205AC"/>
    <w:rsid w:val="00E21E0D"/>
    <w:rsid w:val="00E22BE3"/>
    <w:rsid w:val="00E23C2A"/>
    <w:rsid w:val="00E359A1"/>
    <w:rsid w:val="00E414E5"/>
    <w:rsid w:val="00E43EA7"/>
    <w:rsid w:val="00E53795"/>
    <w:rsid w:val="00E5504C"/>
    <w:rsid w:val="00E60CE1"/>
    <w:rsid w:val="00E62504"/>
    <w:rsid w:val="00E648E5"/>
    <w:rsid w:val="00E655A9"/>
    <w:rsid w:val="00E70124"/>
    <w:rsid w:val="00E76C58"/>
    <w:rsid w:val="00E7757D"/>
    <w:rsid w:val="00E8195F"/>
    <w:rsid w:val="00EA21F0"/>
    <w:rsid w:val="00EA67AD"/>
    <w:rsid w:val="00EB6557"/>
    <w:rsid w:val="00ED21FB"/>
    <w:rsid w:val="00ED4D7E"/>
    <w:rsid w:val="00EE010E"/>
    <w:rsid w:val="00EE78E4"/>
    <w:rsid w:val="00EF2466"/>
    <w:rsid w:val="00EF3A09"/>
    <w:rsid w:val="00EF50E2"/>
    <w:rsid w:val="00F01539"/>
    <w:rsid w:val="00F065F3"/>
    <w:rsid w:val="00F07033"/>
    <w:rsid w:val="00F0715D"/>
    <w:rsid w:val="00F106BD"/>
    <w:rsid w:val="00F1566B"/>
    <w:rsid w:val="00F157F4"/>
    <w:rsid w:val="00F20418"/>
    <w:rsid w:val="00F24298"/>
    <w:rsid w:val="00F245FD"/>
    <w:rsid w:val="00F27E2F"/>
    <w:rsid w:val="00F32D1F"/>
    <w:rsid w:val="00F426F9"/>
    <w:rsid w:val="00F42943"/>
    <w:rsid w:val="00F43E8D"/>
    <w:rsid w:val="00F4571C"/>
    <w:rsid w:val="00F50CF9"/>
    <w:rsid w:val="00F53832"/>
    <w:rsid w:val="00F538B3"/>
    <w:rsid w:val="00F6645D"/>
    <w:rsid w:val="00F73B75"/>
    <w:rsid w:val="00F750EF"/>
    <w:rsid w:val="00F755F4"/>
    <w:rsid w:val="00F8014F"/>
    <w:rsid w:val="00F86492"/>
    <w:rsid w:val="00F92F75"/>
    <w:rsid w:val="00FB0ADC"/>
    <w:rsid w:val="00FB780C"/>
    <w:rsid w:val="00FD456A"/>
    <w:rsid w:val="00FE1F53"/>
    <w:rsid w:val="00FE4C5A"/>
    <w:rsid w:val="00FF30C4"/>
    <w:rsid w:val="00FF3108"/>
    <w:rsid w:val="00FF3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1A73"/>
  <w15:docId w15:val="{1FC7279D-F2DA-4130-8A39-F2C07660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51"/>
    <w:pPr>
      <w:spacing w:line="480" w:lineRule="auto"/>
      <w:jc w:val="both"/>
    </w:pPr>
    <w:rPr>
      <w:rFonts w:asciiTheme="majorBidi" w:hAnsiTheme="majorBidi" w:cstheme="majorBidi"/>
      <w:sz w:val="24"/>
      <w:szCs w:val="24"/>
    </w:rPr>
  </w:style>
  <w:style w:type="paragraph" w:styleId="Heading1">
    <w:name w:val="heading 1"/>
    <w:basedOn w:val="ListParagraph"/>
    <w:next w:val="Normal"/>
    <w:link w:val="Heading1Char"/>
    <w:uiPriority w:val="9"/>
    <w:qFormat/>
    <w:rsid w:val="008D0BDD"/>
    <w:pPr>
      <w:numPr>
        <w:numId w:val="1"/>
      </w:numPr>
      <w:outlineLvl w:val="0"/>
    </w:pPr>
    <w:rPr>
      <w:b/>
      <w:bCs/>
    </w:rPr>
  </w:style>
  <w:style w:type="paragraph" w:styleId="Heading2">
    <w:name w:val="heading 2"/>
    <w:basedOn w:val="Heading1"/>
    <w:next w:val="Normal"/>
    <w:link w:val="Heading2Char"/>
    <w:uiPriority w:val="9"/>
    <w:unhideWhenUsed/>
    <w:qFormat/>
    <w:rsid w:val="00201473"/>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BC4"/>
    <w:rPr>
      <w:color w:val="0000FF" w:themeColor="hyperlink"/>
      <w:u w:val="single"/>
    </w:rPr>
  </w:style>
  <w:style w:type="paragraph" w:styleId="Title">
    <w:name w:val="Title"/>
    <w:basedOn w:val="Normal"/>
    <w:next w:val="Normal"/>
    <w:link w:val="TitleChar"/>
    <w:uiPriority w:val="10"/>
    <w:qFormat/>
    <w:rsid w:val="008D6751"/>
    <w:rPr>
      <w:b/>
      <w:bCs/>
      <w:sz w:val="28"/>
      <w:szCs w:val="28"/>
    </w:rPr>
  </w:style>
  <w:style w:type="character" w:customStyle="1" w:styleId="TitleChar">
    <w:name w:val="Title Char"/>
    <w:basedOn w:val="DefaultParagraphFont"/>
    <w:link w:val="Title"/>
    <w:uiPriority w:val="10"/>
    <w:rsid w:val="008D6751"/>
    <w:rPr>
      <w:rFonts w:asciiTheme="majorBidi" w:hAnsiTheme="majorBidi" w:cstheme="majorBidi"/>
      <w:b/>
      <w:bCs/>
      <w:sz w:val="28"/>
      <w:szCs w:val="28"/>
    </w:rPr>
  </w:style>
  <w:style w:type="paragraph" w:styleId="Subtitle">
    <w:name w:val="Subtitle"/>
    <w:basedOn w:val="Normal"/>
    <w:next w:val="Normal"/>
    <w:link w:val="SubtitleChar"/>
    <w:uiPriority w:val="11"/>
    <w:qFormat/>
    <w:rsid w:val="00B729AF"/>
  </w:style>
  <w:style w:type="character" w:customStyle="1" w:styleId="SubtitleChar">
    <w:name w:val="Subtitle Char"/>
    <w:basedOn w:val="DefaultParagraphFont"/>
    <w:link w:val="Subtitle"/>
    <w:uiPriority w:val="11"/>
    <w:rsid w:val="00B729AF"/>
    <w:rPr>
      <w:rFonts w:asciiTheme="majorBidi" w:hAnsiTheme="majorBidi" w:cstheme="majorBidi"/>
      <w:sz w:val="24"/>
      <w:szCs w:val="24"/>
    </w:rPr>
  </w:style>
  <w:style w:type="character" w:styleId="SubtleEmphasis">
    <w:name w:val="Subtle Emphasis"/>
    <w:uiPriority w:val="19"/>
    <w:qFormat/>
    <w:rsid w:val="00B729AF"/>
    <w:rPr>
      <w:rFonts w:asciiTheme="majorBidi" w:hAnsiTheme="majorBidi" w:cstheme="majorBidi"/>
    </w:rPr>
  </w:style>
  <w:style w:type="character" w:styleId="Emphasis">
    <w:name w:val="Emphasis"/>
    <w:uiPriority w:val="20"/>
    <w:qFormat/>
    <w:rsid w:val="00B729AF"/>
    <w:rPr>
      <w:b/>
      <w:bCs/>
    </w:rPr>
  </w:style>
  <w:style w:type="paragraph" w:styleId="ListParagraph">
    <w:name w:val="List Paragraph"/>
    <w:basedOn w:val="Normal"/>
    <w:uiPriority w:val="34"/>
    <w:qFormat/>
    <w:rsid w:val="008D0BDD"/>
    <w:pPr>
      <w:ind w:left="720"/>
      <w:contextualSpacing/>
    </w:pPr>
  </w:style>
  <w:style w:type="character" w:customStyle="1" w:styleId="Heading1Char">
    <w:name w:val="Heading 1 Char"/>
    <w:basedOn w:val="DefaultParagraphFont"/>
    <w:link w:val="Heading1"/>
    <w:uiPriority w:val="9"/>
    <w:rsid w:val="008D0BDD"/>
    <w:rPr>
      <w:rFonts w:asciiTheme="majorBidi" w:hAnsiTheme="majorBidi" w:cstheme="majorBidi"/>
      <w:b/>
      <w:bCs/>
      <w:sz w:val="24"/>
      <w:szCs w:val="24"/>
    </w:rPr>
  </w:style>
  <w:style w:type="paragraph" w:styleId="Caption">
    <w:name w:val="caption"/>
    <w:aliases w:val="معادلات متن"/>
    <w:basedOn w:val="Normal"/>
    <w:next w:val="Normal"/>
    <w:uiPriority w:val="35"/>
    <w:unhideWhenUsed/>
    <w:qFormat/>
    <w:rsid w:val="00381B6A"/>
    <w:pPr>
      <w:spacing w:after="0"/>
      <w:jc w:val="center"/>
    </w:pPr>
    <w:rPr>
      <w:rFonts w:ascii="Times New Roman" w:eastAsia="MS Mincho" w:hAnsi="Times New Roman" w:cs="Times New Roman"/>
      <w:lang w:eastAsia="ja-JP"/>
    </w:rPr>
  </w:style>
  <w:style w:type="paragraph" w:customStyle="1" w:styleId="EndNoteBibliographyTitle">
    <w:name w:val="EndNote Bibliography Title"/>
    <w:basedOn w:val="Normal"/>
    <w:link w:val="EndNoteBibliographyTitleChar"/>
    <w:rsid w:val="00B916DD"/>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B916DD"/>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B916DD"/>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B916DD"/>
    <w:rPr>
      <w:rFonts w:ascii="Times New Roman" w:hAnsi="Times New Roman" w:cs="Times New Roman"/>
      <w:noProof/>
      <w:sz w:val="24"/>
      <w:szCs w:val="24"/>
    </w:rPr>
  </w:style>
  <w:style w:type="table" w:styleId="TableGrid">
    <w:name w:val="Table Grid"/>
    <w:basedOn w:val="TableNormal"/>
    <w:uiPriority w:val="59"/>
    <w:rsid w:val="00837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1473"/>
    <w:rPr>
      <w:rFonts w:asciiTheme="majorBidi" w:hAnsiTheme="majorBidi" w:cstheme="majorBidi"/>
      <w:b/>
      <w:bCs/>
      <w:sz w:val="24"/>
      <w:szCs w:val="24"/>
    </w:rPr>
  </w:style>
  <w:style w:type="paragraph" w:styleId="BalloonText">
    <w:name w:val="Balloon Text"/>
    <w:basedOn w:val="Normal"/>
    <w:link w:val="BalloonTextChar"/>
    <w:uiPriority w:val="99"/>
    <w:semiHidden/>
    <w:unhideWhenUsed/>
    <w:rsid w:val="0087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D9D"/>
    <w:rPr>
      <w:rFonts w:ascii="Tahoma" w:hAnsi="Tahoma" w:cs="Tahoma"/>
      <w:sz w:val="16"/>
      <w:szCs w:val="16"/>
    </w:rPr>
  </w:style>
  <w:style w:type="paragraph" w:styleId="Header">
    <w:name w:val="header"/>
    <w:basedOn w:val="Normal"/>
    <w:link w:val="HeaderChar"/>
    <w:uiPriority w:val="99"/>
    <w:unhideWhenUsed/>
    <w:rsid w:val="004F6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52"/>
    <w:rPr>
      <w:rFonts w:asciiTheme="majorBidi" w:hAnsiTheme="majorBidi" w:cstheme="majorBidi"/>
      <w:sz w:val="24"/>
      <w:szCs w:val="24"/>
    </w:rPr>
  </w:style>
  <w:style w:type="paragraph" w:styleId="Footer">
    <w:name w:val="footer"/>
    <w:basedOn w:val="Normal"/>
    <w:link w:val="FooterChar"/>
    <w:uiPriority w:val="99"/>
    <w:unhideWhenUsed/>
    <w:rsid w:val="004F6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52"/>
    <w:rPr>
      <w:rFonts w:asciiTheme="majorBidi" w:hAnsiTheme="majorBidi" w:cstheme="majorBidi"/>
      <w:sz w:val="24"/>
      <w:szCs w:val="24"/>
    </w:rPr>
  </w:style>
  <w:style w:type="character" w:styleId="LineNumber">
    <w:name w:val="line number"/>
    <w:basedOn w:val="DefaultParagraphFont"/>
    <w:uiPriority w:val="99"/>
    <w:semiHidden/>
    <w:unhideWhenUsed/>
    <w:rsid w:val="004F6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48109">
      <w:bodyDiv w:val="1"/>
      <w:marLeft w:val="0"/>
      <w:marRight w:val="0"/>
      <w:marTop w:val="0"/>
      <w:marBottom w:val="0"/>
      <w:divBdr>
        <w:top w:val="none" w:sz="0" w:space="0" w:color="auto"/>
        <w:left w:val="none" w:sz="0" w:space="0" w:color="auto"/>
        <w:bottom w:val="none" w:sz="0" w:space="0" w:color="auto"/>
        <w:right w:val="none" w:sz="0" w:space="0" w:color="auto"/>
      </w:divBdr>
    </w:div>
    <w:div w:id="1176726193">
      <w:bodyDiv w:val="1"/>
      <w:marLeft w:val="0"/>
      <w:marRight w:val="0"/>
      <w:marTop w:val="0"/>
      <w:marBottom w:val="0"/>
      <w:divBdr>
        <w:top w:val="none" w:sz="0" w:space="0" w:color="auto"/>
        <w:left w:val="none" w:sz="0" w:space="0" w:color="auto"/>
        <w:bottom w:val="none" w:sz="0" w:space="0" w:color="auto"/>
        <w:right w:val="none" w:sz="0" w:space="0" w:color="auto"/>
      </w:divBdr>
    </w:div>
    <w:div w:id="1299915764">
      <w:bodyDiv w:val="1"/>
      <w:marLeft w:val="0"/>
      <w:marRight w:val="0"/>
      <w:marTop w:val="0"/>
      <w:marBottom w:val="0"/>
      <w:divBdr>
        <w:top w:val="none" w:sz="0" w:space="0" w:color="auto"/>
        <w:left w:val="none" w:sz="0" w:space="0" w:color="auto"/>
        <w:bottom w:val="none" w:sz="0" w:space="0" w:color="auto"/>
        <w:right w:val="none" w:sz="0" w:space="0" w:color="auto"/>
      </w:divBdr>
    </w:div>
    <w:div w:id="1351950202">
      <w:bodyDiv w:val="1"/>
      <w:marLeft w:val="0"/>
      <w:marRight w:val="0"/>
      <w:marTop w:val="0"/>
      <w:marBottom w:val="0"/>
      <w:divBdr>
        <w:top w:val="none" w:sz="0" w:space="0" w:color="auto"/>
        <w:left w:val="none" w:sz="0" w:space="0" w:color="auto"/>
        <w:bottom w:val="none" w:sz="0" w:space="0" w:color="auto"/>
        <w:right w:val="none" w:sz="0" w:space="0" w:color="auto"/>
      </w:divBdr>
    </w:div>
    <w:div w:id="1563951692">
      <w:bodyDiv w:val="1"/>
      <w:marLeft w:val="0"/>
      <w:marRight w:val="0"/>
      <w:marTop w:val="0"/>
      <w:marBottom w:val="0"/>
      <w:divBdr>
        <w:top w:val="none" w:sz="0" w:space="0" w:color="auto"/>
        <w:left w:val="none" w:sz="0" w:space="0" w:color="auto"/>
        <w:bottom w:val="none" w:sz="0" w:space="0" w:color="auto"/>
        <w:right w:val="none" w:sz="0" w:space="0" w:color="auto"/>
      </w:divBdr>
    </w:div>
    <w:div w:id="1842313153">
      <w:bodyDiv w:val="1"/>
      <w:marLeft w:val="0"/>
      <w:marRight w:val="0"/>
      <w:marTop w:val="0"/>
      <w:marBottom w:val="0"/>
      <w:divBdr>
        <w:top w:val="none" w:sz="0" w:space="0" w:color="auto"/>
        <w:left w:val="none" w:sz="0" w:space="0" w:color="auto"/>
        <w:bottom w:val="none" w:sz="0" w:space="0" w:color="auto"/>
        <w:right w:val="none" w:sz="0" w:space="0" w:color="auto"/>
      </w:divBdr>
    </w:div>
    <w:div w:id="1911842671">
      <w:bodyDiv w:val="1"/>
      <w:marLeft w:val="0"/>
      <w:marRight w:val="0"/>
      <w:marTop w:val="0"/>
      <w:marBottom w:val="0"/>
      <w:divBdr>
        <w:top w:val="none" w:sz="0" w:space="0" w:color="auto"/>
        <w:left w:val="none" w:sz="0" w:space="0" w:color="auto"/>
        <w:bottom w:val="none" w:sz="0" w:space="0" w:color="auto"/>
        <w:right w:val="none" w:sz="0" w:space="0" w:color="auto"/>
      </w:divBdr>
    </w:div>
    <w:div w:id="210541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adasgarpour@ut.ac.i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A8D0F-64BB-4D98-B9E3-21C2089C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9</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Milad Asgarpour Khansary</cp:lastModifiedBy>
  <cp:revision>325</cp:revision>
  <dcterms:created xsi:type="dcterms:W3CDTF">2016-07-28T15:48:00Z</dcterms:created>
  <dcterms:modified xsi:type="dcterms:W3CDTF">2017-02-15T15:17:00Z</dcterms:modified>
</cp:coreProperties>
</file>