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6F490" w14:textId="2A87042B" w:rsidR="00451D28" w:rsidRPr="00504C8E" w:rsidRDefault="009B63D9" w:rsidP="009B63D9">
      <w:pPr>
        <w:pStyle w:val="Title"/>
        <w:rPr>
          <w:sz w:val="36"/>
          <w:szCs w:val="22"/>
        </w:rPr>
      </w:pPr>
      <w:bookmarkStart w:id="0" w:name="_Hlk5286656"/>
      <w:bookmarkStart w:id="1" w:name="OLE_LINK50"/>
      <w:bookmarkStart w:id="2" w:name="OLE_LINK51"/>
      <w:bookmarkStart w:id="3" w:name="OLE_LINK53"/>
      <w:bookmarkStart w:id="4" w:name="OLE_LINK14"/>
      <w:bookmarkStart w:id="5" w:name="OLE_LINK15"/>
      <w:bookmarkStart w:id="6" w:name="OLE_LINK16"/>
      <w:r>
        <w:rPr>
          <w:sz w:val="36"/>
          <w:szCs w:val="22"/>
        </w:rPr>
        <w:t xml:space="preserve">Group Contribution based </w:t>
      </w:r>
      <w:r w:rsidRPr="00504C8E">
        <w:rPr>
          <w:sz w:val="36"/>
          <w:szCs w:val="22"/>
        </w:rPr>
        <w:t xml:space="preserve">Miscibility </w:t>
      </w:r>
      <w:r>
        <w:rPr>
          <w:sz w:val="36"/>
          <w:szCs w:val="22"/>
        </w:rPr>
        <w:t xml:space="preserve">Method for </w:t>
      </w:r>
      <w:r w:rsidRPr="009B63D9">
        <w:rPr>
          <w:sz w:val="36"/>
          <w:szCs w:val="22"/>
        </w:rPr>
        <w:t xml:space="preserve">Screening </w:t>
      </w:r>
      <w:r>
        <w:rPr>
          <w:sz w:val="36"/>
          <w:szCs w:val="22"/>
        </w:rPr>
        <w:t>S</w:t>
      </w:r>
      <w:r w:rsidRPr="009B63D9">
        <w:rPr>
          <w:sz w:val="36"/>
          <w:szCs w:val="22"/>
        </w:rPr>
        <w:t>olubility-</w:t>
      </w:r>
      <w:r>
        <w:rPr>
          <w:sz w:val="36"/>
          <w:szCs w:val="22"/>
        </w:rPr>
        <w:t>E</w:t>
      </w:r>
      <w:r w:rsidRPr="009B63D9">
        <w:rPr>
          <w:sz w:val="36"/>
          <w:szCs w:val="22"/>
        </w:rPr>
        <w:t xml:space="preserve">nhancing </w:t>
      </w:r>
      <w:r>
        <w:rPr>
          <w:sz w:val="36"/>
          <w:szCs w:val="22"/>
        </w:rPr>
        <w:t>C</w:t>
      </w:r>
      <w:r w:rsidRPr="009B63D9">
        <w:rPr>
          <w:sz w:val="36"/>
          <w:szCs w:val="22"/>
        </w:rPr>
        <w:t>oformers</w:t>
      </w:r>
      <w:r>
        <w:rPr>
          <w:sz w:val="36"/>
          <w:szCs w:val="22"/>
        </w:rPr>
        <w:t xml:space="preserve"> in </w:t>
      </w:r>
      <w:r w:rsidRPr="00504C8E">
        <w:rPr>
          <w:sz w:val="36"/>
          <w:szCs w:val="22"/>
        </w:rPr>
        <w:t>Amorphous Solid Dispersions</w:t>
      </w:r>
      <w:r>
        <w:rPr>
          <w:sz w:val="36"/>
          <w:szCs w:val="22"/>
        </w:rPr>
        <w:t xml:space="preserve"> </w:t>
      </w:r>
    </w:p>
    <w:bookmarkEnd w:id="0"/>
    <w:bookmarkEnd w:id="1"/>
    <w:bookmarkEnd w:id="2"/>
    <w:bookmarkEnd w:id="3"/>
    <w:bookmarkEnd w:id="4"/>
    <w:bookmarkEnd w:id="5"/>
    <w:bookmarkEnd w:id="6"/>
    <w:p w14:paraId="3FBE2FFB" w14:textId="5C18C86E" w:rsidR="00E81CB5" w:rsidRDefault="00902084" w:rsidP="0095656F">
      <w:pPr>
        <w:rPr>
          <w:rStyle w:val="Strong"/>
        </w:rPr>
      </w:pPr>
      <w:r w:rsidRPr="00875DD0">
        <w:rPr>
          <w:rStyle w:val="Strong"/>
        </w:rPr>
        <w:t xml:space="preserve">Abstract </w:t>
      </w:r>
    </w:p>
    <w:p w14:paraId="3D53667E" w14:textId="4357CFD9" w:rsidR="003C737B" w:rsidRPr="002D47A8" w:rsidRDefault="003B2696" w:rsidP="002D47A8">
      <w:r>
        <w:t xml:space="preserve">The thermodynamic behavior </w:t>
      </w:r>
      <w:r w:rsidR="003D4EDE">
        <w:t xml:space="preserve">of </w:t>
      </w:r>
      <w:r w:rsidR="00D42A57">
        <w:t>binary mixture</w:t>
      </w:r>
      <w:r>
        <w:t xml:space="preserve">s such as polymer </w:t>
      </w:r>
      <w:r w:rsidR="00D42A57">
        <w:t>blend</w:t>
      </w:r>
      <w:r>
        <w:t>s</w:t>
      </w:r>
      <w:r w:rsidR="00D42A57">
        <w:t>,</w:t>
      </w:r>
      <w:r w:rsidR="00FB63EF">
        <w:t xml:space="preserve"> a</w:t>
      </w:r>
      <w:r w:rsidR="00FB63EF" w:rsidRPr="00FB63EF">
        <w:t xml:space="preserve">morphous </w:t>
      </w:r>
      <w:r w:rsidR="00FB63EF">
        <w:t>s</w:t>
      </w:r>
      <w:r w:rsidR="00FB63EF" w:rsidRPr="00FB63EF">
        <w:t xml:space="preserve">olid </w:t>
      </w:r>
      <w:r w:rsidR="00FB63EF">
        <w:t>d</w:t>
      </w:r>
      <w:r w:rsidR="00FB63EF" w:rsidRPr="00FB63EF">
        <w:t>ispersions</w:t>
      </w:r>
      <w:r w:rsidR="00FB63EF">
        <w:t xml:space="preserve">, </w:t>
      </w:r>
      <w:r w:rsidR="00FB63EF" w:rsidRPr="00FB63EF">
        <w:t>cocrystal and salt</w:t>
      </w:r>
      <w:r>
        <w:t>s</w:t>
      </w:r>
      <w:r w:rsidR="00FB63EF" w:rsidRPr="00FB63EF">
        <w:t>, and etc</w:t>
      </w:r>
      <w:r>
        <w:t xml:space="preserve">. are </w:t>
      </w:r>
      <w:r w:rsidR="003D0A78">
        <w:t xml:space="preserve">of great </w:t>
      </w:r>
      <w:r>
        <w:t>interest in many a</w:t>
      </w:r>
      <w:r w:rsidRPr="003B2696">
        <w:t>ctive pharmaceutical ingredient</w:t>
      </w:r>
      <w:r>
        <w:t xml:space="preserve"> applications where </w:t>
      </w:r>
      <w:r w:rsidR="00A82B83">
        <w:t>low solubility</w:t>
      </w:r>
      <w:r w:rsidR="00CF35F6">
        <w:t>/</w:t>
      </w:r>
      <w:r w:rsidR="00A82B83">
        <w:t>bioavailability of drugs</w:t>
      </w:r>
      <w:r w:rsidR="00CF35F6">
        <w:t xml:space="preserve"> is an issue the </w:t>
      </w:r>
      <w:r w:rsidR="003D0A78">
        <w:t xml:space="preserve">pharma industry </w:t>
      </w:r>
      <w:r w:rsidR="00CF35F6">
        <w:t>faced</w:t>
      </w:r>
      <w:r w:rsidR="00A82B83">
        <w:t>.</w:t>
      </w:r>
      <w:r w:rsidR="00504C8E">
        <w:t xml:space="preserve"> Screening solubility-enhancing coformers </w:t>
      </w:r>
      <w:r w:rsidR="003E2498">
        <w:t>and/</w:t>
      </w:r>
      <w:r w:rsidR="00504C8E">
        <w:t xml:space="preserve">or excipients for </w:t>
      </w:r>
      <w:r w:rsidR="003D0A78">
        <w:t>drug</w:t>
      </w:r>
      <w:r w:rsidR="003C737B">
        <w:t>(</w:t>
      </w:r>
      <w:r w:rsidR="00CF35F6">
        <w:t>s</w:t>
      </w:r>
      <w:r w:rsidR="003C737B">
        <w:t>)</w:t>
      </w:r>
      <w:r w:rsidR="003D0A78">
        <w:t xml:space="preserve"> of interest is therefore remained </w:t>
      </w:r>
      <w:r w:rsidR="00CF35F6">
        <w:t xml:space="preserve">major challenge. </w:t>
      </w:r>
      <w:r w:rsidR="003C737B">
        <w:t xml:space="preserve">A high throughput method for (1) screening of available materials and/or (2) design of possible candidates to be synthesized for each drug is of crucial importance. To address this challenge, here, a systematically improvable method is examined against its performance for different drug-polymer pairs commonly used in amorphous solid dispersion technology including </w:t>
      </w:r>
      <w:r w:rsidR="003C737B" w:rsidRPr="00097359">
        <w:t>dipyridamole</w:t>
      </w:r>
      <w:r w:rsidR="003C737B">
        <w:t xml:space="preserve">, </w:t>
      </w:r>
      <w:r w:rsidR="003C737B" w:rsidRPr="00097359">
        <w:t>cinnarizine</w:t>
      </w:r>
      <w:r w:rsidR="003C737B">
        <w:t>,</w:t>
      </w:r>
      <w:r w:rsidR="003C737B" w:rsidRPr="00097359">
        <w:t xml:space="preserve"> </w:t>
      </w:r>
      <w:r w:rsidR="003C737B">
        <w:t xml:space="preserve">itraconazole as drugs and </w:t>
      </w:r>
      <w:r w:rsidR="003C737B" w:rsidRPr="00097359">
        <w:t>polystyrene</w:t>
      </w:r>
      <w:r w:rsidR="003C737B">
        <w:t xml:space="preserve">, </w:t>
      </w:r>
      <w:r w:rsidR="003C737B" w:rsidRPr="00097359">
        <w:t xml:space="preserve">polyvinyl pyrrolidone, polyacrylic acid </w:t>
      </w:r>
      <w:r w:rsidR="003C737B">
        <w:t>as polymers.</w:t>
      </w:r>
      <w:r w:rsidR="003C737B" w:rsidRPr="003C737B">
        <w:t xml:space="preserve"> </w:t>
      </w:r>
      <w:r w:rsidR="002D47A8" w:rsidRPr="002D47A8">
        <w:t>The other applications of reported code may include organic solvent selection, cocrystal and salt screening, and etc.</w:t>
      </w:r>
    </w:p>
    <w:p w14:paraId="025D3F79" w14:textId="3E41B400" w:rsidR="00902084" w:rsidRDefault="00902084" w:rsidP="009F27F8">
      <w:r w:rsidRPr="00875DD0">
        <w:rPr>
          <w:b/>
          <w:bCs/>
        </w:rPr>
        <w:t>Keywords</w:t>
      </w:r>
      <w:r w:rsidRPr="000A113C">
        <w:t xml:space="preserve">: </w:t>
      </w:r>
      <w:r w:rsidR="009F27F8">
        <w:t>pharmaceutical industry</w:t>
      </w:r>
      <w:r w:rsidR="00875DD0">
        <w:t xml:space="preserve">; amorphous </w:t>
      </w:r>
      <w:r w:rsidR="009F27F8">
        <w:t xml:space="preserve">structure; miscibility; </w:t>
      </w:r>
      <w:r w:rsidR="004B0143">
        <w:t xml:space="preserve"> </w:t>
      </w:r>
    </w:p>
    <w:p w14:paraId="57752797" w14:textId="312E9942" w:rsidR="00A93ED4" w:rsidRDefault="00C24CD3" w:rsidP="00C24CD3">
      <w:pPr>
        <w:pStyle w:val="Heading1"/>
      </w:pPr>
      <w:r>
        <w:t>B</w:t>
      </w:r>
      <w:r w:rsidR="003E2498">
        <w:t xml:space="preserve">ackgrounds </w:t>
      </w:r>
    </w:p>
    <w:p w14:paraId="5DDD2F54" w14:textId="12BF5271" w:rsidR="008225CD" w:rsidRDefault="00B92BFA" w:rsidP="009666CD">
      <w:pPr>
        <w:rPr>
          <w:lang w:bidi="fa-IR"/>
        </w:rPr>
      </w:pPr>
      <w:r>
        <w:t xml:space="preserve">Low in-body solubility (bioavailability) of most produced drugs caused a big challenge </w:t>
      </w:r>
      <w:r w:rsidRPr="00B92BFA">
        <w:t>facing pharma industry</w:t>
      </w:r>
      <w:r w:rsidR="00B372D8">
        <w:t xml:space="preserve"> </w:t>
      </w:r>
      <w:r w:rsidR="00B372D8">
        <w:fldChar w:fldCharType="begin"/>
      </w:r>
      <w:r w:rsidR="00B372D8">
        <w:instrText xml:space="preserve"> ADDIN EN.CITE &lt;EndNote&gt;&lt;Cite&gt;&lt;Author&gt;Sandhu&lt;/Author&gt;&lt;Year&gt;2014&lt;/Year&gt;&lt;RecNum&gt;3&lt;/RecNum&gt;&lt;DisplayText&gt;[1]&lt;/DisplayText&gt;&lt;record&gt;&lt;rec-number&gt;3&lt;/rec-number&gt;&lt;foreign-keys&gt;&lt;key app="EN" db-id="e0a9pfwev5xre9etremvzawpwrzxapaxzee0" timestamp="1556488034"&gt;3&lt;/key&gt;&lt;/foreign-keys&gt;&lt;ref-type name="Book Section"&gt;5&lt;/ref-type&gt;&lt;contributors&gt;&lt;authors&gt;&lt;author&gt;Sandhu, Harpreet&lt;/author&gt;&lt;author&gt;Shah, Navnit&lt;/author&gt;&lt;author&gt;Chokshi, Hitesh&lt;/author&gt;&lt;author&gt;Malick, A. Waseem&lt;/author&gt;&lt;/authors&gt;&lt;secondary-authors&gt;&lt;author&gt;Shah, Navnit&lt;/author&gt;&lt;author&gt;Sandhu, Harpreet&lt;/author&gt;&lt;author&gt;Choi, Duk Soon&lt;/author&gt;&lt;author&gt;Chokshi, Hitesh&lt;/author&gt;&lt;author&gt;Malick, A. Waseem&lt;/author&gt;&lt;/secondary-authors&gt;&lt;/contributors&gt;&lt;titles&gt;&lt;title&gt;Overview of Amorphous Solid Dispersion Technologies&lt;/title&gt;&lt;secondary-title&gt;Amorphous Solid Dispersions: Theory and Practice&lt;/secondary-title&gt;&lt;/titles&gt;&lt;pages&gt;91-122&lt;/pages&gt;&lt;dates&gt;&lt;year&gt;2014&lt;/year&gt;&lt;pub-dates&gt;&lt;date&gt;2014//&lt;/date&gt;&lt;/pub-dates&gt;&lt;/dates&gt;&lt;pub-location&gt;New York, NY&lt;/pub-location&gt;&lt;publisher&gt;Springer New York&lt;/publisher&gt;&lt;isbn&gt;978-1-4939-1598-9&lt;/isbn&gt;&lt;urls&gt;&lt;related-urls&gt;&lt;url&gt;https://doi.org/10.1007/978-1-4939-1598-9_3&lt;/url&gt;&lt;/related-urls&gt;&lt;/urls&gt;&lt;electronic-resource-num&gt;10.1007/978-1-4939-1598-9_3&lt;/electronic-resource-num&gt;&lt;/record&gt;&lt;/Cite&gt;&lt;/EndNote&gt;</w:instrText>
      </w:r>
      <w:r w:rsidR="00B372D8">
        <w:fldChar w:fldCharType="separate"/>
      </w:r>
      <w:r w:rsidR="00B372D8">
        <w:rPr>
          <w:noProof/>
        </w:rPr>
        <w:t>[</w:t>
      </w:r>
      <w:hyperlink w:anchor="_ENREF_1" w:tooltip="Sandhu, 2014 #3" w:history="1">
        <w:r w:rsidR="009666CD" w:rsidRPr="009666CD">
          <w:rPr>
            <w:rStyle w:val="Hyperlink"/>
          </w:rPr>
          <w:t>1</w:t>
        </w:r>
      </w:hyperlink>
      <w:r w:rsidR="00B372D8">
        <w:rPr>
          <w:noProof/>
        </w:rPr>
        <w:t>]</w:t>
      </w:r>
      <w:r w:rsidR="00B372D8">
        <w:fldChar w:fldCharType="end"/>
      </w:r>
      <w:r>
        <w:t>. These drugs belong to BCS Class II and BCS Class IV according to Biopharmaceutics Classification System</w:t>
      </w:r>
      <w:r w:rsidR="00FA7471">
        <w:t xml:space="preserve"> (BCS)</w:t>
      </w:r>
      <w:r>
        <w:t>. To enhance the solubility</w:t>
      </w:r>
      <w:r w:rsidR="00185489">
        <w:t xml:space="preserve"> of</w:t>
      </w:r>
      <w:r>
        <w:t xml:space="preserve"> these drugs, a number of technologies have been introduced such as salt formation, formation of nano crystal a</w:t>
      </w:r>
      <w:r w:rsidRPr="003B2696">
        <w:t>ctive pharmaceutical ingredient</w:t>
      </w:r>
      <w:r>
        <w:t>s, and a</w:t>
      </w:r>
      <w:r w:rsidRPr="00B92BFA">
        <w:t xml:space="preserve">morphous solid </w:t>
      </w:r>
      <w:r w:rsidR="00FF6D45" w:rsidRPr="00B92BFA">
        <w:t>dispersions</w:t>
      </w:r>
      <w:r w:rsidR="00FF6D45">
        <w:t xml:space="preserve"> using various pharmaceutically acceptable excipients (polymers)</w:t>
      </w:r>
      <w:r w:rsidR="00B372D8">
        <w:t xml:space="preserve"> </w:t>
      </w:r>
      <w:r w:rsidR="00B372D8">
        <w:fldChar w:fldCharType="begin">
          <w:fldData xml:space="preserve">PEVuZE5vdGU+PENpdGU+PEF1dGhvcj5IdWFuZzwvQXV0aG9yPjxZZWFyPjIwMTQ8L1llYXI+PFJl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</w:fldData>
        </w:fldChar>
      </w:r>
      <w:r w:rsidR="00B372D8">
        <w:instrText xml:space="preserve"> ADDIN EN.CITE </w:instrText>
      </w:r>
      <w:r w:rsidR="00B372D8">
        <w:fldChar w:fldCharType="begin">
          <w:fldData xml:space="preserve">PEVuZE5vdGU+PENpdGU+PEF1dGhvcj5IdWFuZzwvQXV0aG9yPjxZZWFyPjIwMTQ8L1llYXI+PFJl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</w:fldData>
        </w:fldChar>
      </w:r>
      <w:r w:rsidR="00B372D8">
        <w:instrText xml:space="preserve"> ADDIN EN.CITE.DATA </w:instrText>
      </w:r>
      <w:r w:rsidR="00B372D8">
        <w:fldChar w:fldCharType="end"/>
      </w:r>
      <w:r w:rsidR="00B372D8">
        <w:fldChar w:fldCharType="separate"/>
      </w:r>
      <w:r w:rsidR="00B372D8">
        <w:rPr>
          <w:noProof/>
        </w:rPr>
        <w:t>[</w:t>
      </w:r>
      <w:hyperlink w:anchor="_ENREF_2" w:tooltip="Huang, 2014 #1" w:history="1">
        <w:r w:rsidR="009666CD" w:rsidRPr="009666CD">
          <w:rPr>
            <w:rStyle w:val="Hyperlink"/>
          </w:rPr>
          <w:t>2</w:t>
        </w:r>
      </w:hyperlink>
      <w:r w:rsidR="00B372D8">
        <w:rPr>
          <w:noProof/>
        </w:rPr>
        <w:t xml:space="preserve">, </w:t>
      </w:r>
      <w:hyperlink w:anchor="_ENREF_3" w:tooltip="Zhang, 2018 #2" w:history="1">
        <w:r w:rsidR="009666CD" w:rsidRPr="009666CD">
          <w:rPr>
            <w:rStyle w:val="Hyperlink"/>
          </w:rPr>
          <w:t>3</w:t>
        </w:r>
      </w:hyperlink>
      <w:r w:rsidR="00B372D8">
        <w:rPr>
          <w:noProof/>
        </w:rPr>
        <w:t>]</w:t>
      </w:r>
      <w:r w:rsidR="00B372D8">
        <w:fldChar w:fldCharType="end"/>
      </w:r>
      <w:r w:rsidR="00FF6D45">
        <w:t xml:space="preserve">. </w:t>
      </w:r>
      <w:r w:rsidR="00FA7471">
        <w:t xml:space="preserve">These </w:t>
      </w:r>
      <w:r w:rsidR="00B372D8">
        <w:t>solid dispersion</w:t>
      </w:r>
      <w:r w:rsidR="00FA7471">
        <w:t>s are</w:t>
      </w:r>
      <w:r w:rsidR="00B372D8">
        <w:t xml:space="preserve"> practically a binary mixture of a drug and an </w:t>
      </w:r>
      <w:r w:rsidR="00B372D8" w:rsidRPr="00892A7E">
        <w:t xml:space="preserve">amorphous </w:t>
      </w:r>
      <w:r w:rsidR="00B372D8">
        <w:t xml:space="preserve">polymer </w:t>
      </w:r>
      <w:r w:rsidR="00B372D8">
        <w:fldChar w:fldCharType="begin"/>
      </w:r>
      <w:r w:rsidR="00B372D8">
        <w:instrText xml:space="preserve"> ADDIN EN.CITE &lt;EndNote&gt;&lt;Cite&gt;&lt;Author&gt;Baghel&lt;/Author&gt;&lt;Year&gt;2016&lt;/Year&gt;&lt;RecNum&gt;4&lt;/RecNum&gt;&lt;DisplayText&gt;[4]&lt;/DisplayText&gt;&lt;record&gt;&lt;rec-number&gt;4&lt;/rec-number&gt;&lt;foreign-keys&gt;&lt;key app="EN" db-id="e0a9pfwev5xre9etremvzawpwrzxapaxzee0" timestamp="1556488389"&gt;4&lt;/key&gt;&lt;/foreign-keys&gt;&lt;ref-type name="Journal Article"&gt;17&lt;/ref-type&gt;&lt;contributors&gt;&lt;authors&gt;&lt;author&gt;Baghel, Shrawan&lt;/author&gt;&lt;author&gt;Cathcart, Helen&lt;/author&gt;&lt;author&gt;O&amp;apos;Reilly, Niall J.&lt;/author&gt;&lt;/authors&gt;&lt;/contributors&gt;&lt;titles&gt;&lt;title&gt;Polymeric Amorphous Solid Dispersions: A Review of Amorphization, Crystallization, Stabilization, Solid-State Characterization, and Aqueous Solubilization of Biopharmaceutical Classification System Class II Drugs&lt;/title&gt;&lt;secondary-title&gt;Journal of Pharmaceutical Sciences&lt;/secondary-title&gt;&lt;/titles&gt;&lt;periodical&gt;&lt;full-title&gt;Journal of Pharmaceutical Sciences&lt;/full-title&gt;&lt;/periodical&gt;&lt;pages&gt;2527-2544&lt;/pages&gt;&lt;volume&gt;105&lt;/volume&gt;&lt;number&gt;9&lt;/number&gt;&lt;keywords&gt;&lt;keyword&gt;solid dispersion&lt;/keyword&gt;&lt;keyword&gt;Biopharmaceutics Classification System&lt;/keyword&gt;&lt;keyword&gt;crystallization&lt;/keyword&gt;&lt;keyword&gt;dissolution&lt;/keyword&gt;&lt;keyword&gt;drug-excipient interaction&lt;/keyword&gt;&lt;keyword&gt;formulation&lt;/keyword&gt;&lt;keyword&gt;in silico modeling&lt;/keyword&gt;&lt;keyword&gt;oral drug delivery&lt;/keyword&gt;&lt;keyword&gt;polymeric drug delivery systems&lt;/keyword&gt;&lt;keyword&gt;supersaturation&lt;/keyword&gt;&lt;/keywords&gt;&lt;dates&gt;&lt;year&gt;2016&lt;/year&gt;&lt;pub-dates&gt;&lt;date&gt;2016/09/01/&lt;/date&gt;&lt;/pub-dates&gt;&lt;/dates&gt;&lt;isbn&gt;0022-3549&lt;/isbn&gt;&lt;urls&gt;&lt;related-urls&gt;&lt;url&gt;http://www.sciencedirect.com/science/article/pii/S002235491500009X&lt;/url&gt;&lt;/related-urls&gt;&lt;/urls&gt;&lt;electronic-resource-num&gt;https://doi.org/10.1016/j.xphs.2015.10.008&lt;/electronic-resource-num&gt;&lt;/record&gt;&lt;/Cite&gt;&lt;/EndNote&gt;</w:instrText>
      </w:r>
      <w:r w:rsidR="00B372D8">
        <w:fldChar w:fldCharType="separate"/>
      </w:r>
      <w:r w:rsidR="00B372D8">
        <w:rPr>
          <w:noProof/>
        </w:rPr>
        <w:t>[</w:t>
      </w:r>
      <w:hyperlink w:anchor="_ENREF_4" w:tooltip="Baghel, 2016 #4" w:history="1">
        <w:r w:rsidR="009666CD" w:rsidRPr="009666CD">
          <w:rPr>
            <w:rStyle w:val="Hyperlink"/>
          </w:rPr>
          <w:t>4</w:t>
        </w:r>
      </w:hyperlink>
      <w:r w:rsidR="00B372D8">
        <w:rPr>
          <w:noProof/>
        </w:rPr>
        <w:t>]</w:t>
      </w:r>
      <w:r w:rsidR="00B372D8">
        <w:fldChar w:fldCharType="end"/>
      </w:r>
      <w:r w:rsidR="00B372D8">
        <w:t xml:space="preserve"> where they </w:t>
      </w:r>
      <w:r w:rsidR="00B372D8" w:rsidRPr="002C5E67">
        <w:t>act as s</w:t>
      </w:r>
      <w:r w:rsidR="00B372D8">
        <w:t xml:space="preserve">olute and solvent, respectively. </w:t>
      </w:r>
      <w:r w:rsidR="00FA7471">
        <w:t xml:space="preserve">Such </w:t>
      </w:r>
      <w:r w:rsidR="00FF6D45">
        <w:rPr>
          <w:lang w:bidi="fa-IR"/>
        </w:rPr>
        <w:t>dispersions are metastable, and therefore may undergo instabilities through phase separation</w:t>
      </w:r>
      <w:r w:rsidR="00FA7471">
        <w:rPr>
          <w:lang w:bidi="fa-IR"/>
        </w:rPr>
        <w:t xml:space="preserve"> paths like separation</w:t>
      </w:r>
      <w:r w:rsidR="00FF6D45">
        <w:rPr>
          <w:lang w:bidi="fa-IR"/>
        </w:rPr>
        <w:t xml:space="preserve"> </w:t>
      </w:r>
      <w:r w:rsidR="00FF6D45" w:rsidRPr="00FF6D45">
        <w:rPr>
          <w:lang w:bidi="fa-IR"/>
        </w:rPr>
        <w:t>into</w:t>
      </w:r>
      <w:r w:rsidR="00FF6D45">
        <w:rPr>
          <w:lang w:bidi="fa-IR"/>
        </w:rPr>
        <w:t xml:space="preserve"> two in-contact-in-equilibrium </w:t>
      </w:r>
      <w:r w:rsidR="00FF6D45" w:rsidRPr="00FF6D45">
        <w:rPr>
          <w:lang w:bidi="fa-IR"/>
        </w:rPr>
        <w:t>drug-rich and polymer-rich</w:t>
      </w:r>
      <w:r w:rsidR="00FF6D45">
        <w:rPr>
          <w:lang w:bidi="fa-IR"/>
        </w:rPr>
        <w:t xml:space="preserve"> phases or crystallization of drug may proceed. This in turn lowers the bioavailability and increases the product risk and </w:t>
      </w:r>
      <w:r w:rsidR="008225CD">
        <w:rPr>
          <w:lang w:bidi="fa-IR"/>
        </w:rPr>
        <w:t xml:space="preserve">unreliability. </w:t>
      </w:r>
      <w:r w:rsidR="00B372D8">
        <w:t>Then, in design and performance analysis</w:t>
      </w:r>
      <w:r w:rsidR="00185489">
        <w:t xml:space="preserve"> of a</w:t>
      </w:r>
      <w:r w:rsidR="00185489" w:rsidRPr="00B92BFA">
        <w:t>morphous solid dispersions</w:t>
      </w:r>
      <w:r w:rsidR="00B372D8">
        <w:t>,</w:t>
      </w:r>
      <w:r w:rsidR="00185489">
        <w:t xml:space="preserve"> </w:t>
      </w:r>
      <w:r w:rsidR="00B372D8">
        <w:t xml:space="preserve">the </w:t>
      </w:r>
      <w:r w:rsidR="00B372D8" w:rsidRPr="003F3F6C">
        <w:t>drug–polymer interaction</w:t>
      </w:r>
      <w:r w:rsidR="00B372D8">
        <w:t xml:space="preserve"> and miscibility are of greatest concern </w:t>
      </w:r>
      <w:r w:rsidR="00B372D8">
        <w:fldChar w:fldCharType="begin"/>
      </w:r>
      <w:r w:rsidR="00B372D8">
        <w:instrText xml:space="preserve"> ADDIN EN.CITE &lt;EndNote&gt;&lt;Cite&gt;&lt;Author&gt;Huang&lt;/Author&gt;&lt;Year&gt;2008&lt;/Year&gt;&lt;RecNum&gt;5&lt;/RecNum&gt;&lt;DisplayText&gt;[5]&lt;/DisplayText&gt;&lt;record&gt;&lt;rec-number&gt;5&lt;/rec-number&gt;&lt;foreign-keys&gt;&lt;key app="EN" db-id="e0a9pfwev5xre9etremvzawpwrzxapaxzee0" timestamp="1556489050"&gt;5&lt;/key&gt;&lt;/foreign-keys&gt;&lt;ref-type name="Journal Article"&gt;17&lt;/ref-type&gt;&lt;contributors&gt;&lt;authors&gt;&lt;author&gt;Huang, Jingjun&lt;/author&gt;&lt;author&gt;Wigent, Rodney J.&lt;/author&gt;&lt;author&gt;Schwartz, Joseph B.&lt;/author&gt;&lt;/authors&gt;&lt;/contributors&gt;&lt;titles&gt;&lt;title&gt;Drug–polymer interaction and its significance on the physical stability of nifedipine amorphous dispersion in microparticles of an ammonio methacrylate copolymer and ethylcellulose binary blend&lt;/title&gt;&lt;secondary-title&gt;Journal of Pharmaceutical Sciences&lt;/secondary-title&gt;&lt;/titles&gt;&lt;periodical&gt;&lt;full-title&gt;Journal of Pharmaceutical Sciences&lt;/full-title&gt;&lt;/periodical&gt;&lt;pages&gt;251-262&lt;/pages&gt;&lt;volume&gt;97&lt;/volume&gt;&lt;number&gt;1&lt;/number&gt;&lt;keywords&gt;&lt;keyword&gt;nifedipine&lt;/keyword&gt;&lt;keyword&gt;solid dispersion&lt;/keyword&gt;&lt;keyword&gt;microparticles&lt;/keyword&gt;&lt;keyword&gt;ethylcellulose&lt;/keyword&gt;&lt;keyword&gt;Eudragit RL&lt;/keyword&gt;&lt;keyword&gt;poorly water‐soluble drug&lt;/keyword&gt;&lt;keyword&gt;controlled release&lt;/keyword&gt;&lt;keyword&gt;solid‐state stability&lt;/keyword&gt;&lt;/keywords&gt;&lt;dates&gt;&lt;year&gt;2008&lt;/year&gt;&lt;pub-dates&gt;&lt;date&gt;2008/01/01/&lt;/date&gt;&lt;/pub-dates&gt;&lt;/dates&gt;&lt;isbn&gt;0022-3549&lt;/isbn&gt;&lt;urls&gt;&lt;related-urls&gt;&lt;url&gt;http://www.sciencedirect.com/science/article/pii/S0022354916324406&lt;/url&gt;&lt;/related-urls&gt;&lt;/urls&gt;&lt;electronic-resource-num&gt;https://doi.org/10.1002/jps.21072&lt;/electronic-resource-num&gt;&lt;/record&gt;&lt;/Cite&gt;&lt;/EndNote&gt;</w:instrText>
      </w:r>
      <w:r w:rsidR="00B372D8">
        <w:fldChar w:fldCharType="separate"/>
      </w:r>
      <w:r w:rsidR="00B372D8">
        <w:rPr>
          <w:noProof/>
        </w:rPr>
        <w:t>[</w:t>
      </w:r>
      <w:hyperlink w:anchor="_ENREF_5" w:tooltip="Huang, 2008 #5" w:history="1">
        <w:r w:rsidR="009666CD" w:rsidRPr="009666CD">
          <w:rPr>
            <w:rStyle w:val="Hyperlink"/>
          </w:rPr>
          <w:t>5</w:t>
        </w:r>
      </w:hyperlink>
      <w:r w:rsidR="00B372D8">
        <w:rPr>
          <w:noProof/>
        </w:rPr>
        <w:t>]</w:t>
      </w:r>
      <w:r w:rsidR="00B372D8">
        <w:fldChar w:fldCharType="end"/>
      </w:r>
      <w:r w:rsidR="00B372D8">
        <w:t>.</w:t>
      </w:r>
      <w:r w:rsidR="00116361">
        <w:t xml:space="preserve"> </w:t>
      </w:r>
    </w:p>
    <w:p w14:paraId="4E6107CB" w14:textId="73E690F7" w:rsidR="0078673A" w:rsidRDefault="00E05BAF" w:rsidP="009666CD">
      <w:r>
        <w:t xml:space="preserve">A variety of experimental methods such as differential scanning calorimetry, Fourier-transform infrared spectroscopy, and powder X-ray diffraction has been used to investigate miscibility </w:t>
      </w:r>
      <w:r>
        <w:fldChar w:fldCharType="begin"/>
      </w:r>
      <w:r>
        <w:instrText xml:space="preserve"> ADDIN EN.CITE &lt;EndNote&gt;&lt;Cite&gt;&lt;Author&gt;Xiang&lt;/Author&gt;&lt;Year&gt;2019&lt;/Year&gt;&lt;RecNum&gt;1&lt;/RecNum&gt;&lt;DisplayText&gt;[6]&lt;/DisplayText&gt;&lt;record&gt;&lt;rec-number&gt;1&lt;/rec-number&gt;&lt;foreign-keys&gt;&lt;key app="EN" db-id="eta9spvf7r2xsleswrtvzvexxx02e50raw0p" timestamp="1558516195"&gt;1&lt;/key&gt;&lt;/foreign-keys&gt;&lt;ref-type name="Journal Article"&gt;17&lt;/ref-type&gt;&lt;contributors&gt;&lt;authors&gt;&lt;author&gt;Xiang, Tian-Xiang&lt;/author&gt;&lt;author&gt;Anderson, Bradley D.&lt;/author&gt;&lt;/authors&gt;&lt;/contributors&gt;&lt;titles&gt;&lt;title&gt;Effects of Molecular Interactions on Miscibility and Mobility of Ibuprofen in Amorphous Solid Dispersions With Various Polymers&lt;/title&gt;&lt;secondary-title&gt;Journal of Pharmaceutical Sciences&lt;/secondary-title&gt;&lt;/titles&gt;&lt;periodical&gt;&lt;full-title&gt;Journal of Pharmaceutical Sciences&lt;/full-title&gt;&lt;/periodical&gt;&lt;pages&gt;178-186&lt;/pages&gt;&lt;volume&gt;108&lt;/volume&gt;&lt;number&gt;1&lt;/number&gt;&lt;keywords&gt;&lt;keyword&gt;amorphous solid dispersion(s) (ASD)&lt;/keyword&gt;&lt;keyword&gt;drug-excipient interaction(s)&lt;/keyword&gt;&lt;keyword&gt;excipient(s)&lt;/keyword&gt;&lt;keyword&gt;formulation&lt;/keyword&gt;&lt;keyword&gt;molecular dynamics&lt;/keyword&gt;&lt;keyword&gt;mobility&lt;/keyword&gt;&lt;keyword&gt;physical stability&lt;/keyword&gt;&lt;keyword&gt;self-association&lt;/keyword&gt;&lt;keyword&gt;solid dispersion(s)&lt;/keyword&gt;&lt;/keywords&gt;&lt;dates&gt;&lt;year&gt;2019&lt;/year&gt;&lt;pub-dates&gt;&lt;date&gt;2019/01/01/&lt;/date&gt;&lt;/pub-dates&gt;&lt;/dates&gt;&lt;isbn&gt;0022-3549&lt;/isbn&gt;&lt;urls&gt;&lt;related-urls&gt;&lt;url&gt;http://www.sciencedirect.com/science/article/pii/S0022354918306853&lt;/url&gt;&lt;/related-urls&gt;&lt;/urls&gt;&lt;electronic-resource-num&gt;https://doi.org/10.1016/j.xphs.2018.10.052&lt;/electronic-resource-num&gt;&lt;/record&gt;&lt;/Cite&gt;&lt;/EndNote&gt;</w:instrText>
      </w:r>
      <w:r>
        <w:fldChar w:fldCharType="separate"/>
      </w:r>
      <w:r>
        <w:rPr>
          <w:noProof/>
        </w:rPr>
        <w:t>[</w:t>
      </w:r>
      <w:hyperlink w:anchor="_ENREF_6" w:tooltip="Xiang, 2019 #1" w:history="1">
        <w:r w:rsidR="009666CD" w:rsidRPr="009666CD">
          <w:rPr>
            <w:rStyle w:val="Hyperlink"/>
          </w:rPr>
          <w:t>6</w:t>
        </w:r>
      </w:hyperlink>
      <w:r>
        <w:rPr>
          <w:noProof/>
        </w:rPr>
        <w:t>]</w:t>
      </w:r>
      <w:r>
        <w:fldChar w:fldCharType="end"/>
      </w:r>
      <w:r>
        <w:t>. However, when determined by experiments, usually, measurements suffer from the uncertainty and experimental disturbance or misconduct. Indeed, it’s impossible to examine all possible drug-polymer pairs due to wide range of polymers available, and therefore nomination of c</w:t>
      </w:r>
      <w:r w:rsidR="00FA7471">
        <w:t>andidate polymer</w:t>
      </w:r>
      <w:r w:rsidR="00BC5BF7">
        <w:t>s</w:t>
      </w:r>
      <w:r w:rsidR="00FA7471">
        <w:t xml:space="preserve"> is a knowledge-</w:t>
      </w:r>
      <w:r>
        <w:t xml:space="preserve">based task needing previous experiences of miscibility by researcher. On the other hand, it is not applicable to seek </w:t>
      </w:r>
      <w:r w:rsidR="006C1754">
        <w:t xml:space="preserve">alternative formulations and </w:t>
      </w:r>
      <w:r w:rsidR="006C1754" w:rsidRPr="006C1754">
        <w:lastRenderedPageBreak/>
        <w:t>excipients</w:t>
      </w:r>
      <w:r w:rsidR="006C1754">
        <w:t xml:space="preserve">. </w:t>
      </w:r>
      <w:r w:rsidR="005351C8">
        <w:t>Th</w:t>
      </w:r>
      <w:r w:rsidR="00FA7471">
        <w:t xml:space="preserve">ese </w:t>
      </w:r>
      <w:r w:rsidR="005351C8">
        <w:t>motivate</w:t>
      </w:r>
      <w:r w:rsidR="00A55443">
        <w:t>d</w:t>
      </w:r>
      <w:r w:rsidR="005351C8">
        <w:t xml:space="preserve"> researchers to find and develop theoretical methods for prediction of mis</w:t>
      </w:r>
      <w:r w:rsidR="00BC5BF7">
        <w:t xml:space="preserve">cibility of drug-polymer pairs as followed in this work. </w:t>
      </w:r>
    </w:p>
    <w:p w14:paraId="1E2DD161" w14:textId="4B9BC402" w:rsidR="00BC5BF7" w:rsidRDefault="00BC5BF7" w:rsidP="00BC5BF7">
      <w:pPr>
        <w:pStyle w:val="Heading1"/>
      </w:pPr>
      <w:r>
        <w:t xml:space="preserve">Methods </w:t>
      </w:r>
    </w:p>
    <w:p w14:paraId="2FD82131" w14:textId="44137CBD" w:rsidR="003A4F74" w:rsidRDefault="009B6F66" w:rsidP="009666CD">
      <w:r>
        <w:t xml:space="preserve">The most used approach </w:t>
      </w:r>
      <w:r w:rsidR="00270691">
        <w:t xml:space="preserve">employed by researchers </w:t>
      </w:r>
      <w:r>
        <w:t xml:space="preserve">for </w:t>
      </w:r>
      <w:r w:rsidRPr="003F3F6C">
        <w:t>interaction</w:t>
      </w:r>
      <w:r>
        <w:t xml:space="preserve"> and miscibility analysis </w:t>
      </w:r>
      <w:r w:rsidR="00151A42">
        <w:t xml:space="preserve">of binary mixtures </w:t>
      </w:r>
      <w:r>
        <w:t>is the</w:t>
      </w:r>
      <w:r w:rsidR="0095656F">
        <w:t xml:space="preserve"> concept of</w:t>
      </w:r>
      <w:r>
        <w:t xml:space="preserve"> </w:t>
      </w:r>
      <w:r w:rsidRPr="004741EB">
        <w:t xml:space="preserve">regular solution </w:t>
      </w:r>
      <w:r w:rsidR="00B00B09">
        <w:t xml:space="preserve">theory </w:t>
      </w:r>
      <w:r w:rsidR="00FD6F7A">
        <w:fldChar w:fldCharType="begin"/>
      </w:r>
      <w:r w:rsidR="00E05BAF">
        <w:instrText xml:space="preserve"> ADDIN EN.CITE &lt;EndNote&gt;&lt;Cite&gt;&lt;Author&gt;Zhao&lt;/Author&gt;&lt;Year&gt;2011&lt;/Year&gt;&lt;RecNum&gt;1&lt;/RecNum&gt;&lt;DisplayText&gt;[7]&lt;/DisplayText&gt;&lt;record&gt;&lt;rec-number&gt;1&lt;/rec-number&gt;&lt;foreign-keys&gt;&lt;key app="EN" db-id="9s0rr90wrwre09ezwr75s9ajvap2edwesra9" timestamp="1556606295"&gt;1&lt;/key&gt;&lt;/foreign-keys&gt;&lt;ref-type name="Journal Article"&gt;17&lt;/ref-type&gt;&lt;contributors&gt;&lt;authors&gt;&lt;author&gt;Zhao, Yinyan&lt;/author&gt;&lt;author&gt;Inbar, Petra&lt;/author&gt;&lt;author&gt;Chokshi, Hitesh P.&lt;/author&gt;&lt;author&gt;Malick, A. Wasseem&lt;/author&gt;&lt;author&gt;Choi, Duk Soon&lt;/author&gt;&lt;/authors&gt;&lt;/contributors&gt;&lt;titles&gt;&lt;title&gt;Prediction of the thermal phase diagram of amorphous solid dispersions by flory–huggins theory&lt;/title&gt;&lt;secondary-title&gt;Journal of Pharmaceutical Sciences&lt;/secondary-title&gt;&lt;/titles&gt;&lt;periodical&gt;&lt;full-title&gt;Journal of Pharmaceutical Sciences&lt;/full-title&gt;&lt;/periodical&gt;&lt;pages&gt;3196-3207&lt;/pages&gt;&lt;volume&gt;100&lt;/volume&gt;&lt;number&gt;8&lt;/number&gt;&lt;keywords&gt;&lt;keyword&gt;solid dispersion&lt;/keyword&gt;&lt;keyword&gt;amorphous&lt;/keyword&gt;&lt;keyword&gt;miscibility&lt;/keyword&gt;&lt;keyword&gt;physical stability&lt;/keyword&gt;&lt;keyword&gt;phase diagram&lt;/keyword&gt;&lt;keyword&gt;interaction&lt;/keyword&gt;&lt;keyword&gt;formulation&lt;/keyword&gt;&lt;/keywords&gt;&lt;dates&gt;&lt;year&gt;2011&lt;/year&gt;&lt;pub-dates&gt;&lt;date&gt;2011/08/01&lt;/date&gt;&lt;/pub-dates&gt;&lt;/dates&gt;&lt;publisher&gt;John Wiley &amp;amp; Sons, Ltd&lt;/publisher&gt;&lt;isbn&gt;0022-3549&lt;/isbn&gt;&lt;urls&gt;&lt;related-urls&gt;&lt;url&gt;https://doi.org/10.1002/jps.22541&lt;/url&gt;&lt;/related-urls&gt;&lt;/urls&gt;&lt;electronic-resource-num&gt;10.1002/jps.22541&lt;/electronic-resource-num&gt;&lt;access-date&gt;2019/04/29&lt;/access-date&gt;&lt;/record&gt;&lt;/Cite&gt;&lt;/EndNote&gt;</w:instrText>
      </w:r>
      <w:r w:rsidR="00FD6F7A">
        <w:fldChar w:fldCharType="separate"/>
      </w:r>
      <w:r w:rsidR="00E05BAF">
        <w:rPr>
          <w:noProof/>
        </w:rPr>
        <w:t>[</w:t>
      </w:r>
      <w:hyperlink w:anchor="_ENREF_7" w:tooltip="Zhao, 2011 #1" w:history="1">
        <w:r w:rsidR="009666CD" w:rsidRPr="009666CD">
          <w:rPr>
            <w:rStyle w:val="Hyperlink"/>
          </w:rPr>
          <w:t>7</w:t>
        </w:r>
      </w:hyperlink>
      <w:r w:rsidR="00E05BAF">
        <w:rPr>
          <w:noProof/>
        </w:rPr>
        <w:t>]</w:t>
      </w:r>
      <w:r w:rsidR="00FD6F7A">
        <w:fldChar w:fldCharType="end"/>
      </w:r>
      <w:r>
        <w:t xml:space="preserve">. </w:t>
      </w:r>
      <w:r w:rsidR="005E4ACA">
        <w:t>The miscibility of drug and polymer can be predicted based on the</w:t>
      </w:r>
      <w:r w:rsidR="005351C8">
        <w:t xml:space="preserve"> phase diagram and the</w:t>
      </w:r>
      <w:r w:rsidR="005E4ACA">
        <w:t xml:space="preserve"> Flory-Huggins theory’s interaction parameter. </w:t>
      </w:r>
      <w:r w:rsidR="005351C8">
        <w:t>However, most used method</w:t>
      </w:r>
      <w:r w:rsidR="00293759">
        <w:t>s</w:t>
      </w:r>
      <w:r w:rsidR="005351C8">
        <w:t xml:space="preserve"> failed to predict the composition effects on the miscibility behavior</w:t>
      </w:r>
      <w:r w:rsidR="005351C8" w:rsidRPr="000A113C">
        <w:t xml:space="preserve"> </w:t>
      </w:r>
      <w:r w:rsidR="005351C8" w:rsidRPr="000A113C">
        <w:fldChar w:fldCharType="begin"/>
      </w:r>
      <w:r w:rsidR="005351C8">
        <w:instrText xml:space="preserve"> ADDIN EN.CITE &lt;EndNote&gt;&lt;Cite&gt;&lt;Author&gt;Lindvig&lt;/Author&gt;&lt;Year&gt;2002&lt;/Year&gt;&lt;RecNum&gt;4776&lt;/RecNum&gt;&lt;DisplayText&gt;[8]&lt;/DisplayText&gt;&lt;record&gt;&lt;rec-number&gt;4776&lt;/rec-number&gt;&lt;foreign-keys&gt;&lt;key app="EN" db-id="edxfspa0hevet1epx2qxp5rdfxf99ae220dv" timestamp="1469873221"&gt;4776&lt;/key&gt;&lt;key app="ENWeb" db-id=""&gt;0&lt;/key&gt;&lt;/foreign-keys&gt;&lt;ref-type name="Journal Article"&gt;17&lt;/ref-type&gt;&lt;contributors&gt;&lt;authors&gt;&lt;author&gt;Lindvig, Thomas&lt;/author&gt;&lt;author&gt;Michelsen, Michael L.&lt;/author&gt;&lt;author&gt;Kontogeorgis, Georgios M.&lt;/author&gt;&lt;/authors&gt;&lt;/contributors&gt;&lt;titles&gt;&lt;title&gt;A Flory–Huggins model based on the Hansen solubility parameters&lt;/title&gt;&lt;secondary-title&gt;Fluid Phase Equilibria&lt;/secondary-title&gt;&lt;/titles&gt;&lt;periodical&gt;&lt;full-title&gt;Fluid Phase Equilibria&lt;/full-title&gt;&lt;/periodical&gt;&lt;pages&gt;247-260&lt;/pages&gt;&lt;volume&gt;203&lt;/volume&gt;&lt;number&gt;1-2&lt;/number&gt;&lt;dates&gt;&lt;year&gt;2002&lt;/year&gt;&lt;/dates&gt;&lt;isbn&gt;03783812&lt;/isbn&gt;&lt;urls&gt;&lt;/urls&gt;&lt;electronic-resource-num&gt;10.1016/s0378-3812(02)00184-x&lt;/electronic-resource-num&gt;&lt;research-notes&gt;Estrogens2-Archived&amp;#xD;A New Flory–Huggins model&lt;/research-notes&gt;&lt;/record&gt;&lt;/Cite&gt;&lt;/EndNote&gt;</w:instrText>
      </w:r>
      <w:r w:rsidR="005351C8" w:rsidRPr="000A113C">
        <w:fldChar w:fldCharType="separate"/>
      </w:r>
      <w:r w:rsidR="005351C8">
        <w:rPr>
          <w:noProof/>
        </w:rPr>
        <w:t>[</w:t>
      </w:r>
      <w:hyperlink w:anchor="_ENREF_8" w:tooltip="Lindvig, 2002 #4776" w:history="1">
        <w:r w:rsidR="009666CD" w:rsidRPr="009666CD">
          <w:rPr>
            <w:rStyle w:val="Hyperlink"/>
          </w:rPr>
          <w:t>8</w:t>
        </w:r>
      </w:hyperlink>
      <w:r w:rsidR="005351C8">
        <w:rPr>
          <w:noProof/>
        </w:rPr>
        <w:t>]</w:t>
      </w:r>
      <w:r w:rsidR="005351C8" w:rsidRPr="000A113C">
        <w:fldChar w:fldCharType="end"/>
      </w:r>
      <w:r w:rsidR="005351C8">
        <w:t>, which should be noted.</w:t>
      </w:r>
      <w:r w:rsidR="00CE7008">
        <w:t xml:space="preserve"> We recently introduced an improved modification for composition-dependent </w:t>
      </w:r>
      <w:r w:rsidR="00CE7008" w:rsidRPr="00CE7008">
        <w:t>Flory–Huggins interaction parameter</w:t>
      </w:r>
      <w:r w:rsidR="00CE7008">
        <w:t xml:space="preserve"> as given in </w:t>
      </w:r>
      <w:r w:rsidR="00CE7008" w:rsidRPr="000A113C">
        <w:t xml:space="preserve">Eq. </w:t>
      </w:r>
      <w:r w:rsidR="00CE7008" w:rsidRPr="000A113C">
        <w:fldChar w:fldCharType="begin"/>
      </w:r>
      <w:r w:rsidR="00CE7008" w:rsidRPr="000A113C">
        <w:instrText xml:space="preserve"> REF _Ref466886639 \h  \* MERGEFORMAT </w:instrText>
      </w:r>
      <w:r w:rsidR="00CE7008" w:rsidRPr="000A113C">
        <w:fldChar w:fldCharType="separate"/>
      </w:r>
      <w:r w:rsidR="003301E1">
        <w:t>1</w:t>
      </w:r>
      <w:r w:rsidR="00CE7008" w:rsidRPr="000A113C">
        <w:fldChar w:fldCharType="end"/>
      </w:r>
      <w:r w:rsidR="003A4F74">
        <w:t xml:space="preserve"> where </w:t>
      </w:r>
      <w:r w:rsidR="003A4F74" w:rsidRPr="0025781F">
        <w:rPr>
          <w:position w:val="-12"/>
        </w:rPr>
        <w:object w:dxaOrig="220" w:dyaOrig="360" w14:anchorId="39D95F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8pt" o:ole="">
            <v:imagedata r:id="rId8" o:title=""/>
          </v:shape>
          <o:OLEObject Type="Embed" ProgID="Equation.DSMT4" ShapeID="_x0000_i1025" DrawAspect="Content" ObjectID="_1648580600" r:id="rId9"/>
        </w:object>
      </w:r>
      <w:r w:rsidR="003A4F74">
        <w:t xml:space="preserve">is the volume fraction, </w:t>
      </w:r>
      <w:r w:rsidR="003A4F74" w:rsidRPr="00FC286C">
        <w:rPr>
          <w:position w:val="-12"/>
        </w:rPr>
        <w:object w:dxaOrig="260" w:dyaOrig="360" w14:anchorId="6329BC07">
          <v:shape id="_x0000_i1026" type="#_x0000_t75" style="width:12.75pt;height:18.75pt" o:ole="">
            <v:imagedata r:id="rId10" o:title=""/>
          </v:shape>
          <o:OLEObject Type="Embed" ProgID="Equation.DSMT4" ShapeID="_x0000_i1026" DrawAspect="Content" ObjectID="_1648580601" r:id="rId11"/>
        </w:object>
      </w:r>
      <w:r w:rsidR="003A4F74" w:rsidRPr="00FC286C">
        <w:t xml:space="preserve"> the reduced density of</w:t>
      </w:r>
      <w:r w:rsidR="003A4F74">
        <w:t xml:space="preserve"> </w:t>
      </w:r>
      <w:r w:rsidR="003A4F74" w:rsidRPr="00FC286C">
        <w:t>component</w:t>
      </w:r>
      <w:r w:rsidR="003A4F74" w:rsidRPr="00FC286C">
        <w:rPr>
          <w:position w:val="-6"/>
        </w:rPr>
        <w:object w:dxaOrig="139" w:dyaOrig="260" w14:anchorId="531F3514">
          <v:shape id="_x0000_i1027" type="#_x0000_t75" style="width:6.75pt;height:12.75pt" o:ole="">
            <v:imagedata r:id="rId12" o:title=""/>
          </v:shape>
          <o:OLEObject Type="Embed" ProgID="Equation.DSMT4" ShapeID="_x0000_i1027" DrawAspect="Content" ObjectID="_1648580602" r:id="rId13"/>
        </w:object>
      </w:r>
      <w:r w:rsidR="003A4F74">
        <w:t xml:space="preserve">in </w:t>
      </w:r>
      <w:r w:rsidR="003A4F74" w:rsidRPr="00B518C1">
        <w:t>Sanchez and Lacombe</w:t>
      </w:r>
      <w:r w:rsidR="003A4F74">
        <w:t xml:space="preserve">’s </w:t>
      </w:r>
      <w:r w:rsidR="003A4F74" w:rsidRPr="00B518C1">
        <w:t>lattice-fluid</w:t>
      </w:r>
      <w:r w:rsidR="003A4F74">
        <w:t xml:space="preserve"> theory,</w:t>
      </w:r>
      <w:r w:rsidR="003A4F74" w:rsidRPr="00FC286C">
        <w:t xml:space="preserve"> </w:t>
      </w:r>
      <w:r w:rsidR="003A4F74" w:rsidRPr="00FC286C">
        <w:rPr>
          <w:position w:val="-12"/>
        </w:rPr>
        <w:object w:dxaOrig="300" w:dyaOrig="360" w14:anchorId="6F44269D">
          <v:shape id="_x0000_i1028" type="#_x0000_t75" style="width:15pt;height:18.75pt" o:ole="">
            <v:imagedata r:id="rId14" o:title=""/>
          </v:shape>
          <o:OLEObject Type="Embed" ProgID="Equation.DSMT4" ShapeID="_x0000_i1028" DrawAspect="Content" ObjectID="_1648580603" r:id="rId15"/>
        </w:object>
      </w:r>
      <w:r w:rsidR="003A4F74" w:rsidRPr="00FC286C">
        <w:t xml:space="preserve"> the number of segments in the hard-core volume</w:t>
      </w:r>
      <w:r w:rsidR="003A4F74">
        <w:t xml:space="preserve"> </w:t>
      </w:r>
      <w:r w:rsidR="003A4F74" w:rsidRPr="00FC286C">
        <w:t>(</w:t>
      </w:r>
      <w:r w:rsidR="003A4F74" w:rsidRPr="00FC286C">
        <w:rPr>
          <w:position w:val="-12"/>
        </w:rPr>
        <w:object w:dxaOrig="220" w:dyaOrig="360" w14:anchorId="248A59E3">
          <v:shape id="_x0000_i1029" type="#_x0000_t75" style="width:11.25pt;height:18.75pt" o:ole="">
            <v:imagedata r:id="rId16" o:title=""/>
          </v:shape>
          <o:OLEObject Type="Embed" ProgID="Equation.DSMT4" ShapeID="_x0000_i1029" DrawAspect="Content" ObjectID="_1648580604" r:id="rId17"/>
        </w:object>
      </w:r>
      <w:r w:rsidR="003A4F74" w:rsidRPr="00FC286C">
        <w:t>) of component</w:t>
      </w:r>
      <w:r w:rsidR="003A4F74" w:rsidRPr="00FC286C">
        <w:rPr>
          <w:position w:val="-6"/>
        </w:rPr>
        <w:object w:dxaOrig="139" w:dyaOrig="260" w14:anchorId="6AA70EE3">
          <v:shape id="_x0000_i1030" type="#_x0000_t75" style="width:6.75pt;height:12.75pt" o:ole="">
            <v:imagedata r:id="rId12" o:title=""/>
          </v:shape>
          <o:OLEObject Type="Embed" ProgID="Equation.DSMT4" ShapeID="_x0000_i1030" DrawAspect="Content" ObjectID="_1648580605" r:id="rId18"/>
        </w:object>
      </w:r>
      <w:r w:rsidR="003A4F74">
        <w:t xml:space="preserve">, </w:t>
      </w:r>
      <w:r w:rsidR="003A4F74" w:rsidRPr="00FC286C">
        <w:rPr>
          <w:position w:val="-14"/>
        </w:rPr>
        <w:object w:dxaOrig="360" w:dyaOrig="380" w14:anchorId="25F307DD">
          <v:shape id="_x0000_i1031" type="#_x0000_t75" style="width:18.75pt;height:18.75pt" o:ole="">
            <v:imagedata r:id="rId19" o:title=""/>
          </v:shape>
          <o:OLEObject Type="Embed" ProgID="Equation.DSMT4" ShapeID="_x0000_i1031" DrawAspect="Content" ObjectID="_1648580606" r:id="rId20"/>
        </w:object>
      </w:r>
      <w:r w:rsidR="003A4F74" w:rsidRPr="00FC286C">
        <w:t>the hard-core solubility parameter at</w:t>
      </w:r>
      <w:r w:rsidR="003A4F74">
        <w:t xml:space="preserve"> 298</w:t>
      </w:r>
      <w:r w:rsidR="003A4F74" w:rsidRPr="00FC286C">
        <w:t xml:space="preserve"> K</w:t>
      </w:r>
      <w:r w:rsidR="003A4F74">
        <w:t xml:space="preserve"> and </w:t>
      </w:r>
      <w:r w:rsidR="003A4F74" w:rsidRPr="003A4F74">
        <w:rPr>
          <w:position w:val="-12"/>
        </w:rPr>
        <w:object w:dxaOrig="240" w:dyaOrig="360" w14:anchorId="76DDFB81">
          <v:shape id="_x0000_i1032" type="#_x0000_t75" style="width:12.75pt;height:18pt" o:ole="">
            <v:imagedata r:id="rId21" o:title=""/>
          </v:shape>
          <o:OLEObject Type="Embed" ProgID="Equation.DSMT4" ShapeID="_x0000_i1032" DrawAspect="Content" ObjectID="_1648580607" r:id="rId22"/>
        </w:object>
      </w:r>
      <w:r w:rsidR="003A4F74">
        <w:t xml:space="preserve">is </w:t>
      </w:r>
      <w:r w:rsidR="003A4F74" w:rsidRPr="00FC286C">
        <w:t>the hard-core solubility parameter at</w:t>
      </w:r>
      <w:r w:rsidR="003A4F74">
        <w:t xml:space="preserve"> temperature of concern</w:t>
      </w:r>
      <w:r w:rsidR="003A4F74" w:rsidRPr="003A4F74">
        <w:t xml:space="preserve"> </w:t>
      </w:r>
      <w:r w:rsidR="003A4F74">
        <w:t xml:space="preserve">(for model details refer to Ref. </w:t>
      </w:r>
      <w:r w:rsidR="003A4F74" w:rsidRPr="000A113C">
        <w:fldChar w:fldCharType="begin"/>
      </w:r>
      <w:r w:rsidR="003A4F74">
        <w:instrText xml:space="preserve"> ADDIN EN.CITE &lt;EndNote&gt;&lt;Cite&gt;&lt;Author&gt;Khansary&lt;/Author&gt;&lt;Year&gt;2016&lt;/Year&gt;&lt;RecNum&gt;110&lt;/RecNum&gt;&lt;DisplayText&gt;[9]&lt;/DisplayText&gt;&lt;record&gt;&lt;rec-number&gt;110&lt;/rec-number&gt;&lt;foreign-keys&gt;&lt;key app="EN" db-id="r2p5rr9s7p9xfpe9vz2vwfa7p0eszdv5tvat" timestamp="1480406010"&gt;110&lt;/key&gt;&lt;key app="ENWeb" db-id=""&gt;0&lt;/key&gt;&lt;/foreign-keys&gt;&lt;ref-type name="Journal Article"&gt;17&lt;/ref-type&gt;&lt;contributors&gt;&lt;authors&gt;&lt;author&gt;Khansary, Milad Asgarpour&lt;/author&gt;&lt;/authors&gt;&lt;/contributors&gt;&lt;titles&gt;&lt;title&gt;Vapor pressure and Flory-Huggins interaction parameters in binary polymeric solutions&lt;/title&gt;&lt;secondary-title&gt;Korean Journal of Chemical Engineering&lt;/secondary-title&gt;&lt;/titles&gt;&lt;periodical&gt;&lt;full-title&gt;Korean Journal of Chemical Engineering&lt;/full-title&gt;&lt;/periodical&gt;&lt;pages&gt;1402-1407&lt;/pages&gt;&lt;volume&gt;33&lt;/volume&gt;&lt;number&gt;4&lt;/number&gt;&lt;dates&gt;&lt;year&gt;2016&lt;/year&gt;&lt;/dates&gt;&lt;isbn&gt;0256-1115&amp;#xD;1975-7220&lt;/isbn&gt;&lt;urls&gt;&lt;/urls&gt;&lt;electronic-resource-num&gt;10.1007/s11814-015-0277-6&lt;/electronic-resource-num&gt;&lt;research-notes&gt;pSat Xij in Polymeric Solutions&lt;/research-notes&gt;&lt;/record&gt;&lt;/Cite&gt;&lt;/EndNote&gt;</w:instrText>
      </w:r>
      <w:r w:rsidR="003A4F74" w:rsidRPr="000A113C">
        <w:fldChar w:fldCharType="separate"/>
      </w:r>
      <w:r w:rsidR="003A4F74">
        <w:rPr>
          <w:noProof/>
        </w:rPr>
        <w:t>[</w:t>
      </w:r>
      <w:hyperlink w:anchor="_ENREF_9" w:tooltip="Khansary, 2016 #110" w:history="1">
        <w:r w:rsidR="009666CD" w:rsidRPr="009666CD">
          <w:rPr>
            <w:rStyle w:val="Hyperlink"/>
          </w:rPr>
          <w:t>9</w:t>
        </w:r>
      </w:hyperlink>
      <w:r w:rsidR="003A4F74">
        <w:rPr>
          <w:noProof/>
        </w:rPr>
        <w:t>]</w:t>
      </w:r>
      <w:r w:rsidR="003A4F74" w:rsidRPr="000A113C">
        <w:fldChar w:fldCharType="end"/>
      </w:r>
      <w:r w:rsidR="003A4F74">
        <w:t xml:space="preserve">). </w:t>
      </w:r>
      <w:r w:rsidR="00EC6705">
        <w:t xml:space="preserve">Subscript 1 refers to drug. </w:t>
      </w:r>
    </w:p>
    <w:tbl>
      <w:tblPr>
        <w:tblpPr w:leftFromText="180" w:rightFromText="180" w:vertAnchor="text" w:horzAnchor="margin" w:tblpX="-72" w:tblpY="65"/>
        <w:tblW w:w="9090" w:type="dxa"/>
        <w:tblLayout w:type="fixed"/>
        <w:tblLook w:val="04A0" w:firstRow="1" w:lastRow="0" w:firstColumn="1" w:lastColumn="0" w:noHBand="0" w:noVBand="1"/>
      </w:tblPr>
      <w:tblGrid>
        <w:gridCol w:w="8460"/>
        <w:gridCol w:w="630"/>
      </w:tblGrid>
      <w:tr w:rsidR="00CE7008" w:rsidRPr="000A113C" w14:paraId="385D8DDE" w14:textId="77777777" w:rsidTr="003A4F74">
        <w:tc>
          <w:tcPr>
            <w:tcW w:w="8460" w:type="dxa"/>
            <w:vAlign w:val="center"/>
          </w:tcPr>
          <w:p w14:paraId="122181FD" w14:textId="26321724" w:rsidR="00CE7008" w:rsidRPr="000A113C" w:rsidRDefault="00274915" w:rsidP="003A4F74">
            <w:pPr>
              <w:jc w:val="left"/>
            </w:pPr>
            <w:r w:rsidRPr="00202D36">
              <w:rPr>
                <w:position w:val="-56"/>
              </w:rPr>
              <w:object w:dxaOrig="6420" w:dyaOrig="1240" w14:anchorId="0C36171E">
                <v:shape id="_x0000_i1033" type="#_x0000_t75" style="width:321pt;height:62.25pt" o:ole="">
                  <v:imagedata r:id="rId23" o:title=""/>
                </v:shape>
                <o:OLEObject Type="Embed" ProgID="Equation.DSMT4" ShapeID="_x0000_i1033" DrawAspect="Content" ObjectID="_1648580608" r:id="rId24"/>
              </w:object>
            </w:r>
          </w:p>
        </w:tc>
        <w:tc>
          <w:tcPr>
            <w:tcW w:w="630" w:type="dxa"/>
            <w:vAlign w:val="center"/>
          </w:tcPr>
          <w:p w14:paraId="2A848135" w14:textId="09BEB991" w:rsidR="00CE7008" w:rsidRPr="000A113C" w:rsidRDefault="009B63D9" w:rsidP="003A4F74">
            <w:pPr>
              <w:jc w:val="right"/>
            </w:pPr>
            <w:fldSimple w:instr=" SEQ Equation \* ARABIC ">
              <w:bookmarkStart w:id="7" w:name="_Ref466886639"/>
              <w:r w:rsidR="003301E1">
                <w:rPr>
                  <w:noProof/>
                </w:rPr>
                <w:t>1</w:t>
              </w:r>
              <w:bookmarkEnd w:id="7"/>
            </w:fldSimple>
          </w:p>
        </w:tc>
      </w:tr>
    </w:tbl>
    <w:p w14:paraId="1FAA8387" w14:textId="718771CE" w:rsidR="00D66382" w:rsidRDefault="003A4F74" w:rsidP="00503A4D">
      <w:r>
        <w:t>The importance of this interaction parameter</w:t>
      </w:r>
      <w:r w:rsidR="00293759">
        <w:t xml:space="preserve"> is</w:t>
      </w:r>
      <w:r>
        <w:t xml:space="preserve"> due to the possibility of getting some insight regarding </w:t>
      </w:r>
      <w:r w:rsidR="008B19DE">
        <w:t xml:space="preserve">miscibility based on its value. </w:t>
      </w:r>
      <w:r w:rsidR="00D66382">
        <w:t xml:space="preserve">In practice, this interaction parameter is directly related to the enthalpy of mixing, and thus considering favorable entropy of mixing, its non-positive (negative or nearly zero) values would indicate </w:t>
      </w:r>
      <w:r w:rsidR="00D66382" w:rsidRPr="005E4ACA">
        <w:t>complete miscibility</w:t>
      </w:r>
      <w:r w:rsidR="00D66382" w:rsidRPr="005C586D">
        <w:rPr>
          <w:color w:val="000000" w:themeColor="text1"/>
        </w:rPr>
        <w:t xml:space="preserve"> </w:t>
      </w:r>
      <w:r w:rsidR="00D66382">
        <w:rPr>
          <w:color w:val="000000" w:themeColor="text1"/>
        </w:rPr>
        <w:t>and</w:t>
      </w:r>
      <w:r w:rsidR="00D66382" w:rsidRPr="00052D61">
        <w:rPr>
          <w:color w:val="000000" w:themeColor="text1"/>
        </w:rPr>
        <w:t xml:space="preserve"> </w:t>
      </w:r>
      <w:r w:rsidR="00D66382">
        <w:rPr>
          <w:color w:val="000000" w:themeColor="text1"/>
        </w:rPr>
        <w:t xml:space="preserve">one </w:t>
      </w:r>
      <w:r w:rsidR="00D66382" w:rsidRPr="00052D61">
        <w:rPr>
          <w:color w:val="000000" w:themeColor="text1"/>
        </w:rPr>
        <w:t>phase formation</w:t>
      </w:r>
      <w:r w:rsidR="00D66382">
        <w:t xml:space="preserve">. </w:t>
      </w:r>
      <w:r w:rsidR="00D66382">
        <w:rPr>
          <w:color w:val="000000" w:themeColor="text1"/>
        </w:rPr>
        <w:t xml:space="preserve">It shows </w:t>
      </w:r>
      <w:r w:rsidR="00D66382" w:rsidRPr="00FE0BD6">
        <w:rPr>
          <w:color w:val="000000" w:themeColor="text1"/>
        </w:rPr>
        <w:t>adhesive interaction between drug and polymer</w:t>
      </w:r>
      <w:r w:rsidR="00D66382">
        <w:rPr>
          <w:color w:val="000000" w:themeColor="text1"/>
        </w:rPr>
        <w:t xml:space="preserve"> </w:t>
      </w:r>
      <w:r w:rsidR="00D66382" w:rsidRPr="00FE0BD6">
        <w:rPr>
          <w:color w:val="000000" w:themeColor="text1"/>
        </w:rPr>
        <w:t>molecules</w:t>
      </w:r>
      <w:r w:rsidR="00D66382">
        <w:rPr>
          <w:color w:val="000000" w:themeColor="text1"/>
        </w:rPr>
        <w:t xml:space="preserve"> which </w:t>
      </w:r>
      <w:r w:rsidR="00D66382" w:rsidRPr="00FE0BD6">
        <w:rPr>
          <w:color w:val="000000" w:themeColor="text1"/>
        </w:rPr>
        <w:t>would facilitate mixing</w:t>
      </w:r>
      <w:r w:rsidR="00172EC2">
        <w:rPr>
          <w:color w:val="000000" w:themeColor="text1"/>
        </w:rPr>
        <w:t xml:space="preserve">. </w:t>
      </w:r>
      <w:r w:rsidR="00D66382">
        <w:t>On the other</w:t>
      </w:r>
      <w:r w:rsidR="00503A4D">
        <w:t xml:space="preserve"> hand</w:t>
      </w:r>
      <w:r w:rsidR="00D66382">
        <w:t>, positive values show the a</w:t>
      </w:r>
      <w:r w:rsidR="00D66382" w:rsidRPr="00052D61">
        <w:rPr>
          <w:color w:val="000000" w:themeColor="text1"/>
        </w:rPr>
        <w:t xml:space="preserve">ggregation of similar particles by themselves </w:t>
      </w:r>
      <w:r w:rsidR="00D66382">
        <w:rPr>
          <w:color w:val="000000" w:themeColor="text1"/>
        </w:rPr>
        <w:t xml:space="preserve">which may end up to emerge of </w:t>
      </w:r>
      <w:r w:rsidR="00D66382" w:rsidRPr="00052D61">
        <w:rPr>
          <w:color w:val="000000" w:themeColor="text1"/>
        </w:rPr>
        <w:t xml:space="preserve">two </w:t>
      </w:r>
      <w:r w:rsidR="00D66382">
        <w:rPr>
          <w:color w:val="000000" w:themeColor="text1"/>
        </w:rPr>
        <w:t xml:space="preserve">separate </w:t>
      </w:r>
      <w:r w:rsidR="00D66382" w:rsidRPr="00052D61">
        <w:rPr>
          <w:color w:val="000000" w:themeColor="text1"/>
        </w:rPr>
        <w:t>phases</w:t>
      </w:r>
      <w:r w:rsidR="00D66382" w:rsidRPr="00D66382">
        <w:rPr>
          <w:color w:val="000000" w:themeColor="text1"/>
        </w:rPr>
        <w:t xml:space="preserve"> </w:t>
      </w:r>
      <w:r w:rsidR="00D66382">
        <w:rPr>
          <w:color w:val="000000" w:themeColor="text1"/>
        </w:rPr>
        <w:t xml:space="preserve">at </w:t>
      </w:r>
      <w:r w:rsidR="00D66382" w:rsidRPr="00052D61">
        <w:rPr>
          <w:color w:val="000000" w:themeColor="text1"/>
        </w:rPr>
        <w:t xml:space="preserve">enough high value of </w:t>
      </w:r>
      <w:r w:rsidR="00D66382" w:rsidRPr="008B19DE">
        <w:rPr>
          <w:i/>
          <w:iCs/>
          <w:color w:val="000000" w:themeColor="text1"/>
        </w:rPr>
        <w:t>χ</w:t>
      </w:r>
      <w:r w:rsidR="00D66382">
        <w:rPr>
          <w:color w:val="000000" w:themeColor="text1"/>
        </w:rPr>
        <w:t xml:space="preserve">. </w:t>
      </w:r>
    </w:p>
    <w:p w14:paraId="6C8EFCB0" w14:textId="3B41A48C" w:rsidR="00CE7008" w:rsidRDefault="008A4675" w:rsidP="009666CD">
      <w:r>
        <w:rPr>
          <w:color w:val="000000" w:themeColor="text1"/>
        </w:rPr>
        <w:t>In addition, t</w:t>
      </w:r>
      <w:r w:rsidR="00CE7008">
        <w:rPr>
          <w:color w:val="000000" w:themeColor="text1"/>
        </w:rPr>
        <w:t>he</w:t>
      </w:r>
      <w:r w:rsidR="00CE7008" w:rsidRPr="00CE7008">
        <w:t xml:space="preserve"> </w:t>
      </w:r>
      <w:r w:rsidR="00CE7008" w:rsidRPr="00CE7008">
        <w:rPr>
          <w:color w:val="000000" w:themeColor="text1"/>
        </w:rPr>
        <w:t>free energy of mixing per unit volume</w:t>
      </w:r>
      <w:r w:rsidR="00CE7008">
        <w:rPr>
          <w:color w:val="000000" w:themeColor="text1"/>
        </w:rPr>
        <w:t xml:space="preserve">, </w:t>
      </w:r>
      <w:r w:rsidR="00CE7008" w:rsidRPr="0065020A">
        <w:t>Δ</w:t>
      </w:r>
      <w:r w:rsidR="00CE7008" w:rsidRPr="0065020A">
        <w:rPr>
          <w:i/>
          <w:iCs/>
        </w:rPr>
        <w:t>g</w:t>
      </w:r>
      <w:r w:rsidR="00CE7008" w:rsidRPr="0065020A">
        <w:rPr>
          <w:i/>
          <w:iCs/>
          <w:vertAlign w:val="subscript"/>
        </w:rPr>
        <w:t>m</w:t>
      </w:r>
      <w:r w:rsidR="00CE7008">
        <w:t xml:space="preserve"> </w:t>
      </w:r>
      <w:r w:rsidR="00274915">
        <w:t>(as given in Eq.</w:t>
      </w:r>
      <w:r w:rsidR="00274915" w:rsidRPr="00C62103">
        <w:t xml:space="preserve"> </w:t>
      </w:r>
      <w:r w:rsidR="00274915">
        <w:fldChar w:fldCharType="begin"/>
      </w:r>
      <w:r w:rsidR="00274915">
        <w:instrText xml:space="preserve"> REF _Ref421961476 \h </w:instrText>
      </w:r>
      <w:r w:rsidR="00274915">
        <w:fldChar w:fldCharType="separate"/>
      </w:r>
      <w:r w:rsidR="003301E1">
        <w:rPr>
          <w:noProof/>
        </w:rPr>
        <w:t>2</w:t>
      </w:r>
      <w:r w:rsidR="00274915">
        <w:fldChar w:fldCharType="end"/>
      </w:r>
      <w:r w:rsidR="00274915">
        <w:t xml:space="preserve">) </w:t>
      </w:r>
      <w:r w:rsidR="00CE7008">
        <w:t>vs. composition curves</w:t>
      </w:r>
      <w:r w:rsidR="00503A4D">
        <w:t xml:space="preserve">, themselves, </w:t>
      </w:r>
      <w:r w:rsidR="00CE7008">
        <w:t xml:space="preserve">can be used to identify regions of stability, metastability, and instability for a particular system </w:t>
      </w:r>
      <w:r w:rsidR="00CE7008" w:rsidRPr="00153778">
        <w:rPr>
          <w:lang w:bidi="fa-IR"/>
        </w:rPr>
        <w:fldChar w:fldCharType="begin"/>
      </w:r>
      <w:r w:rsidR="00633947">
        <w:rPr>
          <w:lang w:bidi="fa-IR"/>
        </w:rPr>
        <w:instrText xml:space="preserve"> ADDIN EN.CITE &lt;EndNote&gt;&lt;Cite&gt;&lt;Author&gt;Keshavarz&lt;/Author&gt;&lt;Year&gt;2015&lt;/Year&gt;&lt;RecNum&gt;1&lt;/RecNum&gt;&lt;DisplayText&gt;[10]&lt;/DisplayText&gt;&lt;record&gt;&lt;rec-number&gt;1&lt;/rec-number&gt;&lt;foreign-keys&gt;&lt;key app="EN" db-id="z0tzefdwq2d906e92atverxhv2zxw2z90pet" timestamp="1558560897"&gt;1&lt;/key&gt;&lt;/foreign-keys&gt;&lt;ref-type name="Journal Article"&gt;17&lt;/ref-type&gt;&lt;contributors&gt;&lt;authors&gt;&lt;author&gt;Keshavarz, Leila&lt;/author&gt;&lt;author&gt;Khansary, Milad Asgarpour&lt;/author&gt;&lt;author&gt;Shirazian, Saeed&lt;/author&gt;&lt;/authors&gt;&lt;/contributors&gt;&lt;titles&gt;&lt;title&gt;Phase diagram of ternary polymeric solutions containing nonsolvent/solvent/polymer: Theoretical calculation and experimental validation&lt;/title&gt;&lt;secondary-title&gt;Polymer&lt;/secondary-title&gt;&lt;/titles&gt;&lt;periodical&gt;&lt;full-title&gt;Polymer&lt;/full-title&gt;&lt;/periodical&gt;&lt;pages&gt;1-8&lt;/pages&gt;&lt;volume&gt;73&lt;/volume&gt;&lt;keywords&gt;&lt;keyword&gt;Membranes modeling&lt;/keyword&gt;&lt;keyword&gt;Phase inversion&lt;/keyword&gt;&lt;keyword&gt;Thermodynamic phase diagram&lt;/keyword&gt;&lt;/keywords&gt;&lt;dates&gt;&lt;year&gt;2015&lt;/year&gt;&lt;pub-dates&gt;&lt;date&gt;2015/09/02/&lt;/date&gt;&lt;/pub-dates&gt;&lt;/dates&gt;&lt;isbn&gt;0032-3861&lt;/isbn&gt;&lt;urls&gt;&lt;related-urls&gt;&lt;url&gt;http://www.sciencedirect.com/science/article/pii/S0032386115301087&lt;/url&gt;&lt;/related-urls&gt;&lt;/urls&gt;&lt;electronic-resource-num&gt;https://doi.org/10.1016/j.polymer.2015.07.027&lt;/electronic-resource-num&gt;&lt;/record&gt;&lt;/Cite&gt;&lt;/EndNote&gt;</w:instrText>
      </w:r>
      <w:r w:rsidR="00CE7008" w:rsidRPr="00153778">
        <w:rPr>
          <w:lang w:bidi="fa-IR"/>
        </w:rPr>
        <w:fldChar w:fldCharType="separate"/>
      </w:r>
      <w:r w:rsidR="003A4F74">
        <w:rPr>
          <w:noProof/>
          <w:lang w:bidi="fa-IR"/>
        </w:rPr>
        <w:t>[</w:t>
      </w:r>
      <w:hyperlink w:anchor="_ENREF_10" w:tooltip="Keshavarz, 2015 #1" w:history="1">
        <w:r w:rsidR="009666CD" w:rsidRPr="009666CD">
          <w:rPr>
            <w:rStyle w:val="Hyperlink"/>
          </w:rPr>
          <w:t>10</w:t>
        </w:r>
      </w:hyperlink>
      <w:r w:rsidR="003A4F74">
        <w:rPr>
          <w:noProof/>
          <w:lang w:bidi="fa-IR"/>
        </w:rPr>
        <w:t>]</w:t>
      </w:r>
      <w:r w:rsidR="00CE7008" w:rsidRPr="00153778">
        <w:rPr>
          <w:lang w:bidi="fa-IR"/>
        </w:rPr>
        <w:fldChar w:fldCharType="end"/>
      </w:r>
      <w:r w:rsidR="00CE7008">
        <w:t xml:space="preserve">. Generally, negative </w:t>
      </w:r>
      <w:r w:rsidR="00CE7008" w:rsidRPr="0065020A">
        <w:t>Δ</w:t>
      </w:r>
      <w:r w:rsidR="00CE7008" w:rsidRPr="0065020A">
        <w:rPr>
          <w:i/>
          <w:iCs/>
        </w:rPr>
        <w:t>g</w:t>
      </w:r>
      <w:r w:rsidR="00CE7008" w:rsidRPr="0065020A">
        <w:rPr>
          <w:i/>
          <w:iCs/>
          <w:vertAlign w:val="subscript"/>
        </w:rPr>
        <w:t>m</w:t>
      </w:r>
      <w:r w:rsidR="00CE7008">
        <w:t xml:space="preserve"> indicates spontaneous mixing, which however won’t essentially result in a single-phase system. In fact, even in such a case (negative </w:t>
      </w:r>
      <w:r w:rsidR="00CE7008" w:rsidRPr="0065020A">
        <w:t>Δ</w:t>
      </w:r>
      <w:r w:rsidR="00CE7008" w:rsidRPr="0065020A">
        <w:rPr>
          <w:i/>
          <w:iCs/>
        </w:rPr>
        <w:t>g</w:t>
      </w:r>
      <w:r w:rsidR="00CE7008" w:rsidRPr="0065020A">
        <w:rPr>
          <w:i/>
          <w:iCs/>
          <w:vertAlign w:val="subscript"/>
        </w:rPr>
        <w:t>m</w:t>
      </w:r>
      <w:r w:rsidR="00CE7008">
        <w:t xml:space="preserve">), phase separation still may occur if there’s room for system to lower its free energy by dividing into two phases. The boundary between stable and metastable regions is </w:t>
      </w:r>
      <w:r w:rsidR="00503A4D">
        <w:t xml:space="preserve">known as </w:t>
      </w:r>
      <w:r w:rsidR="00CE7008">
        <w:t>binodal curve, which</w:t>
      </w:r>
      <w:r w:rsidR="00CE7008" w:rsidRPr="00153778">
        <w:t xml:space="preserve"> represent</w:t>
      </w:r>
      <w:r w:rsidR="00CE7008">
        <w:t>s</w:t>
      </w:r>
      <w:r w:rsidR="00CE7008" w:rsidRPr="00153778">
        <w:t xml:space="preserve"> the local </w:t>
      </w:r>
      <w:r w:rsidR="00CE7008">
        <w:t xml:space="preserve">thermodynamic equilibrium. </w:t>
      </w:r>
      <w:r w:rsidR="00471BED">
        <w:t xml:space="preserve">Below the equilibrium composition of the two components i.e. within binodal boundary, the free energy of mixing is less than zero and phase separation is thermodynamically not favorable. </w:t>
      </w:r>
      <w:r w:rsidR="00293759">
        <w:t xml:space="preserve">Binodal boundary resembles compositions </w:t>
      </w:r>
      <w:r w:rsidR="00CE7008" w:rsidRPr="00153778">
        <w:rPr>
          <w:lang w:bidi="fa-IR"/>
        </w:rPr>
        <w:t xml:space="preserve">that the </w:t>
      </w:r>
      <w:r w:rsidR="00CE7008">
        <w:rPr>
          <w:lang w:bidi="fa-IR"/>
        </w:rPr>
        <w:t xml:space="preserve">first </w:t>
      </w:r>
      <w:r w:rsidR="00CE7008" w:rsidRPr="00153778">
        <w:rPr>
          <w:lang w:bidi="fa-IR"/>
        </w:rPr>
        <w:t>derivative of</w:t>
      </w:r>
      <w:r w:rsidR="00CE7008" w:rsidRPr="00153778">
        <w:rPr>
          <w:rFonts w:eastAsia="Times New Roman"/>
          <w:position w:val="-12"/>
        </w:rPr>
        <w:object w:dxaOrig="460" w:dyaOrig="360" w14:anchorId="3173014B">
          <v:shape id="_x0000_i1034" type="#_x0000_t75" style="width:22.5pt;height:18.75pt" o:ole="">
            <v:imagedata r:id="rId25" o:title=""/>
          </v:shape>
          <o:OLEObject Type="Embed" ProgID="Equation.DSMT4" ShapeID="_x0000_i1034" DrawAspect="Content" ObjectID="_1648580609" r:id="rId26"/>
        </w:object>
      </w:r>
      <w:r w:rsidR="00CE7008" w:rsidRPr="00153778">
        <w:rPr>
          <w:rFonts w:eastAsia="Times New Roman"/>
        </w:rPr>
        <w:t>,</w:t>
      </w:r>
      <w:r w:rsidR="00CE7008" w:rsidRPr="00153778">
        <w:rPr>
          <w:lang w:bidi="fa-IR"/>
        </w:rPr>
        <w:t xml:space="preserve"> with respect to the composition (in terms of volume fraction) at constant temperature and pressure </w:t>
      </w:r>
      <w:r w:rsidR="00293759">
        <w:rPr>
          <w:lang w:bidi="fa-IR"/>
        </w:rPr>
        <w:t xml:space="preserve">is </w:t>
      </w:r>
      <w:r w:rsidR="00CE7008">
        <w:rPr>
          <w:lang w:bidi="fa-IR"/>
        </w:rPr>
        <w:t>zero (</w:t>
      </w:r>
      <w:r w:rsidR="00CE7008" w:rsidRPr="00CB5E43">
        <w:rPr>
          <w:position w:val="-12"/>
        </w:rPr>
        <w:object w:dxaOrig="1400" w:dyaOrig="360" w14:anchorId="24057210">
          <v:shape id="_x0000_i1035" type="#_x0000_t75" style="width:69.75pt;height:18pt" o:ole="">
            <v:imagedata r:id="rId27" o:title=""/>
          </v:shape>
          <o:OLEObject Type="Embed" ProgID="Equation.DSMT4" ShapeID="_x0000_i1035" DrawAspect="Content" ObjectID="_1648580610" r:id="rId28"/>
        </w:object>
      </w:r>
      <w:r w:rsidR="00CE7008" w:rsidRPr="00CB5E43">
        <w:rPr>
          <w:lang w:bidi="fa-IR"/>
        </w:rPr>
        <w:t>).</w:t>
      </w:r>
      <w:r w:rsidR="00CE7008">
        <w:rPr>
          <w:lang w:bidi="fa-IR"/>
        </w:rPr>
        <w:t xml:space="preserve"> Alternatively, for determination of binodal curve, the </w:t>
      </w:r>
      <w:r w:rsidR="00CE7008" w:rsidRPr="00153778">
        <w:t xml:space="preserve">local </w:t>
      </w:r>
      <w:r w:rsidR="00CE7008">
        <w:t xml:space="preserve">thermodynamic equilibrium criteria i.e. equality of chemical potentials </w:t>
      </w:r>
      <w:r>
        <w:t xml:space="preserve">at the interface of </w:t>
      </w:r>
      <w:r w:rsidR="00CE7008">
        <w:t>two coexisting phases (</w:t>
      </w:r>
      <w:r w:rsidR="00CE7008" w:rsidRPr="00E145E0">
        <w:rPr>
          <w:position w:val="-12"/>
        </w:rPr>
        <w:object w:dxaOrig="1140" w:dyaOrig="380" w14:anchorId="7FF5A527">
          <v:shape id="_x0000_i1036" type="#_x0000_t75" style="width:57pt;height:18.75pt" o:ole="">
            <v:imagedata r:id="rId29" o:title=""/>
          </v:shape>
          <o:OLEObject Type="Embed" ProgID="Equation.DSMT4" ShapeID="_x0000_i1036" DrawAspect="Content" ObjectID="_1648580611" r:id="rId30"/>
        </w:object>
      </w:r>
      <w:r w:rsidR="00CE7008">
        <w:t xml:space="preserve">, for </w:t>
      </w:r>
      <w:r w:rsidR="00CE7008">
        <w:lastRenderedPageBreak/>
        <w:t xml:space="preserve">phase </w:t>
      </w:r>
      <w:r w:rsidR="00CE7008" w:rsidRPr="005F2B38">
        <w:rPr>
          <w:i/>
          <w:iCs/>
        </w:rPr>
        <w:t>I</w:t>
      </w:r>
      <w:r w:rsidR="00CE7008">
        <w:t xml:space="preserve"> and </w:t>
      </w:r>
      <w:r w:rsidR="00CE7008" w:rsidRPr="005F2B38">
        <w:rPr>
          <w:i/>
          <w:iCs/>
        </w:rPr>
        <w:t>II</w:t>
      </w:r>
      <w:r w:rsidR="00CE7008">
        <w:t xml:space="preserve"> represent</w:t>
      </w:r>
      <w:r w:rsidR="009A0C93">
        <w:t>ing</w:t>
      </w:r>
      <w:r w:rsidR="00CE7008">
        <w:t xml:space="preserve"> drug-rich and polymer-rich respectively). </w:t>
      </w:r>
      <w:r>
        <w:t xml:space="preserve">We introduced an improved consecutive </w:t>
      </w:r>
      <w:r w:rsidRPr="00DC0532">
        <w:t>substitution</w:t>
      </w:r>
      <w:r>
        <w:t xml:space="preserve"> relationship based on a </w:t>
      </w:r>
      <w:r w:rsidR="00CE7008">
        <w:t xml:space="preserve">previous work </w:t>
      </w:r>
      <w:r w:rsidR="00CE7008" w:rsidRPr="000A113C">
        <w:fldChar w:fldCharType="begin"/>
      </w:r>
      <w:r w:rsidR="003A4F74">
        <w:instrText xml:space="preserve"> ADDIN EN.CITE &lt;EndNote&gt;&lt;Cite&gt;&lt;Author&gt;Asgarpour Khansary&lt;/Author&gt;&lt;Year&gt;2017&lt;/Year&gt;&lt;RecNum&gt;74&lt;/RecNum&gt;&lt;DisplayText&gt;[11]&lt;/DisplayText&gt;&lt;record&gt;&lt;rec-number&gt;74&lt;/rec-number&gt;&lt;foreign-keys&gt;&lt;key app="EN" db-id="r2p5rr9s7p9xfpe9vz2vwfa7p0eszdv5tvat" timestamp="1480405895"&gt;74&lt;/key&gt;&lt;key app="ENWeb" db-id=""&gt;0&lt;/key&gt;&lt;/foreign-keys&gt;&lt;ref-type name="Journal Article"&gt;17&lt;/ref-type&gt;&lt;contributors&gt;&lt;authors&gt;&lt;author&gt;Asgarpour Khansary, M.&lt;/author&gt;&lt;author&gt;Shirazian, S.&lt;/author&gt;&lt;author&gt;Asadollahzadeh, M.&lt;/author&gt;&lt;/authors&gt;&lt;/contributors&gt;&lt;titles&gt;&lt;title&gt;Polymer-water partition coefficients in polymeric passive samplers&lt;/title&gt;&lt;secondary-title&gt;Environ Sci Pollut Res Int&lt;/secondary-title&gt;&lt;/titles&gt;&lt;periodical&gt;&lt;full-title&gt;Environ Sci Pollut Res Int&lt;/full-title&gt;&lt;/periodical&gt;&lt;pages&gt;2627-2631&lt;/pages&gt;&lt;volume&gt;24&lt;/volume&gt;&lt;number&gt;3&lt;/number&gt;&lt;dates&gt;&lt;year&gt;2017&lt;/year&gt;&lt;pub-dates&gt;&lt;date&gt;Jan&lt;/date&gt;&lt;/pub-dates&gt;&lt;/dates&gt;&lt;isbn&gt;1614-7499 (Electronic)&amp;#xD;0944-1344 (Linking)&lt;/isbn&gt;&lt;accession-num&gt;27830413&lt;/accession-num&gt;&lt;urls&gt;&lt;related-urls&gt;&lt;url&gt;https://www.ncbi.nlm.nih.gov/pubmed/27830413&lt;/url&gt;&lt;/related-urls&gt;&lt;/urls&gt;&lt;electronic-resource-num&gt;10.1007/s11356-016-8029-7&lt;/electronic-resource-num&gt;&lt;research-notes&gt;Partition Polymer-water&lt;/research-notes&gt;&lt;/record&gt;&lt;/Cite&gt;&lt;/EndNote&gt;</w:instrText>
      </w:r>
      <w:r w:rsidR="00CE7008" w:rsidRPr="000A113C">
        <w:fldChar w:fldCharType="separate"/>
      </w:r>
      <w:r w:rsidR="003A4F74">
        <w:rPr>
          <w:noProof/>
        </w:rPr>
        <w:t>[</w:t>
      </w:r>
      <w:hyperlink w:anchor="_ENREF_11" w:tooltip="Asgarpour Khansary, 2017 #74" w:history="1">
        <w:r w:rsidR="009666CD" w:rsidRPr="009666CD">
          <w:rPr>
            <w:rStyle w:val="Hyperlink"/>
          </w:rPr>
          <w:t>11</w:t>
        </w:r>
      </w:hyperlink>
      <w:r w:rsidR="003A4F74">
        <w:rPr>
          <w:noProof/>
        </w:rPr>
        <w:t>]</w:t>
      </w:r>
      <w:r w:rsidR="00CE7008" w:rsidRPr="000A113C">
        <w:fldChar w:fldCharType="end"/>
      </w:r>
      <w:r w:rsidR="00CE7008">
        <w:t xml:space="preserve"> as </w:t>
      </w:r>
      <w:r w:rsidR="00CE7008" w:rsidRPr="000A113C">
        <w:t>given in Eq.</w:t>
      </w:r>
      <w:r w:rsidR="00293759">
        <w:t xml:space="preserve"> </w:t>
      </w:r>
      <w:r w:rsidR="00293759">
        <w:fldChar w:fldCharType="begin"/>
      </w:r>
      <w:r w:rsidR="00293759">
        <w:instrText xml:space="preserve"> REF _Ref9512558 \h </w:instrText>
      </w:r>
      <w:r w:rsidR="00293759">
        <w:fldChar w:fldCharType="separate"/>
      </w:r>
      <w:r w:rsidR="00293759">
        <w:rPr>
          <w:noProof/>
        </w:rPr>
        <w:t>3</w:t>
      </w:r>
      <w:r w:rsidR="00293759">
        <w:fldChar w:fldCharType="end"/>
      </w:r>
      <w:r w:rsidR="00CE7008">
        <w:t xml:space="preserve">, where </w:t>
      </w:r>
      <w:r w:rsidR="00CE7008" w:rsidRPr="000A113C">
        <w:rPr>
          <w:position w:val="-12"/>
        </w:rPr>
        <w:object w:dxaOrig="1180" w:dyaOrig="380" w14:anchorId="0DCDC51A">
          <v:shape id="_x0000_i1037" type="#_x0000_t75" style="width:58.5pt;height:18.75pt" o:ole="">
            <v:imagedata r:id="rId31" o:title=""/>
          </v:shape>
          <o:OLEObject Type="Embed" ProgID="Equation.DSMT4" ShapeID="_x0000_i1037" DrawAspect="Content" ObjectID="_1648580612" r:id="rId32"/>
        </w:object>
      </w:r>
      <w:r w:rsidR="00CE7008">
        <w:t xml:space="preserve">is </w:t>
      </w:r>
      <w:r w:rsidR="00CE7008" w:rsidRPr="000A113C">
        <w:t>partition</w:t>
      </w:r>
      <w:r w:rsidR="00CE7008">
        <w:t>ing</w:t>
      </w:r>
      <w:r w:rsidR="00CE7008" w:rsidRPr="000A113C">
        <w:t xml:space="preserve"> coefficient</w:t>
      </w:r>
      <w:r w:rsidR="00CE7008">
        <w:t xml:space="preserve"> of compound 1 between phases </w:t>
      </w:r>
      <w:r w:rsidR="00CE7008" w:rsidRPr="00720696">
        <w:rPr>
          <w:i/>
          <w:iCs/>
        </w:rPr>
        <w:t>I</w:t>
      </w:r>
      <w:r w:rsidR="00CE7008">
        <w:t xml:space="preserve"> and </w:t>
      </w:r>
      <w:r w:rsidR="00CE7008" w:rsidRPr="00720696">
        <w:rPr>
          <w:i/>
          <w:iCs/>
        </w:rPr>
        <w:t>II</w:t>
      </w:r>
      <w:r w:rsidR="00CE7008">
        <w:t xml:space="preserve">. </w:t>
      </w:r>
      <w:r w:rsidR="00CE7008" w:rsidRPr="000A113C">
        <w:rPr>
          <w:position w:val="-6"/>
        </w:rPr>
        <w:object w:dxaOrig="440" w:dyaOrig="279" w14:anchorId="2A0F3AB5">
          <v:shape id="_x0000_i1038" type="#_x0000_t75" style="width:21.75pt;height:14.25pt" o:ole="">
            <v:imagedata r:id="rId33" o:title=""/>
          </v:shape>
          <o:OLEObject Type="Embed" ProgID="Equation.DSMT4" ShapeID="_x0000_i1038" DrawAspect="Content" ObjectID="_1648580613" r:id="rId34"/>
        </w:object>
      </w:r>
      <w:r w:rsidR="00CE7008" w:rsidRPr="000A113C">
        <w:t xml:space="preserve"> and </w:t>
      </w:r>
      <w:r w:rsidR="00CE7008" w:rsidRPr="000A113C">
        <w:rPr>
          <w:position w:val="-10"/>
        </w:rPr>
        <w:object w:dxaOrig="240" w:dyaOrig="260" w14:anchorId="254BF770">
          <v:shape id="_x0000_i1039" type="#_x0000_t75" style="width:12pt;height:12.75pt" o:ole="">
            <v:imagedata r:id="rId35" o:title=""/>
          </v:shape>
          <o:OLEObject Type="Embed" ProgID="Equation.DSMT4" ShapeID="_x0000_i1039" DrawAspect="Content" ObjectID="_1648580614" r:id="rId36"/>
        </w:object>
      </w:r>
      <w:r w:rsidR="00CE7008" w:rsidRPr="000A113C">
        <w:t>denote the molecular weight and density</w:t>
      </w:r>
      <w:r w:rsidR="00503A4D">
        <w:t xml:space="preserve"> of drug</w:t>
      </w:r>
      <w:r w:rsidR="00CE7008" w:rsidRPr="000A113C">
        <w:t>, respectively.</w:t>
      </w:r>
      <w:r w:rsidR="00CE7008">
        <w:t xml:space="preserve"> An initial guess of </w:t>
      </w:r>
      <w:r w:rsidR="00CE7008" w:rsidRPr="00EE7648">
        <w:rPr>
          <w:i/>
          <w:iCs/>
        </w:rPr>
        <w:t>K</w:t>
      </w:r>
      <w:r w:rsidR="00CE7008">
        <w:t>=0.5 is suggested for improved performance.</w:t>
      </w:r>
      <w:r w:rsidR="00633947">
        <w:t xml:space="preserve"> </w:t>
      </w:r>
      <w:r w:rsidR="00633947">
        <w:rPr>
          <w:lang w:bidi="fa-IR"/>
        </w:rPr>
        <w:t>The boundary between metastable and unstable regions is</w:t>
      </w:r>
      <w:r w:rsidR="00503A4D">
        <w:rPr>
          <w:lang w:bidi="fa-IR"/>
        </w:rPr>
        <w:t xml:space="preserve"> known as</w:t>
      </w:r>
      <w:r w:rsidR="00633947">
        <w:rPr>
          <w:lang w:bidi="fa-IR"/>
        </w:rPr>
        <w:t xml:space="preserve"> the </w:t>
      </w:r>
      <w:r w:rsidR="00633947" w:rsidRPr="00153778">
        <w:rPr>
          <w:lang w:bidi="fa-IR"/>
        </w:rPr>
        <w:t xml:space="preserve">spinodal </w:t>
      </w:r>
      <w:r w:rsidR="00503A4D">
        <w:rPr>
          <w:lang w:bidi="fa-IR"/>
        </w:rPr>
        <w:t xml:space="preserve">boundary </w:t>
      </w:r>
      <w:r w:rsidR="00633947">
        <w:rPr>
          <w:lang w:bidi="fa-IR"/>
        </w:rPr>
        <w:t xml:space="preserve">which </w:t>
      </w:r>
      <w:r w:rsidR="00633947" w:rsidRPr="00153778">
        <w:rPr>
          <w:lang w:bidi="fa-IR"/>
        </w:rPr>
        <w:t>requires that the second derivative of</w:t>
      </w:r>
      <w:r w:rsidR="00633947" w:rsidRPr="00153778">
        <w:rPr>
          <w:rFonts w:eastAsia="Times New Roman"/>
          <w:position w:val="-12"/>
        </w:rPr>
        <w:object w:dxaOrig="460" w:dyaOrig="360" w14:anchorId="65EC546C">
          <v:shape id="_x0000_i1040" type="#_x0000_t75" style="width:22.5pt;height:18.75pt" o:ole="">
            <v:imagedata r:id="rId37" o:title=""/>
          </v:shape>
          <o:OLEObject Type="Embed" ProgID="Equation.DSMT4" ShapeID="_x0000_i1040" DrawAspect="Content" ObjectID="_1648580615" r:id="rId38"/>
        </w:object>
      </w:r>
      <w:r w:rsidR="00633947" w:rsidRPr="00153778">
        <w:rPr>
          <w:rFonts w:eastAsia="Times New Roman"/>
        </w:rPr>
        <w:t>,</w:t>
      </w:r>
      <w:r w:rsidR="00633947" w:rsidRPr="00153778">
        <w:rPr>
          <w:lang w:bidi="fa-IR"/>
        </w:rPr>
        <w:t xml:space="preserve"> with respect to the composition</w:t>
      </w:r>
      <w:r w:rsidR="00633947">
        <w:rPr>
          <w:lang w:bidi="fa-IR"/>
        </w:rPr>
        <w:t xml:space="preserve"> </w:t>
      </w:r>
      <w:r w:rsidR="00633947" w:rsidRPr="00153778">
        <w:rPr>
          <w:lang w:bidi="fa-IR"/>
        </w:rPr>
        <w:t>at constant temperature and pressure to be positive</w:t>
      </w:r>
      <w:r w:rsidR="00633947">
        <w:rPr>
          <w:lang w:bidi="fa-IR"/>
        </w:rPr>
        <w:t xml:space="preserve"> </w:t>
      </w:r>
      <w:r w:rsidR="00633947" w:rsidRPr="00CB5E43">
        <w:rPr>
          <w:position w:val="-12"/>
        </w:rPr>
        <w:object w:dxaOrig="1579" w:dyaOrig="380" w14:anchorId="366FA50D">
          <v:shape id="_x0000_i1041" type="#_x0000_t75" style="width:78.75pt;height:18.75pt" o:ole="">
            <v:imagedata r:id="rId39" o:title=""/>
          </v:shape>
          <o:OLEObject Type="Embed" ProgID="Equation.DSMT4" ShapeID="_x0000_i1041" DrawAspect="Content" ObjectID="_1648580616" r:id="rId40"/>
        </w:object>
      </w:r>
      <w:r w:rsidR="00633947">
        <w:t xml:space="preserve">. We introduced an improved consecutive </w:t>
      </w:r>
      <w:r w:rsidR="00633947" w:rsidRPr="00DC0532">
        <w:t>substitution</w:t>
      </w:r>
      <w:r w:rsidR="00633947">
        <w:t xml:space="preserve"> relationship based on a previous work </w:t>
      </w:r>
      <w:r w:rsidR="00633947">
        <w:fldChar w:fldCharType="begin"/>
      </w:r>
      <w:r w:rsidR="00633947">
        <w:instrText xml:space="preserve"> ADDIN EN.CITE &lt;EndNote&gt;&lt;Cite&gt;&lt;Author&gt;Keshavarz&lt;/Author&gt;&lt;Year&gt;2015&lt;/Year&gt;&lt;RecNum&gt;1&lt;/RecNum&gt;&lt;DisplayText&gt;[10]&lt;/DisplayText&gt;&lt;record&gt;&lt;rec-number&gt;1&lt;/rec-number&gt;&lt;foreign-keys&gt;&lt;key app="EN" db-id="z0tzefdwq2d906e92atverxhv2zxw2z90pet" timestamp="1558560897"&gt;1&lt;/key&gt;&lt;/foreign-keys&gt;&lt;ref-type name="Journal Article"&gt;17&lt;/ref-type&gt;&lt;contributors&gt;&lt;authors&gt;&lt;author&gt;Keshavarz, Leila&lt;/author&gt;&lt;author&gt;Khansary, Milad Asgarpour&lt;/author&gt;&lt;author&gt;Shirazian, Saeed&lt;/author&gt;&lt;/authors&gt;&lt;/contributors&gt;&lt;titles&gt;&lt;title&gt;Phase diagram of ternary polymeric solutions containing nonsolvent/solvent/polymer: Theoretical calculation and experimental validation&lt;/title&gt;&lt;secondary-title&gt;Polymer&lt;/secondary-title&gt;&lt;/titles&gt;&lt;periodical&gt;&lt;full-title&gt;Polymer&lt;/full-title&gt;&lt;/periodical&gt;&lt;pages&gt;1-8&lt;/pages&gt;&lt;volume&gt;73&lt;/volume&gt;&lt;keywords&gt;&lt;keyword&gt;Membranes modeling&lt;/keyword&gt;&lt;keyword&gt;Phase inversion&lt;/keyword&gt;&lt;keyword&gt;Thermodynamic phase diagram&lt;/keyword&gt;&lt;/keywords&gt;&lt;dates&gt;&lt;year&gt;2015&lt;/year&gt;&lt;pub-dates&gt;&lt;date&gt;2015/09/02/&lt;/date&gt;&lt;/pub-dates&gt;&lt;/dates&gt;&lt;isbn&gt;0032-3861&lt;/isbn&gt;&lt;urls&gt;&lt;related-urls&gt;&lt;url&gt;http://www.sciencedirect.com/science/article/pii/S0032386115301087&lt;/url&gt;&lt;/related-urls&gt;&lt;/urls&gt;&lt;electronic-resource-num&gt;https://doi.org/10.1016/j.polymer.2015.07.027&lt;/electronic-resource-num&gt;&lt;/record&gt;&lt;/Cite&gt;&lt;/EndNote&gt;</w:instrText>
      </w:r>
      <w:r w:rsidR="00633947">
        <w:fldChar w:fldCharType="separate"/>
      </w:r>
      <w:r w:rsidR="00633947">
        <w:rPr>
          <w:noProof/>
        </w:rPr>
        <w:t>[</w:t>
      </w:r>
      <w:hyperlink w:anchor="_ENREF_10" w:tooltip="Keshavarz, 2015 #1" w:history="1">
        <w:r w:rsidR="009666CD" w:rsidRPr="009666CD">
          <w:rPr>
            <w:rStyle w:val="Hyperlink"/>
          </w:rPr>
          <w:t>10</w:t>
        </w:r>
      </w:hyperlink>
      <w:r w:rsidR="00633947">
        <w:rPr>
          <w:noProof/>
        </w:rPr>
        <w:t>]</w:t>
      </w:r>
      <w:r w:rsidR="00633947">
        <w:fldChar w:fldCharType="end"/>
      </w:r>
      <w:r w:rsidR="00633947">
        <w:t xml:space="preserve"> as </w:t>
      </w:r>
      <w:r w:rsidR="00633947" w:rsidRPr="000A113C">
        <w:t>given in Eq.</w:t>
      </w:r>
      <w:r w:rsidR="00633947">
        <w:t xml:space="preserve"> </w:t>
      </w:r>
      <w:r w:rsidR="00633947">
        <w:fldChar w:fldCharType="begin"/>
      </w:r>
      <w:r w:rsidR="00633947">
        <w:instrText xml:space="preserve"> REF _Ref9469552 \h </w:instrText>
      </w:r>
      <w:r w:rsidR="00633947">
        <w:fldChar w:fldCharType="separate"/>
      </w:r>
      <w:r w:rsidR="003301E1">
        <w:rPr>
          <w:noProof/>
        </w:rPr>
        <w:t>4</w:t>
      </w:r>
      <w:r w:rsidR="00633947">
        <w:fldChar w:fldCharType="end"/>
      </w:r>
      <w:r w:rsidR="00633947">
        <w:t>.</w:t>
      </w:r>
      <w:r w:rsidR="00D67614">
        <w:t xml:space="preserve"> </w:t>
      </w:r>
    </w:p>
    <w:tbl>
      <w:tblPr>
        <w:tblStyle w:val="TableGrid"/>
        <w:tblW w:w="92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gridCol w:w="360"/>
      </w:tblGrid>
      <w:tr w:rsidR="003301E1" w14:paraId="707D3976" w14:textId="77777777" w:rsidTr="003301E1">
        <w:trPr>
          <w:jc w:val="center"/>
        </w:trPr>
        <w:tc>
          <w:tcPr>
            <w:tcW w:w="8905" w:type="dxa"/>
            <w:vAlign w:val="center"/>
          </w:tcPr>
          <w:p w14:paraId="0B729B11" w14:textId="51C0D29E" w:rsidR="003301E1" w:rsidRDefault="003301E1" w:rsidP="003301E1">
            <w:pPr>
              <w:jc w:val="left"/>
            </w:pPr>
            <w:r w:rsidRPr="00C62103">
              <w:rPr>
                <w:position w:val="-34"/>
              </w:rPr>
              <w:object w:dxaOrig="4620" w:dyaOrig="760" w14:anchorId="28C968A9">
                <v:shape id="_x0000_i1042" type="#_x0000_t75" style="width:231pt;height:38.25pt" o:ole="">
                  <v:imagedata r:id="rId41" o:title=""/>
                </v:shape>
                <o:OLEObject Type="Embed" ProgID="Equation.DSMT4" ShapeID="_x0000_i1042" DrawAspect="Content" ObjectID="_1648580617" r:id="rId42"/>
              </w:object>
            </w:r>
          </w:p>
        </w:tc>
        <w:tc>
          <w:tcPr>
            <w:tcW w:w="360" w:type="dxa"/>
            <w:vAlign w:val="center"/>
          </w:tcPr>
          <w:p w14:paraId="46B38835" w14:textId="0978CF6C" w:rsidR="003301E1" w:rsidRDefault="009B63D9" w:rsidP="003301E1">
            <w:pPr>
              <w:jc w:val="center"/>
            </w:pPr>
            <w:fldSimple w:instr=" SEQ Equation \* ARABIC ">
              <w:bookmarkStart w:id="8" w:name="_Ref421961476"/>
              <w:r w:rsidR="003301E1">
                <w:rPr>
                  <w:noProof/>
                </w:rPr>
                <w:t>2</w:t>
              </w:r>
              <w:bookmarkEnd w:id="8"/>
            </w:fldSimple>
          </w:p>
        </w:tc>
      </w:tr>
      <w:tr w:rsidR="003301E1" w14:paraId="2DAB7C2D" w14:textId="77777777" w:rsidTr="003301E1">
        <w:trPr>
          <w:jc w:val="center"/>
        </w:trPr>
        <w:tc>
          <w:tcPr>
            <w:tcW w:w="8905" w:type="dxa"/>
            <w:vAlign w:val="center"/>
          </w:tcPr>
          <w:p w14:paraId="0F124667" w14:textId="174AF264" w:rsidR="003301E1" w:rsidRDefault="003301E1" w:rsidP="003301E1">
            <w:pPr>
              <w:jc w:val="left"/>
            </w:pPr>
            <w:r w:rsidRPr="00274915">
              <w:rPr>
                <w:position w:val="-30"/>
              </w:rPr>
              <w:object w:dxaOrig="8600" w:dyaOrig="720" w14:anchorId="79AA59FB">
                <v:shape id="_x0000_i1043" type="#_x0000_t75" style="width:432.75pt;height:35.25pt" o:ole="">
                  <v:imagedata r:id="rId43" o:title=""/>
                </v:shape>
                <o:OLEObject Type="Embed" ProgID="Equation.DSMT4" ShapeID="_x0000_i1043" DrawAspect="Content" ObjectID="_1648580618" r:id="rId44"/>
              </w:object>
            </w:r>
          </w:p>
        </w:tc>
        <w:tc>
          <w:tcPr>
            <w:tcW w:w="360" w:type="dxa"/>
            <w:vAlign w:val="center"/>
          </w:tcPr>
          <w:p w14:paraId="4B238B80" w14:textId="1B10D9BE" w:rsidR="003301E1" w:rsidRDefault="009B63D9" w:rsidP="003301E1">
            <w:pPr>
              <w:jc w:val="center"/>
            </w:pPr>
            <w:fldSimple w:instr=" SEQ Equation \* ARABIC ">
              <w:bookmarkStart w:id="9" w:name="_Ref9512558"/>
              <w:r w:rsidR="003301E1">
                <w:rPr>
                  <w:noProof/>
                </w:rPr>
                <w:t>3</w:t>
              </w:r>
              <w:bookmarkEnd w:id="9"/>
            </w:fldSimple>
          </w:p>
        </w:tc>
      </w:tr>
      <w:tr w:rsidR="003301E1" w14:paraId="718D2A16" w14:textId="77777777" w:rsidTr="003301E1">
        <w:trPr>
          <w:jc w:val="center"/>
        </w:trPr>
        <w:tc>
          <w:tcPr>
            <w:tcW w:w="8905" w:type="dxa"/>
            <w:vAlign w:val="center"/>
          </w:tcPr>
          <w:p w14:paraId="26C7998C" w14:textId="3E8912BC" w:rsidR="003301E1" w:rsidRDefault="003301E1" w:rsidP="003301E1">
            <w:pPr>
              <w:jc w:val="left"/>
            </w:pPr>
            <w:r w:rsidRPr="00D66382">
              <w:rPr>
                <w:position w:val="-34"/>
              </w:rPr>
              <w:object w:dxaOrig="2920" w:dyaOrig="800" w14:anchorId="7D083292">
                <v:shape id="_x0000_i1044" type="#_x0000_t75" style="width:145.5pt;height:39.75pt" o:ole="">
                  <v:imagedata r:id="rId45" o:title=""/>
                </v:shape>
                <o:OLEObject Type="Embed" ProgID="Equation.DSMT4" ShapeID="_x0000_i1044" DrawAspect="Content" ObjectID="_1648580619" r:id="rId46"/>
              </w:object>
            </w:r>
          </w:p>
        </w:tc>
        <w:tc>
          <w:tcPr>
            <w:tcW w:w="360" w:type="dxa"/>
            <w:vAlign w:val="center"/>
          </w:tcPr>
          <w:p w14:paraId="525A6979" w14:textId="5DB7CCDE" w:rsidR="003301E1" w:rsidRDefault="009B63D9" w:rsidP="003301E1">
            <w:pPr>
              <w:jc w:val="center"/>
            </w:pPr>
            <w:fldSimple w:instr=" SEQ Equation \* ARABIC ">
              <w:bookmarkStart w:id="10" w:name="_Ref9469552"/>
              <w:r w:rsidR="003301E1">
                <w:rPr>
                  <w:noProof/>
                </w:rPr>
                <w:t>4</w:t>
              </w:r>
              <w:bookmarkEnd w:id="10"/>
            </w:fldSimple>
          </w:p>
        </w:tc>
      </w:tr>
    </w:tbl>
    <w:p w14:paraId="3475EE98" w14:textId="20F5B59D" w:rsidR="003301E1" w:rsidRPr="003301E1" w:rsidRDefault="003301E1" w:rsidP="009666CD">
      <w:r>
        <w:t>Prior to application of these relationships for getting insight on phase behavior of drug-polymer pairs, an initial screening of compatibility of pairs can be performed to reduce</w:t>
      </w:r>
      <w:r w:rsidR="00293759">
        <w:t xml:space="preserve"> design space and consequently lower </w:t>
      </w:r>
      <w:r>
        <w:t>computational costs and higher efficiencies. Th</w:t>
      </w:r>
      <w:r w:rsidR="00A723E4">
        <w:t>is can be done using the</w:t>
      </w:r>
      <w:r>
        <w:t xml:space="preserve"> c</w:t>
      </w:r>
      <w:r w:rsidRPr="003301E1">
        <w:t>riteria for initial compatibility of two compounds</w:t>
      </w:r>
      <w:r>
        <w:t xml:space="preserve"> </w:t>
      </w:r>
      <w:r w:rsidR="00A723E4">
        <w:t xml:space="preserve">as </w:t>
      </w:r>
      <w:r>
        <w:t xml:space="preserve">summarized in </w:t>
      </w:r>
      <w:r>
        <w:fldChar w:fldCharType="begin"/>
      </w:r>
      <w:r>
        <w:instrText xml:space="preserve"> REF _Ref8568017 \h </w:instrText>
      </w:r>
      <w:r>
        <w:fldChar w:fldCharType="separate"/>
      </w:r>
      <w:r>
        <w:t xml:space="preserve">Table </w:t>
      </w:r>
      <w:r>
        <w:rPr>
          <w:noProof/>
        </w:rPr>
        <w:t>1</w:t>
      </w:r>
      <w:r>
        <w:fldChar w:fldCharType="end"/>
      </w:r>
      <w:r>
        <w:t xml:space="preserve"> where</w:t>
      </w:r>
      <w:r w:rsidR="009A0C93">
        <w:t xml:space="preserve"> </w:t>
      </w:r>
      <w:r w:rsidR="009A0C93" w:rsidRPr="00D825AB">
        <w:rPr>
          <w:position w:val="-12"/>
        </w:rPr>
        <w:object w:dxaOrig="279" w:dyaOrig="360" w14:anchorId="6E36AD8F">
          <v:shape id="_x0000_i1045" type="#_x0000_t75" style="width:14.25pt;height:18pt" o:ole="">
            <v:imagedata r:id="rId47" o:title=""/>
          </v:shape>
          <o:OLEObject Type="Embed" ProgID="Equation.DSMT4" ShapeID="_x0000_i1045" DrawAspect="Content" ObjectID="_1648580620" r:id="rId48"/>
        </w:object>
      </w:r>
      <w:r>
        <w:t xml:space="preserve">is </w:t>
      </w:r>
      <w:r w:rsidRPr="00452D92">
        <w:t>non-polar (dispersion) forces</w:t>
      </w:r>
      <w:r>
        <w:t>,</w:t>
      </w:r>
      <w:r w:rsidR="009A0C93">
        <w:t xml:space="preserve"> </w:t>
      </w:r>
      <w:r w:rsidR="009A0C93" w:rsidRPr="009A0C93">
        <w:rPr>
          <w:position w:val="-14"/>
        </w:rPr>
        <w:object w:dxaOrig="300" w:dyaOrig="380" w14:anchorId="6A045F95">
          <v:shape id="_x0000_i1046" type="#_x0000_t75" style="width:15pt;height:18.75pt" o:ole="">
            <v:imagedata r:id="rId49" o:title=""/>
          </v:shape>
          <o:OLEObject Type="Embed" ProgID="Equation.DSMT4" ShapeID="_x0000_i1046" DrawAspect="Content" ObjectID="_1648580621" r:id="rId50"/>
        </w:object>
      </w:r>
      <w:r w:rsidR="009A0C93">
        <w:t xml:space="preserve"> </w:t>
      </w:r>
      <w:r w:rsidRPr="00452D92">
        <w:t xml:space="preserve">polar forces </w:t>
      </w:r>
      <w:r>
        <w:t>and</w:t>
      </w:r>
      <w:r w:rsidR="009A0C93">
        <w:t xml:space="preserve"> </w:t>
      </w:r>
      <w:r w:rsidR="009A0C93" w:rsidRPr="00D825AB">
        <w:rPr>
          <w:position w:val="-12"/>
        </w:rPr>
        <w:object w:dxaOrig="279" w:dyaOrig="360" w14:anchorId="7FD897E1">
          <v:shape id="_x0000_i1047" type="#_x0000_t75" style="width:14.25pt;height:18pt" o:ole="">
            <v:imagedata r:id="rId51" o:title=""/>
          </v:shape>
          <o:OLEObject Type="Embed" ProgID="Equation.DSMT4" ShapeID="_x0000_i1047" DrawAspect="Content" ObjectID="_1648580622" r:id="rId52"/>
        </w:object>
      </w:r>
      <w:r w:rsidR="009A0C93">
        <w:t xml:space="preserve"> </w:t>
      </w:r>
      <w:r>
        <w:t xml:space="preserve">hydrogen-bonding contributions in cohesive energy </w:t>
      </w:r>
      <w:r w:rsidRPr="00452D92">
        <w:fldChar w:fldCharType="begin"/>
      </w:r>
      <w:r>
        <w:instrText xml:space="preserve"> ADDIN EN.CITE &lt;EndNote&gt;&lt;Cite&gt;&lt;Author&gt;Hansen&lt;/Author&gt;&lt;Year&gt;2000&lt;/Year&gt;&lt;RecNum&gt;2725&lt;/RecNum&gt;&lt;DisplayText&gt;[12]&lt;/DisplayText&gt;&lt;record&gt;&lt;rec-number&gt;2725&lt;/rec-number&gt;&lt;foreign-keys&gt;&lt;key app="EN" db-id="edxfspa0hevet1epx2qxp5rdfxf99ae220dv" timestamp="1403864664"&gt;2725&lt;/key&gt;&lt;key app="ENWeb" db-id=""&gt;0&lt;/key&gt;&lt;/foreign-keys&gt;&lt;ref-type name="Book"&gt;6&lt;/ref-type&gt;&lt;contributors&gt;&lt;authors&gt;&lt;author&gt;Hansen, Charles M.&lt;/author&gt;&lt;/authors&gt;&lt;/contributors&gt;&lt;titles&gt;&lt;title&gt;Hansen solubility parameters: a user’s handbook&lt;/title&gt;&lt;/titles&gt;&lt;dates&gt;&lt;year&gt;2000&lt;/year&gt;&lt;/dates&gt;&lt;pub-location&gt;Florida&lt;/pub-location&gt;&lt;publisher&gt;CRC Press&lt;/publisher&gt;&lt;isbn&gt;0-8493-1525-5&lt;/isbn&gt;&lt;urls&gt;&lt;/urls&gt;&lt;research-notes&gt; Estrogens2-Archived&lt;/research-notes&gt;&lt;/record&gt;&lt;/Cite&gt;&lt;/EndNote&gt;</w:instrText>
      </w:r>
      <w:r w:rsidRPr="00452D92">
        <w:fldChar w:fldCharType="separate"/>
      </w:r>
      <w:r>
        <w:rPr>
          <w:noProof/>
        </w:rPr>
        <w:t>[</w:t>
      </w:r>
      <w:hyperlink w:anchor="_ENREF_12" w:tooltip="Hansen, 2000 #2725" w:history="1">
        <w:r w:rsidR="009666CD" w:rsidRPr="009666CD">
          <w:rPr>
            <w:rStyle w:val="Hyperlink"/>
          </w:rPr>
          <w:t>12</w:t>
        </w:r>
      </w:hyperlink>
      <w:r>
        <w:rPr>
          <w:noProof/>
        </w:rPr>
        <w:t>]</w:t>
      </w:r>
      <w:r w:rsidRPr="00452D92">
        <w:fldChar w:fldCharType="end"/>
      </w:r>
      <w:r>
        <w:t xml:space="preserve">. </w:t>
      </w:r>
    </w:p>
    <w:p w14:paraId="10966D0C" w14:textId="4E76BE83" w:rsidR="003301E1" w:rsidRDefault="003301E1" w:rsidP="009666CD">
      <w:pPr>
        <w:pStyle w:val="Caption"/>
      </w:pPr>
      <w:bookmarkStart w:id="11" w:name="_Ref8568017"/>
      <w:r>
        <w:t xml:space="preserve">Table </w:t>
      </w:r>
      <w:fldSimple w:instr=" SEQ Table \* ARABIC ">
        <w:r>
          <w:rPr>
            <w:noProof/>
          </w:rPr>
          <w:t>1</w:t>
        </w:r>
      </w:fldSimple>
      <w:bookmarkEnd w:id="11"/>
      <w:r>
        <w:t xml:space="preserve">. Criteria for initial compatibility of two compounds </w:t>
      </w:r>
      <w:r w:rsidRPr="000A113C">
        <w:fldChar w:fldCharType="begin"/>
      </w:r>
      <w:r>
        <w:instrText xml:space="preserve"> ADDIN EN.CITE &lt;EndNote&gt;&lt;Cite&gt;&lt;Author&gt;Khansary&lt;/Author&gt;&lt;Year&gt;2017&lt;/Year&gt;&lt;RecNum&gt;15&lt;/RecNum&gt;&lt;DisplayText&gt;[13]&lt;/DisplayText&gt;&lt;record&gt;&lt;rec-number&gt;15&lt;/rec-number&gt;&lt;foreign-keys&gt;&lt;key app="EN" db-id="r2p5rr9s7p9xfpe9vz2vwfa7p0eszdv5tvat" timestamp="1480405579"&gt;15&lt;/key&gt;&lt;key app="ENWeb" db-id=""&gt;0&lt;/key&gt;&lt;/foreign-keys&gt;&lt;ref-type name="Journal Article"&gt;17&lt;/ref-type&gt;&lt;contributors&gt;&lt;authors&gt;&lt;author&gt;Khansary, Milad Asgarpour&lt;/author&gt;&lt;author&gt;Mellat, Mostafa&lt;/author&gt;&lt;author&gt;Saadat, Seyed Hassan&lt;/author&gt;&lt;author&gt;Fasihi-Ramandi, Mahdi&lt;/author&gt;&lt;author&gt;Kamali, Mehdi&lt;/author&gt;&lt;author&gt;Taheri, Ramezan Ali&lt;/author&gt;&lt;/authors&gt;&lt;/contributors&gt;&lt;titles&gt;&lt;title&gt;An enquiry on appropriate selection of polymers for preparation of polymeric nanosorbents and nanofiltration/ultrafiltration membranes for hormone micropollutants removal from water effluents&lt;/title&gt;&lt;secondary-title&gt;Chemosphere&lt;/secondary-title&gt;&lt;/titles&gt;&lt;periodical&gt;&lt;full-title&gt;Chemosphere&lt;/full-title&gt;&lt;/periodical&gt;&lt;pages&gt;91-99&lt;/pages&gt;&lt;volume&gt;168&lt;/volume&gt;&lt;dates&gt;&lt;year&gt;2017&lt;/year&gt;&lt;/dates&gt;&lt;isbn&gt;00456535&lt;/isbn&gt;&lt;urls&gt;&lt;/urls&gt;&lt;electronic-resource-num&gt;10.1016/j.chemosphere.2016.10.049&lt;/electronic-resource-num&gt;&lt;research-notes&gt;Estrogens-Polymers&lt;/research-notes&gt;&lt;/record&gt;&lt;/Cite&gt;&lt;/EndNote&gt;</w:instrText>
      </w:r>
      <w:r w:rsidRPr="000A113C">
        <w:fldChar w:fldCharType="separate"/>
      </w:r>
      <w:r>
        <w:rPr>
          <w:noProof/>
        </w:rPr>
        <w:t>[</w:t>
      </w:r>
      <w:hyperlink w:anchor="_ENREF_13" w:tooltip="Khansary, 2017 #15" w:history="1">
        <w:r w:rsidR="009666CD" w:rsidRPr="009666CD">
          <w:rPr>
            <w:rStyle w:val="Hyperlink"/>
          </w:rPr>
          <w:t>13</w:t>
        </w:r>
      </w:hyperlink>
      <w:r>
        <w:rPr>
          <w:noProof/>
        </w:rPr>
        <w:t>]</w:t>
      </w:r>
      <w:r w:rsidRPr="000A113C">
        <w:fldChar w:fldCharType="end"/>
      </w:r>
    </w:p>
    <w:tbl>
      <w:tblPr>
        <w:tblStyle w:val="TableGrid"/>
        <w:tblW w:w="9265" w:type="dxa"/>
        <w:tblBorders>
          <w:left w:val="none" w:sz="0" w:space="0" w:color="auto"/>
          <w:right w:val="none" w:sz="0" w:space="0" w:color="auto"/>
          <w:insideV w:val="none" w:sz="0" w:space="0" w:color="auto"/>
        </w:tblBorders>
        <w:tblLook w:val="04A0" w:firstRow="1" w:lastRow="0" w:firstColumn="1" w:lastColumn="0" w:noHBand="0" w:noVBand="1"/>
      </w:tblPr>
      <w:tblGrid>
        <w:gridCol w:w="1975"/>
        <w:gridCol w:w="2340"/>
        <w:gridCol w:w="2610"/>
        <w:gridCol w:w="2340"/>
      </w:tblGrid>
      <w:tr w:rsidR="003301E1" w14:paraId="3306CC14" w14:textId="77777777" w:rsidTr="00432B2D">
        <w:tc>
          <w:tcPr>
            <w:tcW w:w="1975" w:type="dxa"/>
          </w:tcPr>
          <w:p w14:paraId="75E21157" w14:textId="77777777" w:rsidR="003301E1" w:rsidRPr="00452D92" w:rsidRDefault="003301E1" w:rsidP="00432B2D">
            <w:pPr>
              <w:rPr>
                <w:b/>
                <w:bCs/>
              </w:rPr>
            </w:pPr>
            <w:r>
              <w:rPr>
                <w:b/>
                <w:bCs/>
              </w:rPr>
              <w:t xml:space="preserve">Criteria </w:t>
            </w:r>
          </w:p>
        </w:tc>
        <w:tc>
          <w:tcPr>
            <w:tcW w:w="2340" w:type="dxa"/>
          </w:tcPr>
          <w:p w14:paraId="7CC02858" w14:textId="77777777" w:rsidR="003301E1" w:rsidRDefault="003301E1" w:rsidP="00432B2D">
            <w:r w:rsidRPr="00B40F75">
              <w:rPr>
                <w:position w:val="-16"/>
              </w:rPr>
              <w:object w:dxaOrig="1500" w:dyaOrig="440" w14:anchorId="4F4094A8">
                <v:shape id="_x0000_i1048" type="#_x0000_t75" style="width:75pt;height:21.75pt" o:ole="">
                  <v:imagedata r:id="rId53" o:title=""/>
                </v:shape>
                <o:OLEObject Type="Embed" ProgID="Equation.DSMT4" ShapeID="_x0000_i1048" DrawAspect="Content" ObjectID="_1648580623" r:id="rId54"/>
              </w:object>
            </w:r>
          </w:p>
          <w:p w14:paraId="72D8ADFA" w14:textId="77777777" w:rsidR="003301E1" w:rsidRDefault="003301E1" w:rsidP="00432B2D">
            <w:r w:rsidRPr="00B40F75">
              <w:rPr>
                <w:position w:val="-16"/>
              </w:rPr>
              <w:object w:dxaOrig="1460" w:dyaOrig="440" w14:anchorId="7B93CF83">
                <v:shape id="_x0000_i1049" type="#_x0000_t75" style="width:72.75pt;height:21.75pt" o:ole="">
                  <v:imagedata r:id="rId55" o:title=""/>
                </v:shape>
                <o:OLEObject Type="Embed" ProgID="Equation.DSMT4" ShapeID="_x0000_i1049" DrawAspect="Content" ObjectID="_1648580624" r:id="rId56"/>
              </w:object>
            </w:r>
          </w:p>
        </w:tc>
        <w:tc>
          <w:tcPr>
            <w:tcW w:w="2610" w:type="dxa"/>
          </w:tcPr>
          <w:p w14:paraId="7D975351" w14:textId="77777777" w:rsidR="003301E1" w:rsidRDefault="003301E1" w:rsidP="00432B2D">
            <w:r w:rsidRPr="00B40F75">
              <w:rPr>
                <w:position w:val="-16"/>
              </w:rPr>
              <w:object w:dxaOrig="1960" w:dyaOrig="440" w14:anchorId="708CD6AA">
                <v:shape id="_x0000_i1050" type="#_x0000_t75" style="width:98.25pt;height:21.75pt" o:ole="">
                  <v:imagedata r:id="rId57" o:title=""/>
                </v:shape>
                <o:OLEObject Type="Embed" ProgID="Equation.DSMT4" ShapeID="_x0000_i1050" DrawAspect="Content" ObjectID="_1648580625" r:id="rId58"/>
              </w:object>
            </w:r>
          </w:p>
          <w:p w14:paraId="3164423D" w14:textId="77777777" w:rsidR="003301E1" w:rsidRDefault="003301E1" w:rsidP="00432B2D">
            <w:r w:rsidRPr="00B40F75">
              <w:rPr>
                <w:position w:val="-16"/>
              </w:rPr>
              <w:object w:dxaOrig="1920" w:dyaOrig="440" w14:anchorId="66141E2F">
                <v:shape id="_x0000_i1051" type="#_x0000_t75" style="width:96pt;height:21.75pt" o:ole="">
                  <v:imagedata r:id="rId59" o:title=""/>
                </v:shape>
                <o:OLEObject Type="Embed" ProgID="Equation.DSMT4" ShapeID="_x0000_i1051" DrawAspect="Content" ObjectID="_1648580626" r:id="rId60"/>
              </w:object>
            </w:r>
          </w:p>
        </w:tc>
        <w:tc>
          <w:tcPr>
            <w:tcW w:w="2340" w:type="dxa"/>
          </w:tcPr>
          <w:p w14:paraId="6E4DE2B8" w14:textId="77777777" w:rsidR="003301E1" w:rsidRDefault="003301E1" w:rsidP="00432B2D">
            <w:r w:rsidRPr="00B40F75">
              <w:rPr>
                <w:position w:val="-16"/>
              </w:rPr>
              <w:object w:dxaOrig="1480" w:dyaOrig="440" w14:anchorId="2CD6D69B">
                <v:shape id="_x0000_i1052" type="#_x0000_t75" style="width:74.25pt;height:21.75pt" o:ole="">
                  <v:imagedata r:id="rId61" o:title=""/>
                </v:shape>
                <o:OLEObject Type="Embed" ProgID="Equation.DSMT4" ShapeID="_x0000_i1052" DrawAspect="Content" ObjectID="_1648580627" r:id="rId62"/>
              </w:object>
            </w:r>
          </w:p>
          <w:p w14:paraId="3CFF8E67" w14:textId="77777777" w:rsidR="003301E1" w:rsidRDefault="003301E1" w:rsidP="00432B2D">
            <w:r w:rsidRPr="00B40F75">
              <w:rPr>
                <w:position w:val="-16"/>
              </w:rPr>
              <w:object w:dxaOrig="1440" w:dyaOrig="440" w14:anchorId="48F3B081">
                <v:shape id="_x0000_i1053" type="#_x0000_t75" style="width:1in;height:21.75pt" o:ole="">
                  <v:imagedata r:id="rId63" o:title=""/>
                </v:shape>
                <o:OLEObject Type="Embed" ProgID="Equation.DSMT4" ShapeID="_x0000_i1053" DrawAspect="Content" ObjectID="_1648580628" r:id="rId64"/>
              </w:object>
            </w:r>
          </w:p>
        </w:tc>
      </w:tr>
      <w:tr w:rsidR="003301E1" w14:paraId="4146350F" w14:textId="77777777" w:rsidTr="00432B2D">
        <w:tc>
          <w:tcPr>
            <w:tcW w:w="1975" w:type="dxa"/>
          </w:tcPr>
          <w:p w14:paraId="26CFD9C2" w14:textId="77777777" w:rsidR="003301E1" w:rsidRPr="00452D92" w:rsidRDefault="003301E1" w:rsidP="00432B2D">
            <w:pPr>
              <w:rPr>
                <w:b/>
                <w:bCs/>
              </w:rPr>
            </w:pPr>
            <w:r w:rsidRPr="00452D92">
              <w:rPr>
                <w:b/>
                <w:bCs/>
              </w:rPr>
              <w:t xml:space="preserve">Compatibility </w:t>
            </w:r>
          </w:p>
        </w:tc>
        <w:tc>
          <w:tcPr>
            <w:tcW w:w="2340" w:type="dxa"/>
          </w:tcPr>
          <w:p w14:paraId="0EE1ADB0" w14:textId="77777777" w:rsidR="003301E1" w:rsidRDefault="003301E1" w:rsidP="00432B2D">
            <w:r>
              <w:t xml:space="preserve">High </w:t>
            </w:r>
          </w:p>
        </w:tc>
        <w:tc>
          <w:tcPr>
            <w:tcW w:w="2610" w:type="dxa"/>
          </w:tcPr>
          <w:p w14:paraId="02D0F3FC" w14:textId="77777777" w:rsidR="003301E1" w:rsidRDefault="003301E1" w:rsidP="00432B2D">
            <w:r>
              <w:t xml:space="preserve">Poor </w:t>
            </w:r>
          </w:p>
        </w:tc>
        <w:tc>
          <w:tcPr>
            <w:tcW w:w="2340" w:type="dxa"/>
          </w:tcPr>
          <w:p w14:paraId="252CC31F" w14:textId="77777777" w:rsidR="003301E1" w:rsidRDefault="003301E1" w:rsidP="00432B2D">
            <w:r>
              <w:t xml:space="preserve">None </w:t>
            </w:r>
          </w:p>
        </w:tc>
      </w:tr>
      <w:tr w:rsidR="003301E1" w14:paraId="4F2B67CD" w14:textId="77777777" w:rsidTr="00432B2D">
        <w:tc>
          <w:tcPr>
            <w:tcW w:w="9265" w:type="dxa"/>
            <w:gridSpan w:val="4"/>
          </w:tcPr>
          <w:p w14:paraId="3D6E6527" w14:textId="77777777" w:rsidR="003301E1" w:rsidRDefault="003301E1" w:rsidP="00432B2D">
            <w:pPr>
              <w:jc w:val="left"/>
            </w:pPr>
            <w:r w:rsidRPr="00B40F75">
              <w:rPr>
                <w:position w:val="-16"/>
              </w:rPr>
              <w:object w:dxaOrig="2100" w:dyaOrig="480" w14:anchorId="47C7278B">
                <v:shape id="_x0000_i1054" type="#_x0000_t75" style="width:105pt;height:24pt" o:ole="">
                  <v:imagedata r:id="rId65" o:title=""/>
                </v:shape>
                <o:OLEObject Type="Embed" ProgID="Equation.DSMT4" ShapeID="_x0000_i1054" DrawAspect="Content" ObjectID="_1648580629" r:id="rId66"/>
              </w:object>
            </w:r>
            <w:r>
              <w:t xml:space="preserve">and </w:t>
            </w:r>
            <w:r w:rsidRPr="00B40F75">
              <w:rPr>
                <w:position w:val="-16"/>
              </w:rPr>
              <w:object w:dxaOrig="2079" w:dyaOrig="480" w14:anchorId="3E44E1CD">
                <v:shape id="_x0000_i1055" type="#_x0000_t75" style="width:105pt;height:24pt" o:ole="">
                  <v:imagedata r:id="rId67" o:title=""/>
                </v:shape>
                <o:OLEObject Type="Embed" ProgID="Equation.DSMT4" ShapeID="_x0000_i1055" DrawAspect="Content" ObjectID="_1648580630" r:id="rId68"/>
              </w:object>
            </w:r>
          </w:p>
        </w:tc>
      </w:tr>
    </w:tbl>
    <w:p w14:paraId="4F3A0D1F" w14:textId="77777777" w:rsidR="003301E1" w:rsidRDefault="003301E1" w:rsidP="003301E1"/>
    <w:p w14:paraId="503AB643" w14:textId="3AC4E4F8" w:rsidR="001E0FB1" w:rsidRDefault="00A723E4" w:rsidP="009666CD">
      <w:r>
        <w:t xml:space="preserve">For cohesive energy contributions and lattice fluid theory, </w:t>
      </w:r>
      <w:r w:rsidR="001E0FB1">
        <w:t xml:space="preserve">the </w:t>
      </w:r>
      <w:r w:rsidR="001E0FB1" w:rsidRPr="000A113C">
        <w:t>group contribution method</w:t>
      </w:r>
      <w:r w:rsidR="001E0FB1">
        <w:t xml:space="preserve">s of </w:t>
      </w:r>
      <w:r w:rsidR="001E0FB1" w:rsidRPr="000A113C">
        <w:t xml:space="preserve">the Hoftyzer and van Krevelen </w:t>
      </w:r>
      <w:r w:rsidR="001E0FB1" w:rsidRPr="000A113C">
        <w:fldChar w:fldCharType="begin"/>
      </w:r>
      <w:r w:rsidR="001E0FB1">
        <w:instrText xml:space="preserve"> ADDIN EN.CITE &lt;EndNote&gt;&lt;Cite&gt;&lt;Author&gt;Krevelen&lt;/Author&gt;&lt;Year&gt;2008&lt;/Year&gt;&lt;RecNum&gt;2910&lt;/RecNum&gt;&lt;DisplayText&gt;[14]&lt;/DisplayText&gt;&lt;record&gt;&lt;rec-number&gt;2910&lt;/rec-number&gt;&lt;foreign-keys&gt;&lt;key app="EN" db-id="edxfspa0hevet1epx2qxp5rdfxf99ae220dv" timestamp="1406688911"&gt;2910&lt;/key&gt;&lt;key app="ENWeb" db-id=""&gt;0&lt;/key&gt;&lt;/foreign-keys&gt;&lt;ref-type name="Book"&gt;6&lt;/ref-type&gt;&lt;contributors&gt;&lt;authors&gt;&lt;author&gt;van Krevelen, D.W.&lt;/author&gt;&lt;author&gt;Nijenhuis, K. Te &lt;/author&gt;&lt;/authors&gt;&lt;/contributors&gt;&lt;titles&gt;&lt;title&gt;Properties of Polymers: Their Correlation with Chemical Structure; Their Numerical Estimation and Prediction from Additive Group Contributions&lt;/title&gt;&lt;/titles&gt;&lt;edition&gt;4&lt;/edition&gt;&lt;dates&gt;&lt;year&gt;2008&lt;/year&gt;&lt;/dates&gt;&lt;publisher&gt;Elsevier&lt;/publisher&gt;&lt;isbn&gt;978-0-08-054819-7&lt;/isbn&gt;&lt;urls&gt;&lt;/urls&gt;&lt;/record&gt;&lt;/Cite&gt;&lt;/EndNote&gt;</w:instrText>
      </w:r>
      <w:r w:rsidR="001E0FB1" w:rsidRPr="000A113C">
        <w:fldChar w:fldCharType="separate"/>
      </w:r>
      <w:r w:rsidR="001E0FB1">
        <w:rPr>
          <w:noProof/>
        </w:rPr>
        <w:t>[</w:t>
      </w:r>
      <w:hyperlink w:anchor="_ENREF_14" w:tooltip="van Krevelen, 2008 #2910" w:history="1">
        <w:r w:rsidR="009666CD" w:rsidRPr="009666CD">
          <w:rPr>
            <w:rStyle w:val="Hyperlink"/>
          </w:rPr>
          <w:t>14</w:t>
        </w:r>
      </w:hyperlink>
      <w:r w:rsidR="001E0FB1">
        <w:rPr>
          <w:noProof/>
        </w:rPr>
        <w:t>]</w:t>
      </w:r>
      <w:r w:rsidR="001E0FB1" w:rsidRPr="000A113C">
        <w:fldChar w:fldCharType="end"/>
      </w:r>
      <w:r w:rsidR="001E0FB1">
        <w:t xml:space="preserve"> and </w:t>
      </w:r>
      <w:r w:rsidR="001E0FB1" w:rsidRPr="00CA6565">
        <w:t>Boudouris</w:t>
      </w:r>
      <w:r w:rsidR="001E0FB1">
        <w:t xml:space="preserve"> et al. </w:t>
      </w:r>
      <w:r w:rsidR="001E0FB1">
        <w:fldChar w:fldCharType="begin"/>
      </w:r>
      <w:r w:rsidR="001E0FB1">
        <w:instrText xml:space="preserve"> ADDIN EN.CITE &lt;EndNote&gt;&lt;Cite&gt;&lt;Author&gt;Boudouris&lt;/Author&gt;&lt;Year&gt;1997&lt;/Year&gt;&lt;RecNum&gt;2813&lt;/RecNum&gt;&lt;DisplayText&gt;[15]&lt;/DisplayText&gt;&lt;record&gt;&lt;rec-number&gt;2813&lt;/rec-number&gt;&lt;foreign-keys&gt;&lt;key app="EN" db-id="edxfspa0hevet1epx2qxp5rdfxf99ae220dv" timestamp="1405619247"&gt;2813&lt;/key&gt;&lt;key app="ENWeb" db-id=""&gt;0&lt;/key&gt;&lt;/foreign-keys&gt;&lt;ref-type name="Journal Article"&gt;17&lt;/ref-type&gt;&lt;contributors&gt;&lt;authors&gt;&lt;author&gt;Boudouris, D.&lt;/author&gt;&lt;author&gt;Constantinou, L.&lt;/author&gt;&lt;author&gt;Panayiotou, C.&lt;/author&gt;&lt;/authors&gt;&lt;/contributors&gt;&lt;titles&gt;&lt;title&gt;A Group Contribution Estimation of the Thermodynamic Properties of Polymers†&lt;/title&gt;&lt;secondary-title&gt;Industrial &amp;amp; Engineering Chemistry Research&lt;/secondary-title&gt;&lt;/titles&gt;&lt;periodical&gt;&lt;full-title&gt;Industrial &amp;amp; Engineering Chemistry Research&lt;/full-title&gt;&lt;/periodical&gt;&lt;pages&gt;3968-3973&lt;/pages&gt;&lt;volume&gt;36&lt;/volume&gt;&lt;number&gt;9&lt;/number&gt;&lt;dates&gt;&lt;year&gt;1997&lt;/year&gt;&lt;/dates&gt;&lt;isbn&gt;0888-5885&amp;#xD;1520-5045&lt;/isbn&gt;&lt;urls&gt;&lt;/urls&gt;&lt;electronic-resource-num&gt;10.1021/ie970242g&lt;/electronic-resource-num&gt;&lt;research-notes&gt;Master Thesis Refs. ; Prediction of LCST&lt;/research-notes&gt;&lt;/record&gt;&lt;/Cite&gt;&lt;/EndNote&gt;</w:instrText>
      </w:r>
      <w:r w:rsidR="001E0FB1">
        <w:fldChar w:fldCharType="separate"/>
      </w:r>
      <w:r w:rsidR="001E0FB1">
        <w:rPr>
          <w:noProof/>
        </w:rPr>
        <w:t>[</w:t>
      </w:r>
      <w:hyperlink w:anchor="_ENREF_15" w:tooltip="Boudouris, 1997 #2813" w:history="1">
        <w:r w:rsidR="009666CD" w:rsidRPr="009666CD">
          <w:rPr>
            <w:rStyle w:val="Hyperlink"/>
          </w:rPr>
          <w:t>15</w:t>
        </w:r>
      </w:hyperlink>
      <w:r w:rsidR="001E0FB1">
        <w:rPr>
          <w:noProof/>
        </w:rPr>
        <w:t>]</w:t>
      </w:r>
      <w:r w:rsidR="001E0FB1">
        <w:fldChar w:fldCharType="end"/>
      </w:r>
      <w:r w:rsidR="001E0FB1">
        <w:t xml:space="preserve"> have been implemented</w:t>
      </w:r>
      <w:r w:rsidR="00503A4D">
        <w:t xml:space="preserve">. The performance of method is dictated by the </w:t>
      </w:r>
      <w:r w:rsidR="001E0FB1">
        <w:t>groups</w:t>
      </w:r>
      <w:r w:rsidR="00503A4D">
        <w:t xml:space="preserve"> introduced in these group contribution methods, and therefore by</w:t>
      </w:r>
      <w:r w:rsidR="001E0FB1">
        <w:t xml:space="preserve"> modification like addiction of new sub groups</w:t>
      </w:r>
      <w:r w:rsidR="00903464">
        <w:t xml:space="preserve"> or definition of new classes of groups combining a number of other </w:t>
      </w:r>
      <w:r w:rsidR="00903464" w:rsidRPr="000A113C">
        <w:t>group contribution method</w:t>
      </w:r>
      <w:r w:rsidR="00903464">
        <w:t>s</w:t>
      </w:r>
      <w:r w:rsidR="00503A4D">
        <w:t xml:space="preserve">, the performance </w:t>
      </w:r>
      <w:r w:rsidR="001E0FB1">
        <w:t xml:space="preserve">can be simply improved. </w:t>
      </w:r>
    </w:p>
    <w:p w14:paraId="55652DC7" w14:textId="38E51BE2" w:rsidR="00C85CBD" w:rsidRDefault="006649FF" w:rsidP="002F14D7">
      <w:pPr>
        <w:pStyle w:val="Heading1"/>
      </w:pPr>
      <w:r>
        <w:t>D</w:t>
      </w:r>
      <w:r w:rsidR="002F14D7">
        <w:t>ata</w:t>
      </w:r>
      <w:r w:rsidR="0091376E">
        <w:t>set</w:t>
      </w:r>
      <w:r>
        <w:t xml:space="preserve"> </w:t>
      </w:r>
      <w:r w:rsidR="0091376E">
        <w:t xml:space="preserve"> </w:t>
      </w:r>
      <w:r>
        <w:t xml:space="preserve">and discussion </w:t>
      </w:r>
    </w:p>
    <w:p w14:paraId="3BEF0708" w14:textId="2D8AB19C" w:rsidR="00B8002B" w:rsidRDefault="00503A4D" w:rsidP="009666CD">
      <w:r>
        <w:t xml:space="preserve">A </w:t>
      </w:r>
      <w:r w:rsidR="00386921">
        <w:t>number of model systems were collected from literature</w:t>
      </w:r>
      <w:r w:rsidR="00D32A6B">
        <w:t xml:space="preserve"> including (1) dipyridamole-</w:t>
      </w:r>
      <w:r w:rsidR="00D32A6B" w:rsidRPr="00D32A6B">
        <w:t>polyvinyl</w:t>
      </w:r>
      <w:r w:rsidR="00D32A6B">
        <w:t xml:space="preserve"> </w:t>
      </w:r>
      <w:r w:rsidR="00D32A6B" w:rsidRPr="00D32A6B">
        <w:t>pyrrolidone,</w:t>
      </w:r>
      <w:r w:rsidR="007C2E15">
        <w:t xml:space="preserve"> </w:t>
      </w:r>
      <w:r w:rsidR="00D32A6B">
        <w:t>(2) dipyridamole-polyacrylic acid</w:t>
      </w:r>
      <w:r w:rsidR="007C2E15" w:rsidRPr="00D32A6B">
        <w:t>,</w:t>
      </w:r>
      <w:r w:rsidR="007C2E15">
        <w:t xml:space="preserve"> </w:t>
      </w:r>
      <w:r w:rsidR="00D32A6B">
        <w:t>(3) cinnarizine-</w:t>
      </w:r>
      <w:r w:rsidR="00D32A6B" w:rsidRPr="00D32A6B">
        <w:t>polyvinyl</w:t>
      </w:r>
      <w:r w:rsidR="00D32A6B">
        <w:t xml:space="preserve"> </w:t>
      </w:r>
      <w:r w:rsidR="007C2E15">
        <w:lastRenderedPageBreak/>
        <w:t>pyrrolidone</w:t>
      </w:r>
      <w:r w:rsidR="007C2E15" w:rsidRPr="00D32A6B">
        <w:t>,</w:t>
      </w:r>
      <w:r w:rsidR="007C2E15">
        <w:t xml:space="preserve"> (</w:t>
      </w:r>
      <w:r w:rsidR="00D32A6B">
        <w:t>4) cinnarizine-polyacrylic acid</w:t>
      </w:r>
      <w:r w:rsidR="002F14D7">
        <w:t xml:space="preserve"> </w:t>
      </w:r>
      <w:r w:rsidR="007C2E15">
        <w:fldChar w:fldCharType="begin"/>
      </w:r>
      <w:r w:rsidR="00903464">
        <w:instrText xml:space="preserve"> ADDIN EN.CITE &lt;EndNote&gt;&lt;Cite&gt;&lt;Author&gt;Baghel&lt;/Author&gt;&lt;Year&gt;2016&lt;/Year&gt;&lt;RecNum&gt;2&lt;/RecNum&gt;&lt;DisplayText&gt;[16]&lt;/DisplayText&gt;&lt;record&gt;&lt;rec-number&gt;2&lt;/rec-number&gt;&lt;foreign-keys&gt;&lt;key app="EN" db-id="d0p9rfxs2etpavezzrkxpfe7ap9err9v5sd2" timestamp="1558274498"&gt;2&lt;/key&gt;&lt;/foreign-keys&gt;&lt;ref-type name="Journal Article"&gt;17&lt;/ref-type&gt;&lt;contributors&gt;&lt;authors&gt;&lt;author&gt;Baghel, Shrawan&lt;/author&gt;&lt;author&gt;Cathcart, Helen&lt;/author&gt;&lt;author&gt;O’Reilly, Niall J.&lt;/author&gt;&lt;/authors&gt;&lt;/contributors&gt;&lt;titles&gt;&lt;title&gt;Theoretical and experimental investigation of drug-polymer interaction and miscibility and its impact on drug supersaturation in aqueous medium&lt;/title&gt;&lt;secondary-title&gt;European Journal of Pharmaceutics and Biopharmaceutics&lt;/secondary-title&gt;&lt;/titles&gt;&lt;periodical&gt;&lt;full-title&gt;European Journal of Pharmaceutics and Biopharmaceutics&lt;/full-title&gt;&lt;/periodical&gt;&lt;pages&gt;16-31&lt;/pages&gt;&lt;volume&gt;107&lt;/volume&gt;&lt;keywords&gt;&lt;keyword&gt;Amorphous solid dispersion&lt;/keyword&gt;&lt;keyword&gt;Flory-Huggins theory&lt;/keyword&gt;&lt;keyword&gt;Solubility parameter&lt;/keyword&gt;&lt;keyword&gt;Phase diagram&lt;/keyword&gt;&lt;keyword&gt;Miscibility&lt;/keyword&gt;&lt;keyword&gt;Moisture sorption analysis&lt;/keyword&gt;&lt;keyword&gt;Binary and ternary Flory-Huggins interaction parameter&lt;/keyword&gt;&lt;keyword&gt;Supersaturation&lt;/keyword&gt;&lt;/keywords&gt;&lt;dates&gt;&lt;year&gt;2016&lt;/year&gt;&lt;pub-dates&gt;&lt;date&gt;2016/10/01/&lt;/date&gt;&lt;/pub-dates&gt;&lt;/dates&gt;&lt;isbn&gt;0939-6411&lt;/isbn&gt;&lt;urls&gt;&lt;related-urls&gt;&lt;url&gt;http://www.sciencedirect.com/science/article/pii/S0939641116302569&lt;/url&gt;&lt;/related-urls&gt;&lt;/urls&gt;&lt;electronic-resource-num&gt;https://doi.org/10.1016/j.ejpb.2016.06.024&lt;/electronic-resource-num&gt;&lt;/record&gt;&lt;/Cite&gt;&lt;/EndNote&gt;</w:instrText>
      </w:r>
      <w:r w:rsidR="007C2E15">
        <w:fldChar w:fldCharType="separate"/>
      </w:r>
      <w:r w:rsidR="00903464">
        <w:rPr>
          <w:noProof/>
        </w:rPr>
        <w:t>[</w:t>
      </w:r>
      <w:hyperlink w:anchor="_ENREF_16" w:tooltip="Baghel, 2016 #2" w:history="1">
        <w:r w:rsidR="009666CD" w:rsidRPr="009666CD">
          <w:rPr>
            <w:rStyle w:val="Hyperlink"/>
          </w:rPr>
          <w:t>16</w:t>
        </w:r>
      </w:hyperlink>
      <w:r w:rsidR="00903464">
        <w:rPr>
          <w:noProof/>
        </w:rPr>
        <w:t>]</w:t>
      </w:r>
      <w:r w:rsidR="007C2E15">
        <w:fldChar w:fldCharType="end"/>
      </w:r>
      <w:r w:rsidR="0044384F">
        <w:t xml:space="preserve">. </w:t>
      </w:r>
      <w:r w:rsidR="0044384F" w:rsidRPr="00CA77E3">
        <w:rPr>
          <w:rFonts w:ascii="Times-Roman" w:hAnsi="Times-Roman" w:cs="Times-Roman"/>
          <w:sz w:val="23"/>
          <w:szCs w:val="23"/>
        </w:rPr>
        <w:t>Cinnarizine is used to treat cerebral apoplexy, post-trauma cerebral symptoms, and cerebral arteriosclerosis</w:t>
      </w:r>
      <w:r w:rsidR="0044384F">
        <w:rPr>
          <w:rFonts w:ascii="Times-Roman" w:hAnsi="Times-Roman" w:cs="Times-Roman"/>
          <w:sz w:val="23"/>
          <w:szCs w:val="23"/>
        </w:rPr>
        <w:t xml:space="preserve">. </w:t>
      </w:r>
      <w:r w:rsidR="0044384F" w:rsidRPr="00CA77E3">
        <w:rPr>
          <w:rFonts w:ascii="Times-Roman" w:hAnsi="Times-Roman" w:cs="Times-Roman"/>
          <w:sz w:val="23"/>
          <w:szCs w:val="23"/>
        </w:rPr>
        <w:t>Dipyridamole is a medication</w:t>
      </w:r>
      <w:r w:rsidR="0044384F">
        <w:rPr>
          <w:rFonts w:ascii="Times-Roman" w:hAnsi="Times-Roman" w:cs="Times-Roman"/>
          <w:sz w:val="23"/>
          <w:szCs w:val="23"/>
        </w:rPr>
        <w:t xml:space="preserve"> to </w:t>
      </w:r>
      <w:r w:rsidR="0044384F" w:rsidRPr="00CA77E3">
        <w:rPr>
          <w:rFonts w:ascii="Times-Roman" w:hAnsi="Times-Roman" w:cs="Times-Roman"/>
          <w:sz w:val="23"/>
          <w:szCs w:val="23"/>
        </w:rPr>
        <w:t xml:space="preserve">inhibit blood clot formation </w:t>
      </w:r>
      <w:r w:rsidR="0044384F">
        <w:rPr>
          <w:rFonts w:ascii="Times-Roman" w:hAnsi="Times-Roman" w:cs="Times-Roman"/>
          <w:sz w:val="23"/>
          <w:szCs w:val="23"/>
        </w:rPr>
        <w:t>or</w:t>
      </w:r>
      <w:r w:rsidR="0044384F" w:rsidRPr="00CA77E3">
        <w:rPr>
          <w:rFonts w:ascii="Times-Roman" w:hAnsi="Times-Roman" w:cs="Times-Roman"/>
          <w:sz w:val="23"/>
          <w:szCs w:val="23"/>
        </w:rPr>
        <w:t xml:space="preserve"> blood vessel dilation.</w:t>
      </w:r>
      <w:r w:rsidR="0044384F">
        <w:rPr>
          <w:rFonts w:ascii="Times-Roman" w:hAnsi="Times-Roman" w:cs="Times-Roman"/>
          <w:sz w:val="23"/>
          <w:szCs w:val="23"/>
        </w:rPr>
        <w:t xml:space="preserve"> </w:t>
      </w:r>
      <w:r w:rsidR="0023045E">
        <w:t>For data extra</w:t>
      </w:r>
      <w:r w:rsidR="00CE7E7A">
        <w:t>ction</w:t>
      </w:r>
      <w:r w:rsidR="0023045E">
        <w:t xml:space="preserve">, </w:t>
      </w:r>
      <w:r w:rsidR="0023045E" w:rsidRPr="0023045E">
        <w:rPr>
          <w:i/>
          <w:iCs/>
        </w:rPr>
        <w:t>PlotDigitizer</w:t>
      </w:r>
      <w:r w:rsidR="0023045E">
        <w:t xml:space="preserve"> was used. </w:t>
      </w:r>
      <w:r w:rsidR="00E735A5">
        <w:t>The v</w:t>
      </w:r>
      <w:r w:rsidR="00E735A5" w:rsidRPr="00996E28">
        <w:t>olume fraction</w:t>
      </w:r>
      <w:r w:rsidR="00E735A5">
        <w:t xml:space="preserve"> of drug (</w:t>
      </w:r>
      <w:r w:rsidR="00E735A5" w:rsidRPr="00550DAA">
        <w:rPr>
          <w:position w:val="-12"/>
        </w:rPr>
        <w:object w:dxaOrig="220" w:dyaOrig="360" w14:anchorId="2E8DDA52">
          <v:shape id="_x0000_i1056" type="#_x0000_t75" style="width:11.25pt;height:18pt" o:ole="">
            <v:imagedata r:id="rId69" o:title=""/>
          </v:shape>
          <o:OLEObject Type="Embed" ProgID="Equation.DSMT4" ShapeID="_x0000_i1056" DrawAspect="Content" ObjectID="_1648580631" r:id="rId70"/>
        </w:object>
      </w:r>
      <w:r w:rsidR="00E735A5">
        <w:t>) and mass fraction of drug (</w:t>
      </w:r>
      <w:r w:rsidR="00E735A5" w:rsidRPr="00550DAA">
        <w:rPr>
          <w:position w:val="-12"/>
        </w:rPr>
        <w:object w:dxaOrig="279" w:dyaOrig="360" w14:anchorId="12FD4B24">
          <v:shape id="_x0000_i1057" type="#_x0000_t75" style="width:13.5pt;height:18pt" o:ole="">
            <v:imagedata r:id="rId71" o:title=""/>
          </v:shape>
          <o:OLEObject Type="Embed" ProgID="Equation.DSMT4" ShapeID="_x0000_i1057" DrawAspect="Content" ObjectID="_1648580632" r:id="rId72"/>
        </w:object>
      </w:r>
      <w:r w:rsidR="00E735A5">
        <w:t xml:space="preserve">) were converted by using equality </w:t>
      </w:r>
      <w:r w:rsidR="00E735A5" w:rsidRPr="00607279">
        <w:rPr>
          <w:position w:val="-16"/>
        </w:rPr>
        <w:object w:dxaOrig="2780" w:dyaOrig="440" w14:anchorId="1A386545">
          <v:shape id="_x0000_i1058" type="#_x0000_t75" style="width:138.75pt;height:21.75pt" o:ole="">
            <v:imagedata r:id="rId73" o:title=""/>
          </v:shape>
          <o:OLEObject Type="Embed" ProgID="Equation.DSMT4" ShapeID="_x0000_i1058" DrawAspect="Content" ObjectID="_1648580633" r:id="rId74"/>
        </w:object>
      </w:r>
      <w:r w:rsidR="00E735A5">
        <w:t>where needed.</w:t>
      </w:r>
      <w:r w:rsidR="00E828C8">
        <w:t xml:space="preserve"> </w:t>
      </w:r>
      <w:bookmarkStart w:id="12" w:name="_GoBack"/>
      <w:bookmarkEnd w:id="12"/>
    </w:p>
    <w:p w14:paraId="4EE6FFA4" w14:textId="585CE703" w:rsidR="00046F68" w:rsidRPr="003E3FA2" w:rsidRDefault="00046F68" w:rsidP="003E3FA2">
      <w:r>
        <w:t xml:space="preserve">Presenting phase diagram in terms of </w:t>
      </w:r>
      <w:r w:rsidR="00E828C8">
        <w:t>temperature-composition</w:t>
      </w:r>
      <w:r>
        <w:t xml:space="preserve"> is of great interest of </w:t>
      </w:r>
      <w:r w:rsidRPr="00046F68">
        <w:t>formulation scientists</w:t>
      </w:r>
      <w:r>
        <w:t xml:space="preserve"> as it may </w:t>
      </w:r>
      <w:r w:rsidR="00E828C8">
        <w:t>provide</w:t>
      </w:r>
      <w:r>
        <w:t xml:space="preserve"> </w:t>
      </w:r>
      <w:r w:rsidR="00E828C8">
        <w:t xml:space="preserve">estimation of </w:t>
      </w:r>
      <w:r>
        <w:t xml:space="preserve">stability. It can be easily understood from such phase diagrams if the </w:t>
      </w:r>
      <w:r w:rsidR="00E828C8">
        <w:t xml:space="preserve">mixture is </w:t>
      </w:r>
      <w:r>
        <w:t xml:space="preserve">stable or may experience </w:t>
      </w:r>
      <w:r w:rsidR="00E828C8">
        <w:t xml:space="preserve">phase separation </w:t>
      </w:r>
      <w:r>
        <w:t xml:space="preserve">due to composition or temperature variations. </w:t>
      </w:r>
      <w:r w:rsidR="003E3FA2">
        <w:t xml:space="preserve">From </w:t>
      </w:r>
      <w:r w:rsidR="003E3FA2" w:rsidRPr="003E3FA2">
        <w:t>temperature-composition</w:t>
      </w:r>
      <w:r w:rsidR="003E3FA2">
        <w:t xml:space="preserve"> phase diagrams, the mixtures could be expected to be thermodynamically stable above the binodal curve where mixtures form one phase. In region surrounded by binodal and spinodal boundaries, the compounds are partially miscible and mixtures are metastable and two phases of polymer-rich and drug-rich coexist. </w:t>
      </w:r>
    </w:p>
    <w:p w14:paraId="4388413B" w14:textId="39057137" w:rsidR="00646E6B" w:rsidRDefault="003E3FA2" w:rsidP="003E3FA2">
      <w:pPr>
        <w:pStyle w:val="Heading1"/>
      </w:pPr>
      <w:r>
        <w:t xml:space="preserve"> </w:t>
      </w:r>
      <w:r w:rsidR="00646E6B">
        <w:t xml:space="preserve">Concluding remarks </w:t>
      </w:r>
    </w:p>
    <w:p w14:paraId="663EEB49" w14:textId="43B398D8" w:rsidR="00503A4D" w:rsidRPr="00503A4D" w:rsidRDefault="00646E6B" w:rsidP="00646E6B">
      <w:r>
        <w:t>A systematically improvable method is given for prediction of miscibility of binary mixtures and examined for application in amorphous solid dispersion analysis. The o</w:t>
      </w:r>
      <w:r w:rsidR="00503A4D">
        <w:t>ther applications of reported code may include o</w:t>
      </w:r>
      <w:r w:rsidR="00503A4D" w:rsidRPr="00C04923">
        <w:t>rganic solvent selection</w:t>
      </w:r>
      <w:r w:rsidR="00503A4D">
        <w:t>, c</w:t>
      </w:r>
      <w:r w:rsidR="00503A4D" w:rsidRPr="00C04923">
        <w:t>ocrystal and salt screening</w:t>
      </w:r>
      <w:r w:rsidR="00503A4D">
        <w:t>, and etc.</w:t>
      </w:r>
      <w:r>
        <w:t xml:space="preserve"> The performance of method in terms of computational and costs and accuracy is acceptable. </w:t>
      </w:r>
    </w:p>
    <w:p w14:paraId="1E856D95" w14:textId="0A2ACD93" w:rsidR="00AA70FB" w:rsidRPr="00AA70FB" w:rsidRDefault="00AA70FB" w:rsidP="00875DD0">
      <w:pPr>
        <w:pStyle w:val="Heading1"/>
      </w:pPr>
      <w:r w:rsidRPr="00AA70FB">
        <w:t xml:space="preserve">Conflict of interest </w:t>
      </w:r>
    </w:p>
    <w:p w14:paraId="271D2ABD" w14:textId="6F995F2B" w:rsidR="00AA70FB" w:rsidRDefault="00AA70FB" w:rsidP="00875DD0">
      <w:pPr>
        <w:rPr>
          <w:lang w:bidi="fa-IR"/>
        </w:rPr>
      </w:pPr>
      <w:r>
        <w:rPr>
          <w:lang w:bidi="fa-IR"/>
        </w:rPr>
        <w:t xml:space="preserve">There is no conflict of interest to declare. </w:t>
      </w:r>
    </w:p>
    <w:p w14:paraId="2E52A2C3" w14:textId="3D684703" w:rsidR="00256B64" w:rsidRPr="007B35B5" w:rsidRDefault="00256B64" w:rsidP="00875DD0">
      <w:pPr>
        <w:rPr>
          <w:rStyle w:val="Strong"/>
        </w:rPr>
      </w:pPr>
      <w:r w:rsidRPr="007B35B5">
        <w:rPr>
          <w:rStyle w:val="Strong"/>
        </w:rPr>
        <w:t>References</w:t>
      </w:r>
    </w:p>
    <w:p w14:paraId="2A7701C3" w14:textId="77777777" w:rsidR="009666CD" w:rsidRPr="009666CD" w:rsidRDefault="003F3F6C" w:rsidP="009666CD">
      <w:pPr>
        <w:pStyle w:val="EndNoteBibliography"/>
        <w:spacing w:after="0"/>
        <w:ind w:left="720" w:hanging="720"/>
      </w:pPr>
      <w:r>
        <w:fldChar w:fldCharType="begin"/>
      </w:r>
      <w:r>
        <w:instrText xml:space="preserve"> ADDIN EN.REFLIST </w:instrText>
      </w:r>
      <w:r>
        <w:fldChar w:fldCharType="separate"/>
      </w:r>
      <w:bookmarkStart w:id="13" w:name="_ENREF_1"/>
      <w:r w:rsidR="009666CD" w:rsidRPr="009666CD">
        <w:t>1.</w:t>
      </w:r>
      <w:r w:rsidR="009666CD" w:rsidRPr="009666CD">
        <w:tab/>
        <w:t xml:space="preserve">Sandhu, H., et al., </w:t>
      </w:r>
      <w:r w:rsidR="009666CD" w:rsidRPr="009666CD">
        <w:rPr>
          <w:i/>
        </w:rPr>
        <w:t>Overview of Amorphous Solid Dispersion Technologies</w:t>
      </w:r>
      <w:r w:rsidR="009666CD" w:rsidRPr="009666CD">
        <w:t xml:space="preserve">, in </w:t>
      </w:r>
      <w:r w:rsidR="009666CD" w:rsidRPr="009666CD">
        <w:rPr>
          <w:i/>
        </w:rPr>
        <w:t>Amorphous Solid Dispersions: Theory and Practice</w:t>
      </w:r>
      <w:r w:rsidR="009666CD" w:rsidRPr="009666CD">
        <w:t>, N. Shah, et al., Editors. 2014, Springer New York: New York, NY. p. 91-122.</w:t>
      </w:r>
      <w:bookmarkEnd w:id="13"/>
    </w:p>
    <w:p w14:paraId="0447BBCF" w14:textId="77777777" w:rsidR="009666CD" w:rsidRPr="009666CD" w:rsidRDefault="009666CD" w:rsidP="009666CD">
      <w:pPr>
        <w:pStyle w:val="EndNoteBibliography"/>
        <w:spacing w:after="0"/>
        <w:ind w:left="720" w:hanging="720"/>
      </w:pPr>
      <w:bookmarkStart w:id="14" w:name="_ENREF_2"/>
      <w:r w:rsidRPr="009666CD">
        <w:t>2.</w:t>
      </w:r>
      <w:r w:rsidRPr="009666CD">
        <w:tab/>
        <w:t xml:space="preserve">Huang, Y. and W.-G. Dai, </w:t>
      </w:r>
      <w:r w:rsidRPr="009666CD">
        <w:rPr>
          <w:i/>
        </w:rPr>
        <w:t>Fundamental aspects of solid dispersion technology for poorly soluble drugs.</w:t>
      </w:r>
      <w:r w:rsidRPr="009666CD">
        <w:t xml:space="preserve"> Acta Pharmaceutica Sinica B, 2014. </w:t>
      </w:r>
      <w:r w:rsidRPr="009666CD">
        <w:rPr>
          <w:b/>
        </w:rPr>
        <w:t>4</w:t>
      </w:r>
      <w:r w:rsidRPr="009666CD">
        <w:t>(1): p. 18-25.</w:t>
      </w:r>
      <w:bookmarkEnd w:id="14"/>
    </w:p>
    <w:p w14:paraId="4B4F6553" w14:textId="77777777" w:rsidR="009666CD" w:rsidRPr="009666CD" w:rsidRDefault="009666CD" w:rsidP="009666CD">
      <w:pPr>
        <w:pStyle w:val="EndNoteBibliography"/>
        <w:spacing w:after="0"/>
        <w:ind w:left="720" w:hanging="720"/>
      </w:pPr>
      <w:bookmarkStart w:id="15" w:name="_ENREF_3"/>
      <w:r w:rsidRPr="009666CD">
        <w:t>3.</w:t>
      </w:r>
      <w:r w:rsidRPr="009666CD">
        <w:tab/>
        <w:t xml:space="preserve">Zhang, J., et al., </w:t>
      </w:r>
      <w:r w:rsidRPr="009666CD">
        <w:rPr>
          <w:i/>
        </w:rPr>
        <w:t>Analysis of the Literature and Patents on Solid Dispersions from 1980 to 2015.</w:t>
      </w:r>
      <w:r w:rsidRPr="009666CD">
        <w:t xml:space="preserve"> Molecules, 2018. </w:t>
      </w:r>
      <w:r w:rsidRPr="009666CD">
        <w:rPr>
          <w:b/>
        </w:rPr>
        <w:t>23</w:t>
      </w:r>
      <w:r w:rsidRPr="009666CD">
        <w:t>(7).</w:t>
      </w:r>
      <w:bookmarkEnd w:id="15"/>
    </w:p>
    <w:p w14:paraId="1F1A0B48" w14:textId="77777777" w:rsidR="009666CD" w:rsidRPr="009666CD" w:rsidRDefault="009666CD" w:rsidP="009666CD">
      <w:pPr>
        <w:pStyle w:val="EndNoteBibliography"/>
        <w:spacing w:after="0"/>
        <w:ind w:left="720" w:hanging="720"/>
      </w:pPr>
      <w:bookmarkStart w:id="16" w:name="_ENREF_4"/>
      <w:r w:rsidRPr="009666CD">
        <w:t>4.</w:t>
      </w:r>
      <w:r w:rsidRPr="009666CD">
        <w:tab/>
        <w:t xml:space="preserve">Baghel, S., H. Cathcart, and N.J. O'Reilly, </w:t>
      </w:r>
      <w:r w:rsidRPr="009666CD">
        <w:rPr>
          <w:i/>
        </w:rPr>
        <w:t>Polymeric Amorphous Solid Dispersions: A Review of Amorphization, Crystallization, Stabilization, Solid-State Characterization, and Aqueous Solubilization of Biopharmaceutical Classification System Class II Drugs.</w:t>
      </w:r>
      <w:r w:rsidRPr="009666CD">
        <w:t xml:space="preserve"> Journal of Pharmaceutical Sciences, 2016. </w:t>
      </w:r>
      <w:r w:rsidRPr="009666CD">
        <w:rPr>
          <w:b/>
        </w:rPr>
        <w:t>105</w:t>
      </w:r>
      <w:r w:rsidRPr="009666CD">
        <w:t>(9): p. 2527-2544.</w:t>
      </w:r>
      <w:bookmarkEnd w:id="16"/>
    </w:p>
    <w:p w14:paraId="108A31B2" w14:textId="77777777" w:rsidR="009666CD" w:rsidRPr="009666CD" w:rsidRDefault="009666CD" w:rsidP="009666CD">
      <w:pPr>
        <w:pStyle w:val="EndNoteBibliography"/>
        <w:spacing w:after="0"/>
        <w:ind w:left="720" w:hanging="720"/>
      </w:pPr>
      <w:bookmarkStart w:id="17" w:name="_ENREF_5"/>
      <w:r w:rsidRPr="009666CD">
        <w:t>5.</w:t>
      </w:r>
      <w:r w:rsidRPr="009666CD">
        <w:tab/>
        <w:t xml:space="preserve">Huang, J., R.J. Wigent, and J.B. Schwartz, </w:t>
      </w:r>
      <w:r w:rsidRPr="009666CD">
        <w:rPr>
          <w:i/>
        </w:rPr>
        <w:t>Drug–polymer interaction and its significance on the physical stability of nifedipine amorphous dispersion in microparticles of an ammonio methacrylate copolymer and ethylcellulose binary blend.</w:t>
      </w:r>
      <w:r w:rsidRPr="009666CD">
        <w:t xml:space="preserve"> Journal of Pharmaceutical Sciences, 2008. </w:t>
      </w:r>
      <w:r w:rsidRPr="009666CD">
        <w:rPr>
          <w:b/>
        </w:rPr>
        <w:t>97</w:t>
      </w:r>
      <w:r w:rsidRPr="009666CD">
        <w:t>(1): p. 251-262.</w:t>
      </w:r>
      <w:bookmarkEnd w:id="17"/>
    </w:p>
    <w:p w14:paraId="662B0B24" w14:textId="77777777" w:rsidR="009666CD" w:rsidRPr="009666CD" w:rsidRDefault="009666CD" w:rsidP="009666CD">
      <w:pPr>
        <w:pStyle w:val="EndNoteBibliography"/>
        <w:spacing w:after="0"/>
        <w:ind w:left="720" w:hanging="720"/>
      </w:pPr>
      <w:bookmarkStart w:id="18" w:name="_ENREF_6"/>
      <w:r w:rsidRPr="009666CD">
        <w:t>6.</w:t>
      </w:r>
      <w:r w:rsidRPr="009666CD">
        <w:tab/>
        <w:t xml:space="preserve">Xiang, T.-X. and B.D. Anderson, </w:t>
      </w:r>
      <w:r w:rsidRPr="009666CD">
        <w:rPr>
          <w:i/>
        </w:rPr>
        <w:t>Effects of Molecular Interactions on Miscibility and Mobility of Ibuprofen in Amorphous Solid Dispersions With Various Polymers.</w:t>
      </w:r>
      <w:r w:rsidRPr="009666CD">
        <w:t xml:space="preserve"> Journal of Pharmaceutical Sciences, 2019. </w:t>
      </w:r>
      <w:r w:rsidRPr="009666CD">
        <w:rPr>
          <w:b/>
        </w:rPr>
        <w:t>108</w:t>
      </w:r>
      <w:r w:rsidRPr="009666CD">
        <w:t>(1): p. 178-186.</w:t>
      </w:r>
      <w:bookmarkEnd w:id="18"/>
    </w:p>
    <w:p w14:paraId="5BC97CB4" w14:textId="77777777" w:rsidR="009666CD" w:rsidRPr="009666CD" w:rsidRDefault="009666CD" w:rsidP="009666CD">
      <w:pPr>
        <w:pStyle w:val="EndNoteBibliography"/>
        <w:spacing w:after="0"/>
        <w:ind w:left="720" w:hanging="720"/>
      </w:pPr>
      <w:bookmarkStart w:id="19" w:name="_ENREF_7"/>
      <w:r w:rsidRPr="009666CD">
        <w:t>7.</w:t>
      </w:r>
      <w:r w:rsidRPr="009666CD">
        <w:tab/>
        <w:t xml:space="preserve">Zhao, Y., et al., </w:t>
      </w:r>
      <w:r w:rsidRPr="009666CD">
        <w:rPr>
          <w:i/>
        </w:rPr>
        <w:t>Prediction of the thermal phase diagram of amorphous solid dispersions by flory–huggins theory.</w:t>
      </w:r>
      <w:r w:rsidRPr="009666CD">
        <w:t xml:space="preserve"> Journal of Pharmaceutical Sciences, 2011. </w:t>
      </w:r>
      <w:r w:rsidRPr="009666CD">
        <w:rPr>
          <w:b/>
        </w:rPr>
        <w:t>100</w:t>
      </w:r>
      <w:r w:rsidRPr="009666CD">
        <w:t>(8): p. 3196-3207.</w:t>
      </w:r>
      <w:bookmarkEnd w:id="19"/>
    </w:p>
    <w:p w14:paraId="5E023870" w14:textId="77777777" w:rsidR="009666CD" w:rsidRPr="009666CD" w:rsidRDefault="009666CD" w:rsidP="009666CD">
      <w:pPr>
        <w:pStyle w:val="EndNoteBibliography"/>
        <w:spacing w:after="0"/>
        <w:ind w:left="720" w:hanging="720"/>
      </w:pPr>
      <w:bookmarkStart w:id="20" w:name="_ENREF_8"/>
      <w:r w:rsidRPr="009666CD">
        <w:t>8.</w:t>
      </w:r>
      <w:r w:rsidRPr="009666CD">
        <w:tab/>
        <w:t xml:space="preserve">Lindvig, T., M.L. Michelsen, and G.M. Kontogeorgis, </w:t>
      </w:r>
      <w:r w:rsidRPr="009666CD">
        <w:rPr>
          <w:i/>
        </w:rPr>
        <w:t>A Flory–Huggins model based on the Hansen solubility parameters.</w:t>
      </w:r>
      <w:r w:rsidRPr="009666CD">
        <w:t xml:space="preserve"> Fluid Phase Equilibria, 2002. </w:t>
      </w:r>
      <w:r w:rsidRPr="009666CD">
        <w:rPr>
          <w:b/>
        </w:rPr>
        <w:t>203</w:t>
      </w:r>
      <w:r w:rsidRPr="009666CD">
        <w:t>(1-2): p. 247-260.</w:t>
      </w:r>
      <w:bookmarkEnd w:id="20"/>
    </w:p>
    <w:p w14:paraId="12CE3B00" w14:textId="77777777" w:rsidR="009666CD" w:rsidRPr="009666CD" w:rsidRDefault="009666CD" w:rsidP="009666CD">
      <w:pPr>
        <w:pStyle w:val="EndNoteBibliography"/>
        <w:spacing w:after="0"/>
        <w:ind w:left="720" w:hanging="720"/>
      </w:pPr>
      <w:bookmarkStart w:id="21" w:name="_ENREF_9"/>
      <w:r w:rsidRPr="009666CD">
        <w:lastRenderedPageBreak/>
        <w:t>9.</w:t>
      </w:r>
      <w:r w:rsidRPr="009666CD">
        <w:tab/>
        <w:t xml:space="preserve">Khansary, M.A., </w:t>
      </w:r>
      <w:r w:rsidRPr="009666CD">
        <w:rPr>
          <w:i/>
        </w:rPr>
        <w:t>Vapor pressure and Flory-Huggins interaction parameters in binary polymeric solutions.</w:t>
      </w:r>
      <w:r w:rsidRPr="009666CD">
        <w:t xml:space="preserve"> Korean Journal of Chemical Engineering, 2016. </w:t>
      </w:r>
      <w:r w:rsidRPr="009666CD">
        <w:rPr>
          <w:b/>
        </w:rPr>
        <w:t>33</w:t>
      </w:r>
      <w:r w:rsidRPr="009666CD">
        <w:t>(4): p. 1402-1407.</w:t>
      </w:r>
      <w:bookmarkEnd w:id="21"/>
    </w:p>
    <w:p w14:paraId="50D21F3C" w14:textId="77777777" w:rsidR="009666CD" w:rsidRPr="009666CD" w:rsidRDefault="009666CD" w:rsidP="009666CD">
      <w:pPr>
        <w:pStyle w:val="EndNoteBibliography"/>
        <w:spacing w:after="0"/>
        <w:ind w:left="720" w:hanging="720"/>
      </w:pPr>
      <w:bookmarkStart w:id="22" w:name="_ENREF_10"/>
      <w:r w:rsidRPr="009666CD">
        <w:t>10.</w:t>
      </w:r>
      <w:r w:rsidRPr="009666CD">
        <w:tab/>
        <w:t xml:space="preserve">Keshavarz, L., M.A. Khansary, and S. Shirazian, </w:t>
      </w:r>
      <w:r w:rsidRPr="009666CD">
        <w:rPr>
          <w:i/>
        </w:rPr>
        <w:t>Phase diagram of ternary polymeric solutions containing nonsolvent/solvent/polymer: Theoretical calculation and experimental validation.</w:t>
      </w:r>
      <w:r w:rsidRPr="009666CD">
        <w:t xml:space="preserve"> Polymer, 2015. </w:t>
      </w:r>
      <w:r w:rsidRPr="009666CD">
        <w:rPr>
          <w:b/>
        </w:rPr>
        <w:t>73</w:t>
      </w:r>
      <w:r w:rsidRPr="009666CD">
        <w:t>: p. 1-8.</w:t>
      </w:r>
      <w:bookmarkEnd w:id="22"/>
    </w:p>
    <w:p w14:paraId="6A28CADD" w14:textId="77777777" w:rsidR="009666CD" w:rsidRPr="009666CD" w:rsidRDefault="009666CD" w:rsidP="009666CD">
      <w:pPr>
        <w:pStyle w:val="EndNoteBibliography"/>
        <w:spacing w:after="0"/>
        <w:ind w:left="720" w:hanging="720"/>
      </w:pPr>
      <w:bookmarkStart w:id="23" w:name="_ENREF_11"/>
      <w:r w:rsidRPr="009666CD">
        <w:t>11.</w:t>
      </w:r>
      <w:r w:rsidRPr="009666CD">
        <w:tab/>
        <w:t xml:space="preserve">Asgarpour Khansary, M., S. Shirazian, and M. Asadollahzadeh, </w:t>
      </w:r>
      <w:r w:rsidRPr="009666CD">
        <w:rPr>
          <w:i/>
        </w:rPr>
        <w:t>Polymer-water partition coefficients in polymeric passive samplers.</w:t>
      </w:r>
      <w:r w:rsidRPr="009666CD">
        <w:t xml:space="preserve"> Environ Sci Pollut Res Int, 2017. </w:t>
      </w:r>
      <w:r w:rsidRPr="009666CD">
        <w:rPr>
          <w:b/>
        </w:rPr>
        <w:t>24</w:t>
      </w:r>
      <w:r w:rsidRPr="009666CD">
        <w:t>(3): p. 2627-2631.</w:t>
      </w:r>
      <w:bookmarkEnd w:id="23"/>
    </w:p>
    <w:p w14:paraId="64CDF941" w14:textId="77777777" w:rsidR="009666CD" w:rsidRPr="009666CD" w:rsidRDefault="009666CD" w:rsidP="009666CD">
      <w:pPr>
        <w:pStyle w:val="EndNoteBibliography"/>
        <w:spacing w:after="0"/>
        <w:ind w:left="720" w:hanging="720"/>
      </w:pPr>
      <w:bookmarkStart w:id="24" w:name="_ENREF_12"/>
      <w:r w:rsidRPr="009666CD">
        <w:t>12.</w:t>
      </w:r>
      <w:r w:rsidRPr="009666CD">
        <w:tab/>
        <w:t xml:space="preserve">Hansen, C.M., </w:t>
      </w:r>
      <w:r w:rsidRPr="009666CD">
        <w:rPr>
          <w:i/>
        </w:rPr>
        <w:t>Hansen solubility parameters: a user’s handbook</w:t>
      </w:r>
      <w:r w:rsidRPr="009666CD">
        <w:t>. 2000, Florida: CRC Press.</w:t>
      </w:r>
      <w:bookmarkEnd w:id="24"/>
    </w:p>
    <w:p w14:paraId="445AAB0F" w14:textId="77777777" w:rsidR="009666CD" w:rsidRPr="009666CD" w:rsidRDefault="009666CD" w:rsidP="009666CD">
      <w:pPr>
        <w:pStyle w:val="EndNoteBibliography"/>
        <w:spacing w:after="0"/>
        <w:ind w:left="720" w:hanging="720"/>
      </w:pPr>
      <w:bookmarkStart w:id="25" w:name="_ENREF_13"/>
      <w:r w:rsidRPr="009666CD">
        <w:t>13.</w:t>
      </w:r>
      <w:r w:rsidRPr="009666CD">
        <w:tab/>
        <w:t xml:space="preserve">Khansary, M.A., et al., </w:t>
      </w:r>
      <w:r w:rsidRPr="009666CD">
        <w:rPr>
          <w:i/>
        </w:rPr>
        <w:t>An enquiry on appropriate selection of polymers for preparation of polymeric nanosorbents and nanofiltration/ultrafiltration membranes for hormone micropollutants removal from water effluents.</w:t>
      </w:r>
      <w:r w:rsidRPr="009666CD">
        <w:t xml:space="preserve"> Chemosphere, 2017. </w:t>
      </w:r>
      <w:r w:rsidRPr="009666CD">
        <w:rPr>
          <w:b/>
        </w:rPr>
        <w:t>168</w:t>
      </w:r>
      <w:r w:rsidRPr="009666CD">
        <w:t>: p. 91-99.</w:t>
      </w:r>
      <w:bookmarkEnd w:id="25"/>
    </w:p>
    <w:p w14:paraId="422A6B67" w14:textId="77777777" w:rsidR="009666CD" w:rsidRPr="009666CD" w:rsidRDefault="009666CD" w:rsidP="009666CD">
      <w:pPr>
        <w:pStyle w:val="EndNoteBibliography"/>
        <w:spacing w:after="0"/>
        <w:ind w:left="720" w:hanging="720"/>
      </w:pPr>
      <w:bookmarkStart w:id="26" w:name="_ENREF_14"/>
      <w:r w:rsidRPr="009666CD">
        <w:t>14.</w:t>
      </w:r>
      <w:r w:rsidRPr="009666CD">
        <w:tab/>
        <w:t xml:space="preserve">van Krevelen, D.W. and K.T. Nijenhuis, </w:t>
      </w:r>
      <w:r w:rsidRPr="009666CD">
        <w:rPr>
          <w:i/>
        </w:rPr>
        <w:t>Properties of Polymers: Their Correlation with Chemical Structure; Their Numerical Estimation and Prediction from Additive Group Contributions</w:t>
      </w:r>
      <w:r w:rsidRPr="009666CD">
        <w:t>. 4 ed. 2008: Elsevier.</w:t>
      </w:r>
      <w:bookmarkEnd w:id="26"/>
    </w:p>
    <w:p w14:paraId="430FA02A" w14:textId="77777777" w:rsidR="009666CD" w:rsidRPr="009666CD" w:rsidRDefault="009666CD" w:rsidP="009666CD">
      <w:pPr>
        <w:pStyle w:val="EndNoteBibliography"/>
        <w:spacing w:after="0"/>
        <w:ind w:left="720" w:hanging="720"/>
      </w:pPr>
      <w:bookmarkStart w:id="27" w:name="_ENREF_15"/>
      <w:r w:rsidRPr="009666CD">
        <w:t>15.</w:t>
      </w:r>
      <w:r w:rsidRPr="009666CD">
        <w:tab/>
        <w:t xml:space="preserve">Boudouris, D., L. Constantinou, and C. Panayiotou, </w:t>
      </w:r>
      <w:r w:rsidRPr="009666CD">
        <w:rPr>
          <w:i/>
        </w:rPr>
        <w:t>A Group Contribution Estimation of the Thermodynamic Properties of Polymers†.</w:t>
      </w:r>
      <w:r w:rsidRPr="009666CD">
        <w:t xml:space="preserve"> Industrial &amp; Engineering Chemistry Research, 1997. </w:t>
      </w:r>
      <w:r w:rsidRPr="009666CD">
        <w:rPr>
          <w:b/>
        </w:rPr>
        <w:t>36</w:t>
      </w:r>
      <w:r w:rsidRPr="009666CD">
        <w:t>(9): p. 3968-3973.</w:t>
      </w:r>
      <w:bookmarkEnd w:id="27"/>
    </w:p>
    <w:p w14:paraId="02CB5E7F" w14:textId="77777777" w:rsidR="009666CD" w:rsidRPr="009666CD" w:rsidRDefault="009666CD" w:rsidP="009666CD">
      <w:pPr>
        <w:pStyle w:val="EndNoteBibliography"/>
        <w:ind w:left="720" w:hanging="720"/>
      </w:pPr>
      <w:bookmarkStart w:id="28" w:name="_ENREF_16"/>
      <w:r w:rsidRPr="009666CD">
        <w:t>16.</w:t>
      </w:r>
      <w:r w:rsidRPr="009666CD">
        <w:tab/>
        <w:t xml:space="preserve">Baghel, S., H. Cathcart, and N.J. O’Reilly, </w:t>
      </w:r>
      <w:r w:rsidRPr="009666CD">
        <w:rPr>
          <w:i/>
        </w:rPr>
        <w:t>Theoretical and experimental investigation of drug-polymer interaction and miscibility and its impact on drug supersaturation in aqueous medium.</w:t>
      </w:r>
      <w:r w:rsidRPr="009666CD">
        <w:t xml:space="preserve"> European Journal of Pharmaceutics and Biopharmaceutics, 2016. </w:t>
      </w:r>
      <w:r w:rsidRPr="009666CD">
        <w:rPr>
          <w:b/>
        </w:rPr>
        <w:t>107</w:t>
      </w:r>
      <w:r w:rsidRPr="009666CD">
        <w:t>: p. 16-31.</w:t>
      </w:r>
      <w:bookmarkEnd w:id="28"/>
    </w:p>
    <w:p w14:paraId="5F2EA107" w14:textId="5607C2DC" w:rsidR="002105D3" w:rsidRPr="00BB2A68" w:rsidRDefault="003F3F6C" w:rsidP="009666CD">
      <w:r>
        <w:fldChar w:fldCharType="end"/>
      </w:r>
    </w:p>
    <w:sectPr w:rsidR="002105D3" w:rsidRPr="00BB2A68" w:rsidSect="001366FF">
      <w:footerReference w:type="default" r:id="rId7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49D51" w14:textId="77777777" w:rsidR="00AA23BD" w:rsidRDefault="00AA23BD" w:rsidP="00875DD0">
      <w:r>
        <w:separator/>
      </w:r>
    </w:p>
  </w:endnote>
  <w:endnote w:type="continuationSeparator" w:id="0">
    <w:p w14:paraId="01F5C79A" w14:textId="77777777" w:rsidR="00AA23BD" w:rsidRDefault="00AA23BD" w:rsidP="00875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8472371"/>
      <w:docPartObj>
        <w:docPartGallery w:val="Page Numbers (Bottom of Page)"/>
        <w:docPartUnique/>
      </w:docPartObj>
    </w:sdtPr>
    <w:sdtEndPr>
      <w:rPr>
        <w:noProof/>
      </w:rPr>
    </w:sdtEndPr>
    <w:sdtContent>
      <w:p w14:paraId="5CA29933" w14:textId="3B891571" w:rsidR="00E05BAF" w:rsidRDefault="00E05BAF" w:rsidP="00875DD0">
        <w:pPr>
          <w:pStyle w:val="Footer"/>
        </w:pPr>
        <w:r>
          <w:t>-</w:t>
        </w:r>
        <w:r>
          <w:fldChar w:fldCharType="begin"/>
        </w:r>
        <w:r>
          <w:instrText xml:space="preserve"> PAGE   \* MERGEFORMAT </w:instrText>
        </w:r>
        <w:r>
          <w:fldChar w:fldCharType="separate"/>
        </w:r>
        <w:r w:rsidR="009B63D9">
          <w:rPr>
            <w:noProof/>
          </w:rPr>
          <w:t>1</w:t>
        </w:r>
        <w:r>
          <w:rPr>
            <w:noProof/>
          </w:rPr>
          <w:fldChar w:fldCharType="end"/>
        </w:r>
        <w:r>
          <w:rPr>
            <w:noProof/>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E78DE" w14:textId="77777777" w:rsidR="00AA23BD" w:rsidRDefault="00AA23BD" w:rsidP="00875DD0">
      <w:r>
        <w:separator/>
      </w:r>
    </w:p>
  </w:footnote>
  <w:footnote w:type="continuationSeparator" w:id="0">
    <w:p w14:paraId="1013A3C9" w14:textId="77777777" w:rsidR="00AA23BD" w:rsidRDefault="00AA23BD" w:rsidP="00875D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552"/>
    <w:multiLevelType w:val="hybridMultilevel"/>
    <w:tmpl w:val="F1CE23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52E68"/>
    <w:multiLevelType w:val="multilevel"/>
    <w:tmpl w:val="1C9AC0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DDB677A"/>
    <w:multiLevelType w:val="multilevel"/>
    <w:tmpl w:val="CF0474F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Libraries&gt;"/>
  </w:docVars>
  <w:rsids>
    <w:rsidRoot w:val="001A0B86"/>
    <w:rsid w:val="00002A45"/>
    <w:rsid w:val="00004949"/>
    <w:rsid w:val="000056FF"/>
    <w:rsid w:val="00007AC7"/>
    <w:rsid w:val="00011016"/>
    <w:rsid w:val="00015D9D"/>
    <w:rsid w:val="00017AE6"/>
    <w:rsid w:val="000200C7"/>
    <w:rsid w:val="000201CE"/>
    <w:rsid w:val="0002173B"/>
    <w:rsid w:val="000225CD"/>
    <w:rsid w:val="00023D91"/>
    <w:rsid w:val="00023D99"/>
    <w:rsid w:val="000246FD"/>
    <w:rsid w:val="00025905"/>
    <w:rsid w:val="00030229"/>
    <w:rsid w:val="00031245"/>
    <w:rsid w:val="00034228"/>
    <w:rsid w:val="0003517E"/>
    <w:rsid w:val="00036706"/>
    <w:rsid w:val="00036824"/>
    <w:rsid w:val="00041B2B"/>
    <w:rsid w:val="00045151"/>
    <w:rsid w:val="000458B4"/>
    <w:rsid w:val="00045B19"/>
    <w:rsid w:val="00046B46"/>
    <w:rsid w:val="00046F68"/>
    <w:rsid w:val="000474A8"/>
    <w:rsid w:val="00051625"/>
    <w:rsid w:val="0005710E"/>
    <w:rsid w:val="00061105"/>
    <w:rsid w:val="00070492"/>
    <w:rsid w:val="0007159E"/>
    <w:rsid w:val="000740E0"/>
    <w:rsid w:val="00074440"/>
    <w:rsid w:val="0007601F"/>
    <w:rsid w:val="00076A53"/>
    <w:rsid w:val="000774E0"/>
    <w:rsid w:val="00080079"/>
    <w:rsid w:val="000805DF"/>
    <w:rsid w:val="00082600"/>
    <w:rsid w:val="00085267"/>
    <w:rsid w:val="0009045A"/>
    <w:rsid w:val="00092E68"/>
    <w:rsid w:val="00095D60"/>
    <w:rsid w:val="0009618C"/>
    <w:rsid w:val="00097359"/>
    <w:rsid w:val="000A01BA"/>
    <w:rsid w:val="000A113C"/>
    <w:rsid w:val="000A62B5"/>
    <w:rsid w:val="000A63F0"/>
    <w:rsid w:val="000A77A1"/>
    <w:rsid w:val="000B057C"/>
    <w:rsid w:val="000B2D09"/>
    <w:rsid w:val="000B404D"/>
    <w:rsid w:val="000B5841"/>
    <w:rsid w:val="000B66FC"/>
    <w:rsid w:val="000B6F64"/>
    <w:rsid w:val="000B7BCE"/>
    <w:rsid w:val="000C1092"/>
    <w:rsid w:val="000C1744"/>
    <w:rsid w:val="000C333B"/>
    <w:rsid w:val="000C34E3"/>
    <w:rsid w:val="000C523B"/>
    <w:rsid w:val="000C5289"/>
    <w:rsid w:val="000C6E72"/>
    <w:rsid w:val="000E1BB7"/>
    <w:rsid w:val="000E2768"/>
    <w:rsid w:val="000F0646"/>
    <w:rsid w:val="000F1AC7"/>
    <w:rsid w:val="0010117D"/>
    <w:rsid w:val="00103596"/>
    <w:rsid w:val="00104CB6"/>
    <w:rsid w:val="0011432A"/>
    <w:rsid w:val="00116361"/>
    <w:rsid w:val="00116742"/>
    <w:rsid w:val="001170A4"/>
    <w:rsid w:val="00127F0D"/>
    <w:rsid w:val="00131789"/>
    <w:rsid w:val="00131B08"/>
    <w:rsid w:val="00132399"/>
    <w:rsid w:val="00132A89"/>
    <w:rsid w:val="00132F60"/>
    <w:rsid w:val="00134DC7"/>
    <w:rsid w:val="001366FF"/>
    <w:rsid w:val="00137F73"/>
    <w:rsid w:val="001463E1"/>
    <w:rsid w:val="00146402"/>
    <w:rsid w:val="00147AC2"/>
    <w:rsid w:val="00151A42"/>
    <w:rsid w:val="00151CDB"/>
    <w:rsid w:val="0015446D"/>
    <w:rsid w:val="00154898"/>
    <w:rsid w:val="00156AE3"/>
    <w:rsid w:val="0016113B"/>
    <w:rsid w:val="00162F67"/>
    <w:rsid w:val="00163D06"/>
    <w:rsid w:val="0016491F"/>
    <w:rsid w:val="00165C2D"/>
    <w:rsid w:val="001664B1"/>
    <w:rsid w:val="00172EC2"/>
    <w:rsid w:val="00182341"/>
    <w:rsid w:val="00183327"/>
    <w:rsid w:val="00185489"/>
    <w:rsid w:val="00186AA8"/>
    <w:rsid w:val="001928EE"/>
    <w:rsid w:val="00192FD2"/>
    <w:rsid w:val="0019478A"/>
    <w:rsid w:val="00196321"/>
    <w:rsid w:val="001A0B86"/>
    <w:rsid w:val="001A4511"/>
    <w:rsid w:val="001A4D07"/>
    <w:rsid w:val="001B0361"/>
    <w:rsid w:val="001B13B3"/>
    <w:rsid w:val="001B1D33"/>
    <w:rsid w:val="001C060A"/>
    <w:rsid w:val="001C0872"/>
    <w:rsid w:val="001C1B25"/>
    <w:rsid w:val="001C3C5B"/>
    <w:rsid w:val="001E0FB1"/>
    <w:rsid w:val="001E4154"/>
    <w:rsid w:val="001E56B4"/>
    <w:rsid w:val="001E617C"/>
    <w:rsid w:val="001E66E3"/>
    <w:rsid w:val="001F1FDC"/>
    <w:rsid w:val="001F4A91"/>
    <w:rsid w:val="001F7B36"/>
    <w:rsid w:val="00200392"/>
    <w:rsid w:val="0020157B"/>
    <w:rsid w:val="00202D36"/>
    <w:rsid w:val="00206124"/>
    <w:rsid w:val="00207A45"/>
    <w:rsid w:val="002105D3"/>
    <w:rsid w:val="00212E35"/>
    <w:rsid w:val="00220C80"/>
    <w:rsid w:val="00221F25"/>
    <w:rsid w:val="00226B95"/>
    <w:rsid w:val="0023045E"/>
    <w:rsid w:val="00230EB1"/>
    <w:rsid w:val="00232617"/>
    <w:rsid w:val="00234848"/>
    <w:rsid w:val="0023566D"/>
    <w:rsid w:val="00237443"/>
    <w:rsid w:val="00237B76"/>
    <w:rsid w:val="002402F2"/>
    <w:rsid w:val="00245C63"/>
    <w:rsid w:val="002518F1"/>
    <w:rsid w:val="00251D3B"/>
    <w:rsid w:val="00252B88"/>
    <w:rsid w:val="00256B64"/>
    <w:rsid w:val="002579D6"/>
    <w:rsid w:val="002606C3"/>
    <w:rsid w:val="00260FFA"/>
    <w:rsid w:val="00270691"/>
    <w:rsid w:val="00271F66"/>
    <w:rsid w:val="00274915"/>
    <w:rsid w:val="002775C2"/>
    <w:rsid w:val="00280971"/>
    <w:rsid w:val="00280B6E"/>
    <w:rsid w:val="00281318"/>
    <w:rsid w:val="00281509"/>
    <w:rsid w:val="0028427B"/>
    <w:rsid w:val="002865E0"/>
    <w:rsid w:val="00291F26"/>
    <w:rsid w:val="00292C41"/>
    <w:rsid w:val="00292DC8"/>
    <w:rsid w:val="00293759"/>
    <w:rsid w:val="002970AD"/>
    <w:rsid w:val="002978E2"/>
    <w:rsid w:val="002A5A9E"/>
    <w:rsid w:val="002B62D0"/>
    <w:rsid w:val="002B7869"/>
    <w:rsid w:val="002C2E3D"/>
    <w:rsid w:val="002C5E67"/>
    <w:rsid w:val="002D47A8"/>
    <w:rsid w:val="002D661F"/>
    <w:rsid w:val="002F14D7"/>
    <w:rsid w:val="002F1841"/>
    <w:rsid w:val="002F1935"/>
    <w:rsid w:val="002F2948"/>
    <w:rsid w:val="002F320E"/>
    <w:rsid w:val="002F34D0"/>
    <w:rsid w:val="002F4D43"/>
    <w:rsid w:val="002F68DA"/>
    <w:rsid w:val="00300BF8"/>
    <w:rsid w:val="003026B1"/>
    <w:rsid w:val="00306678"/>
    <w:rsid w:val="00312433"/>
    <w:rsid w:val="00313961"/>
    <w:rsid w:val="00316FF4"/>
    <w:rsid w:val="0031725B"/>
    <w:rsid w:val="0032514D"/>
    <w:rsid w:val="003301E1"/>
    <w:rsid w:val="00333934"/>
    <w:rsid w:val="00333DE3"/>
    <w:rsid w:val="003345AB"/>
    <w:rsid w:val="00341C5B"/>
    <w:rsid w:val="00341EE9"/>
    <w:rsid w:val="00343B54"/>
    <w:rsid w:val="00345121"/>
    <w:rsid w:val="003469AF"/>
    <w:rsid w:val="00346ACD"/>
    <w:rsid w:val="00347522"/>
    <w:rsid w:val="00351EA9"/>
    <w:rsid w:val="00352596"/>
    <w:rsid w:val="00352AC1"/>
    <w:rsid w:val="00362585"/>
    <w:rsid w:val="00363C1E"/>
    <w:rsid w:val="00364E10"/>
    <w:rsid w:val="00370E5D"/>
    <w:rsid w:val="003719FF"/>
    <w:rsid w:val="00374BF7"/>
    <w:rsid w:val="00377FE8"/>
    <w:rsid w:val="0038025D"/>
    <w:rsid w:val="00382E19"/>
    <w:rsid w:val="00384ADE"/>
    <w:rsid w:val="00386921"/>
    <w:rsid w:val="00394ED9"/>
    <w:rsid w:val="00397076"/>
    <w:rsid w:val="003A0630"/>
    <w:rsid w:val="003A356B"/>
    <w:rsid w:val="003A4B41"/>
    <w:rsid w:val="003A4F74"/>
    <w:rsid w:val="003B2696"/>
    <w:rsid w:val="003B5E93"/>
    <w:rsid w:val="003B7D54"/>
    <w:rsid w:val="003C15CC"/>
    <w:rsid w:val="003C737B"/>
    <w:rsid w:val="003D0A78"/>
    <w:rsid w:val="003D2186"/>
    <w:rsid w:val="003D4EDE"/>
    <w:rsid w:val="003E045E"/>
    <w:rsid w:val="003E12A3"/>
    <w:rsid w:val="003E2498"/>
    <w:rsid w:val="003E3FA2"/>
    <w:rsid w:val="003E6F34"/>
    <w:rsid w:val="003F21A4"/>
    <w:rsid w:val="003F3F6C"/>
    <w:rsid w:val="003F51CB"/>
    <w:rsid w:val="003F5A4C"/>
    <w:rsid w:val="003F7169"/>
    <w:rsid w:val="004002F3"/>
    <w:rsid w:val="004008C6"/>
    <w:rsid w:val="00401A32"/>
    <w:rsid w:val="00401F0B"/>
    <w:rsid w:val="00403FF5"/>
    <w:rsid w:val="00404394"/>
    <w:rsid w:val="00413031"/>
    <w:rsid w:val="00415C73"/>
    <w:rsid w:val="00421DFE"/>
    <w:rsid w:val="0042294D"/>
    <w:rsid w:val="004249B2"/>
    <w:rsid w:val="00427437"/>
    <w:rsid w:val="004330AA"/>
    <w:rsid w:val="00433B6B"/>
    <w:rsid w:val="004347A3"/>
    <w:rsid w:val="00440632"/>
    <w:rsid w:val="00440A2E"/>
    <w:rsid w:val="00441198"/>
    <w:rsid w:val="0044384F"/>
    <w:rsid w:val="00443CE0"/>
    <w:rsid w:val="00443EC9"/>
    <w:rsid w:val="00444D4E"/>
    <w:rsid w:val="00444EAC"/>
    <w:rsid w:val="004511BB"/>
    <w:rsid w:val="00451D28"/>
    <w:rsid w:val="00452D92"/>
    <w:rsid w:val="00461A0B"/>
    <w:rsid w:val="00462940"/>
    <w:rsid w:val="004655BB"/>
    <w:rsid w:val="004670E4"/>
    <w:rsid w:val="004679DF"/>
    <w:rsid w:val="00471BED"/>
    <w:rsid w:val="0047272D"/>
    <w:rsid w:val="0047433C"/>
    <w:rsid w:val="00474D55"/>
    <w:rsid w:val="00476CF0"/>
    <w:rsid w:val="00480D94"/>
    <w:rsid w:val="00484A95"/>
    <w:rsid w:val="004963F6"/>
    <w:rsid w:val="004970D0"/>
    <w:rsid w:val="004974EA"/>
    <w:rsid w:val="004A6E8E"/>
    <w:rsid w:val="004A75C7"/>
    <w:rsid w:val="004B0143"/>
    <w:rsid w:val="004B2512"/>
    <w:rsid w:val="004C1683"/>
    <w:rsid w:val="004C4183"/>
    <w:rsid w:val="004C46A1"/>
    <w:rsid w:val="004C5C3A"/>
    <w:rsid w:val="004D3D40"/>
    <w:rsid w:val="004D44EB"/>
    <w:rsid w:val="004D4F8A"/>
    <w:rsid w:val="004D7304"/>
    <w:rsid w:val="004E2DB7"/>
    <w:rsid w:val="004E5056"/>
    <w:rsid w:val="004E6787"/>
    <w:rsid w:val="004F0061"/>
    <w:rsid w:val="004F6884"/>
    <w:rsid w:val="004F7428"/>
    <w:rsid w:val="00503A4D"/>
    <w:rsid w:val="00504C8E"/>
    <w:rsid w:val="0050510D"/>
    <w:rsid w:val="00506C78"/>
    <w:rsid w:val="00507177"/>
    <w:rsid w:val="005107C9"/>
    <w:rsid w:val="0051209A"/>
    <w:rsid w:val="0052082B"/>
    <w:rsid w:val="00521A37"/>
    <w:rsid w:val="00523706"/>
    <w:rsid w:val="00530E23"/>
    <w:rsid w:val="005351C8"/>
    <w:rsid w:val="0054211D"/>
    <w:rsid w:val="00545689"/>
    <w:rsid w:val="005472B1"/>
    <w:rsid w:val="005501A9"/>
    <w:rsid w:val="00554888"/>
    <w:rsid w:val="005578AC"/>
    <w:rsid w:val="00561DB0"/>
    <w:rsid w:val="005660A2"/>
    <w:rsid w:val="00567307"/>
    <w:rsid w:val="00570AD1"/>
    <w:rsid w:val="0058032E"/>
    <w:rsid w:val="00584F5F"/>
    <w:rsid w:val="00593C53"/>
    <w:rsid w:val="0059504A"/>
    <w:rsid w:val="0059685A"/>
    <w:rsid w:val="00597B8B"/>
    <w:rsid w:val="005A1886"/>
    <w:rsid w:val="005A1D8D"/>
    <w:rsid w:val="005A7F26"/>
    <w:rsid w:val="005B1EAB"/>
    <w:rsid w:val="005B7E4D"/>
    <w:rsid w:val="005C11E8"/>
    <w:rsid w:val="005C1DC6"/>
    <w:rsid w:val="005C586D"/>
    <w:rsid w:val="005D038D"/>
    <w:rsid w:val="005D52E9"/>
    <w:rsid w:val="005D5992"/>
    <w:rsid w:val="005E4ACA"/>
    <w:rsid w:val="005E567B"/>
    <w:rsid w:val="005F2B38"/>
    <w:rsid w:val="005F430C"/>
    <w:rsid w:val="005F68F3"/>
    <w:rsid w:val="005F7669"/>
    <w:rsid w:val="00601086"/>
    <w:rsid w:val="0060330A"/>
    <w:rsid w:val="00607279"/>
    <w:rsid w:val="00607AD7"/>
    <w:rsid w:val="0061215A"/>
    <w:rsid w:val="006134B1"/>
    <w:rsid w:val="00617773"/>
    <w:rsid w:val="00617A47"/>
    <w:rsid w:val="00617FDA"/>
    <w:rsid w:val="00623818"/>
    <w:rsid w:val="00625A91"/>
    <w:rsid w:val="0062731B"/>
    <w:rsid w:val="00633684"/>
    <w:rsid w:val="00633947"/>
    <w:rsid w:val="00634146"/>
    <w:rsid w:val="00635D60"/>
    <w:rsid w:val="00646115"/>
    <w:rsid w:val="006462E4"/>
    <w:rsid w:val="00646566"/>
    <w:rsid w:val="00646E6B"/>
    <w:rsid w:val="0065020A"/>
    <w:rsid w:val="006561BB"/>
    <w:rsid w:val="006602BF"/>
    <w:rsid w:val="006649FF"/>
    <w:rsid w:val="0066744D"/>
    <w:rsid w:val="006674AB"/>
    <w:rsid w:val="0067235A"/>
    <w:rsid w:val="006740FB"/>
    <w:rsid w:val="00674AE8"/>
    <w:rsid w:val="006763B2"/>
    <w:rsid w:val="00684759"/>
    <w:rsid w:val="00690053"/>
    <w:rsid w:val="00691BB6"/>
    <w:rsid w:val="0069288E"/>
    <w:rsid w:val="00692A44"/>
    <w:rsid w:val="00694416"/>
    <w:rsid w:val="00696EBE"/>
    <w:rsid w:val="006B0DE5"/>
    <w:rsid w:val="006B0F1A"/>
    <w:rsid w:val="006B1327"/>
    <w:rsid w:val="006B6031"/>
    <w:rsid w:val="006C1754"/>
    <w:rsid w:val="006C199E"/>
    <w:rsid w:val="006C503D"/>
    <w:rsid w:val="006D1E56"/>
    <w:rsid w:val="006D3D41"/>
    <w:rsid w:val="006D7B88"/>
    <w:rsid w:val="006E5A97"/>
    <w:rsid w:val="006E6788"/>
    <w:rsid w:val="006F4B01"/>
    <w:rsid w:val="00702311"/>
    <w:rsid w:val="00702B3F"/>
    <w:rsid w:val="00704AC3"/>
    <w:rsid w:val="0070600B"/>
    <w:rsid w:val="00710189"/>
    <w:rsid w:val="007106F5"/>
    <w:rsid w:val="00710F0F"/>
    <w:rsid w:val="0071283B"/>
    <w:rsid w:val="0071425F"/>
    <w:rsid w:val="0071591E"/>
    <w:rsid w:val="007167F3"/>
    <w:rsid w:val="00720696"/>
    <w:rsid w:val="00722A5F"/>
    <w:rsid w:val="0073047A"/>
    <w:rsid w:val="00734110"/>
    <w:rsid w:val="00736307"/>
    <w:rsid w:val="007364E3"/>
    <w:rsid w:val="00742C03"/>
    <w:rsid w:val="00744C5B"/>
    <w:rsid w:val="007478A6"/>
    <w:rsid w:val="007504EA"/>
    <w:rsid w:val="00751ED3"/>
    <w:rsid w:val="00752016"/>
    <w:rsid w:val="00753111"/>
    <w:rsid w:val="00753704"/>
    <w:rsid w:val="00756FCF"/>
    <w:rsid w:val="007570E1"/>
    <w:rsid w:val="00757566"/>
    <w:rsid w:val="00760A50"/>
    <w:rsid w:val="007644B4"/>
    <w:rsid w:val="00773108"/>
    <w:rsid w:val="0078090C"/>
    <w:rsid w:val="00781114"/>
    <w:rsid w:val="00781281"/>
    <w:rsid w:val="00781EE4"/>
    <w:rsid w:val="00783660"/>
    <w:rsid w:val="00783E08"/>
    <w:rsid w:val="007857CD"/>
    <w:rsid w:val="0078673A"/>
    <w:rsid w:val="00792B43"/>
    <w:rsid w:val="007976A8"/>
    <w:rsid w:val="007A02E3"/>
    <w:rsid w:val="007A1351"/>
    <w:rsid w:val="007A22C6"/>
    <w:rsid w:val="007A277D"/>
    <w:rsid w:val="007A443D"/>
    <w:rsid w:val="007B35B5"/>
    <w:rsid w:val="007B40BD"/>
    <w:rsid w:val="007B7C4B"/>
    <w:rsid w:val="007C0250"/>
    <w:rsid w:val="007C0D1F"/>
    <w:rsid w:val="007C2E15"/>
    <w:rsid w:val="007C365D"/>
    <w:rsid w:val="007C3908"/>
    <w:rsid w:val="007C416E"/>
    <w:rsid w:val="007D152F"/>
    <w:rsid w:val="007D580F"/>
    <w:rsid w:val="007D70C9"/>
    <w:rsid w:val="007E11E0"/>
    <w:rsid w:val="007E486E"/>
    <w:rsid w:val="007E4CFA"/>
    <w:rsid w:val="007E5D64"/>
    <w:rsid w:val="007E76FF"/>
    <w:rsid w:val="007F30E5"/>
    <w:rsid w:val="007F31FE"/>
    <w:rsid w:val="007F644F"/>
    <w:rsid w:val="007F691F"/>
    <w:rsid w:val="0080221A"/>
    <w:rsid w:val="008036D7"/>
    <w:rsid w:val="0080453C"/>
    <w:rsid w:val="00804BE9"/>
    <w:rsid w:val="0080637C"/>
    <w:rsid w:val="00811463"/>
    <w:rsid w:val="00821B90"/>
    <w:rsid w:val="008225CD"/>
    <w:rsid w:val="008240B1"/>
    <w:rsid w:val="008241D6"/>
    <w:rsid w:val="00824846"/>
    <w:rsid w:val="008250A7"/>
    <w:rsid w:val="00827748"/>
    <w:rsid w:val="0083053A"/>
    <w:rsid w:val="00832C1B"/>
    <w:rsid w:val="00834DBC"/>
    <w:rsid w:val="00843EF4"/>
    <w:rsid w:val="008442AF"/>
    <w:rsid w:val="00845823"/>
    <w:rsid w:val="0085375A"/>
    <w:rsid w:val="00854A0B"/>
    <w:rsid w:val="00854DD7"/>
    <w:rsid w:val="00855386"/>
    <w:rsid w:val="00855CF7"/>
    <w:rsid w:val="00855FB6"/>
    <w:rsid w:val="008614AD"/>
    <w:rsid w:val="00861747"/>
    <w:rsid w:val="0086464C"/>
    <w:rsid w:val="008722E7"/>
    <w:rsid w:val="00874F0E"/>
    <w:rsid w:val="00875AF8"/>
    <w:rsid w:val="00875DD0"/>
    <w:rsid w:val="00877201"/>
    <w:rsid w:val="008819D9"/>
    <w:rsid w:val="00886FE3"/>
    <w:rsid w:val="008903CB"/>
    <w:rsid w:val="00892A7E"/>
    <w:rsid w:val="00896DC4"/>
    <w:rsid w:val="008A2E50"/>
    <w:rsid w:val="008A4675"/>
    <w:rsid w:val="008A484A"/>
    <w:rsid w:val="008A530F"/>
    <w:rsid w:val="008A6020"/>
    <w:rsid w:val="008B142D"/>
    <w:rsid w:val="008B1752"/>
    <w:rsid w:val="008B19DE"/>
    <w:rsid w:val="008B1DDF"/>
    <w:rsid w:val="008B4786"/>
    <w:rsid w:val="008B7026"/>
    <w:rsid w:val="008C6339"/>
    <w:rsid w:val="008C7CA9"/>
    <w:rsid w:val="008E03DE"/>
    <w:rsid w:val="008E529C"/>
    <w:rsid w:val="008E6358"/>
    <w:rsid w:val="008E6D0F"/>
    <w:rsid w:val="008E724E"/>
    <w:rsid w:val="008F0E74"/>
    <w:rsid w:val="008F13FF"/>
    <w:rsid w:val="008F20EA"/>
    <w:rsid w:val="008F35DF"/>
    <w:rsid w:val="008F6A4B"/>
    <w:rsid w:val="008F778F"/>
    <w:rsid w:val="00901CB7"/>
    <w:rsid w:val="00901DB7"/>
    <w:rsid w:val="00902084"/>
    <w:rsid w:val="00902286"/>
    <w:rsid w:val="00903464"/>
    <w:rsid w:val="00904851"/>
    <w:rsid w:val="009073B2"/>
    <w:rsid w:val="0091376E"/>
    <w:rsid w:val="00925F7F"/>
    <w:rsid w:val="00930556"/>
    <w:rsid w:val="00942D4C"/>
    <w:rsid w:val="009444FB"/>
    <w:rsid w:val="00945B52"/>
    <w:rsid w:val="009474C7"/>
    <w:rsid w:val="00953174"/>
    <w:rsid w:val="0095656F"/>
    <w:rsid w:val="009577AC"/>
    <w:rsid w:val="009648CC"/>
    <w:rsid w:val="009649C1"/>
    <w:rsid w:val="009666CD"/>
    <w:rsid w:val="009675B7"/>
    <w:rsid w:val="00974547"/>
    <w:rsid w:val="009776DB"/>
    <w:rsid w:val="00985586"/>
    <w:rsid w:val="00986851"/>
    <w:rsid w:val="00986F73"/>
    <w:rsid w:val="00990836"/>
    <w:rsid w:val="009922E4"/>
    <w:rsid w:val="009950BF"/>
    <w:rsid w:val="009965E3"/>
    <w:rsid w:val="00996E28"/>
    <w:rsid w:val="009976AF"/>
    <w:rsid w:val="009A0C93"/>
    <w:rsid w:val="009A6C8F"/>
    <w:rsid w:val="009B0055"/>
    <w:rsid w:val="009B08FB"/>
    <w:rsid w:val="009B283E"/>
    <w:rsid w:val="009B49F3"/>
    <w:rsid w:val="009B63D9"/>
    <w:rsid w:val="009B6D6F"/>
    <w:rsid w:val="009B6F66"/>
    <w:rsid w:val="009C2982"/>
    <w:rsid w:val="009D1FD1"/>
    <w:rsid w:val="009D2CD0"/>
    <w:rsid w:val="009D403A"/>
    <w:rsid w:val="009D5714"/>
    <w:rsid w:val="009D6A50"/>
    <w:rsid w:val="009D7F4D"/>
    <w:rsid w:val="009E1A5F"/>
    <w:rsid w:val="009E372E"/>
    <w:rsid w:val="009F27F8"/>
    <w:rsid w:val="009F507D"/>
    <w:rsid w:val="00A030C6"/>
    <w:rsid w:val="00A03373"/>
    <w:rsid w:val="00A03407"/>
    <w:rsid w:val="00A0349D"/>
    <w:rsid w:val="00A048F3"/>
    <w:rsid w:val="00A04A27"/>
    <w:rsid w:val="00A0639C"/>
    <w:rsid w:val="00A06DD1"/>
    <w:rsid w:val="00A07622"/>
    <w:rsid w:val="00A1303A"/>
    <w:rsid w:val="00A236A9"/>
    <w:rsid w:val="00A242FE"/>
    <w:rsid w:val="00A243D9"/>
    <w:rsid w:val="00A24992"/>
    <w:rsid w:val="00A311F3"/>
    <w:rsid w:val="00A32684"/>
    <w:rsid w:val="00A362C5"/>
    <w:rsid w:val="00A37CFD"/>
    <w:rsid w:val="00A416EF"/>
    <w:rsid w:val="00A41D51"/>
    <w:rsid w:val="00A42CC2"/>
    <w:rsid w:val="00A46DEC"/>
    <w:rsid w:val="00A545F9"/>
    <w:rsid w:val="00A55443"/>
    <w:rsid w:val="00A56FF2"/>
    <w:rsid w:val="00A576F2"/>
    <w:rsid w:val="00A61B4A"/>
    <w:rsid w:val="00A671D6"/>
    <w:rsid w:val="00A723E4"/>
    <w:rsid w:val="00A736DE"/>
    <w:rsid w:val="00A7477C"/>
    <w:rsid w:val="00A760CB"/>
    <w:rsid w:val="00A76CB1"/>
    <w:rsid w:val="00A7794B"/>
    <w:rsid w:val="00A81046"/>
    <w:rsid w:val="00A82B83"/>
    <w:rsid w:val="00A86A7D"/>
    <w:rsid w:val="00A90458"/>
    <w:rsid w:val="00A92E57"/>
    <w:rsid w:val="00A9377E"/>
    <w:rsid w:val="00A93ED4"/>
    <w:rsid w:val="00A95F87"/>
    <w:rsid w:val="00A96A5F"/>
    <w:rsid w:val="00AA23BD"/>
    <w:rsid w:val="00AA4DD5"/>
    <w:rsid w:val="00AA70FB"/>
    <w:rsid w:val="00AB0813"/>
    <w:rsid w:val="00AB1B18"/>
    <w:rsid w:val="00AC160F"/>
    <w:rsid w:val="00AC17ED"/>
    <w:rsid w:val="00AC7919"/>
    <w:rsid w:val="00AC79D4"/>
    <w:rsid w:val="00AC7AF6"/>
    <w:rsid w:val="00AC7DE3"/>
    <w:rsid w:val="00AD1FCF"/>
    <w:rsid w:val="00AD7D45"/>
    <w:rsid w:val="00AE175D"/>
    <w:rsid w:val="00AE3D51"/>
    <w:rsid w:val="00AE47D7"/>
    <w:rsid w:val="00AE67D9"/>
    <w:rsid w:val="00AF3096"/>
    <w:rsid w:val="00AF3D3B"/>
    <w:rsid w:val="00AF69CA"/>
    <w:rsid w:val="00B008F1"/>
    <w:rsid w:val="00B00B09"/>
    <w:rsid w:val="00B03D3F"/>
    <w:rsid w:val="00B0650C"/>
    <w:rsid w:val="00B07EB9"/>
    <w:rsid w:val="00B100C6"/>
    <w:rsid w:val="00B10E6F"/>
    <w:rsid w:val="00B11474"/>
    <w:rsid w:val="00B1325C"/>
    <w:rsid w:val="00B15C8F"/>
    <w:rsid w:val="00B262CC"/>
    <w:rsid w:val="00B27273"/>
    <w:rsid w:val="00B301A8"/>
    <w:rsid w:val="00B31A6D"/>
    <w:rsid w:val="00B339F1"/>
    <w:rsid w:val="00B372D8"/>
    <w:rsid w:val="00B37AAF"/>
    <w:rsid w:val="00B406D6"/>
    <w:rsid w:val="00B43C36"/>
    <w:rsid w:val="00B460E1"/>
    <w:rsid w:val="00B4624D"/>
    <w:rsid w:val="00B512CC"/>
    <w:rsid w:val="00B519BF"/>
    <w:rsid w:val="00B556C8"/>
    <w:rsid w:val="00B569C7"/>
    <w:rsid w:val="00B61992"/>
    <w:rsid w:val="00B63073"/>
    <w:rsid w:val="00B67102"/>
    <w:rsid w:val="00B700C1"/>
    <w:rsid w:val="00B72AA0"/>
    <w:rsid w:val="00B770A7"/>
    <w:rsid w:val="00B7750A"/>
    <w:rsid w:val="00B77D7E"/>
    <w:rsid w:val="00B8002B"/>
    <w:rsid w:val="00B817E1"/>
    <w:rsid w:val="00B81BBF"/>
    <w:rsid w:val="00B81E6D"/>
    <w:rsid w:val="00B85604"/>
    <w:rsid w:val="00B92BFA"/>
    <w:rsid w:val="00B9339E"/>
    <w:rsid w:val="00B93988"/>
    <w:rsid w:val="00B93F26"/>
    <w:rsid w:val="00B96AA8"/>
    <w:rsid w:val="00BA3D3A"/>
    <w:rsid w:val="00BA5424"/>
    <w:rsid w:val="00BA7570"/>
    <w:rsid w:val="00BB2A68"/>
    <w:rsid w:val="00BB4E04"/>
    <w:rsid w:val="00BB5652"/>
    <w:rsid w:val="00BB65A6"/>
    <w:rsid w:val="00BB6AC4"/>
    <w:rsid w:val="00BB7B10"/>
    <w:rsid w:val="00BC1F61"/>
    <w:rsid w:val="00BC4621"/>
    <w:rsid w:val="00BC5844"/>
    <w:rsid w:val="00BC5BF7"/>
    <w:rsid w:val="00BC7206"/>
    <w:rsid w:val="00BD117B"/>
    <w:rsid w:val="00BD1748"/>
    <w:rsid w:val="00BD3DC7"/>
    <w:rsid w:val="00BD42B2"/>
    <w:rsid w:val="00BD5E26"/>
    <w:rsid w:val="00BE0F0B"/>
    <w:rsid w:val="00BE3978"/>
    <w:rsid w:val="00BF0D31"/>
    <w:rsid w:val="00BF17AC"/>
    <w:rsid w:val="00C01BFA"/>
    <w:rsid w:val="00C04923"/>
    <w:rsid w:val="00C07A40"/>
    <w:rsid w:val="00C07EEF"/>
    <w:rsid w:val="00C10D58"/>
    <w:rsid w:val="00C118F7"/>
    <w:rsid w:val="00C12452"/>
    <w:rsid w:val="00C1574E"/>
    <w:rsid w:val="00C163C9"/>
    <w:rsid w:val="00C20D51"/>
    <w:rsid w:val="00C22F31"/>
    <w:rsid w:val="00C245CA"/>
    <w:rsid w:val="00C24B3B"/>
    <w:rsid w:val="00C24CD3"/>
    <w:rsid w:val="00C24F80"/>
    <w:rsid w:val="00C25784"/>
    <w:rsid w:val="00C33CE9"/>
    <w:rsid w:val="00C345E8"/>
    <w:rsid w:val="00C34866"/>
    <w:rsid w:val="00C411F6"/>
    <w:rsid w:val="00C42C2A"/>
    <w:rsid w:val="00C46369"/>
    <w:rsid w:val="00C52816"/>
    <w:rsid w:val="00C53582"/>
    <w:rsid w:val="00C53B27"/>
    <w:rsid w:val="00C556C0"/>
    <w:rsid w:val="00C62212"/>
    <w:rsid w:val="00C65617"/>
    <w:rsid w:val="00C6716F"/>
    <w:rsid w:val="00C672DC"/>
    <w:rsid w:val="00C7475D"/>
    <w:rsid w:val="00C81B79"/>
    <w:rsid w:val="00C82BDC"/>
    <w:rsid w:val="00C85CBD"/>
    <w:rsid w:val="00C8674B"/>
    <w:rsid w:val="00C86C5E"/>
    <w:rsid w:val="00C97846"/>
    <w:rsid w:val="00CA2B6B"/>
    <w:rsid w:val="00CA77E3"/>
    <w:rsid w:val="00CB01DF"/>
    <w:rsid w:val="00CB0E24"/>
    <w:rsid w:val="00CB5E43"/>
    <w:rsid w:val="00CB74E9"/>
    <w:rsid w:val="00CC19F1"/>
    <w:rsid w:val="00CC2164"/>
    <w:rsid w:val="00CC75F3"/>
    <w:rsid w:val="00CD0C1F"/>
    <w:rsid w:val="00CD1BCA"/>
    <w:rsid w:val="00CD6660"/>
    <w:rsid w:val="00CE1C28"/>
    <w:rsid w:val="00CE4333"/>
    <w:rsid w:val="00CE5965"/>
    <w:rsid w:val="00CE7008"/>
    <w:rsid w:val="00CE774E"/>
    <w:rsid w:val="00CE7E7A"/>
    <w:rsid w:val="00CF35F6"/>
    <w:rsid w:val="00CF4A7D"/>
    <w:rsid w:val="00CF6080"/>
    <w:rsid w:val="00CF7066"/>
    <w:rsid w:val="00CF70BF"/>
    <w:rsid w:val="00D02997"/>
    <w:rsid w:val="00D0670A"/>
    <w:rsid w:val="00D14D1E"/>
    <w:rsid w:val="00D22FAC"/>
    <w:rsid w:val="00D24570"/>
    <w:rsid w:val="00D24ECD"/>
    <w:rsid w:val="00D276A0"/>
    <w:rsid w:val="00D27B0F"/>
    <w:rsid w:val="00D31418"/>
    <w:rsid w:val="00D32A6B"/>
    <w:rsid w:val="00D42A57"/>
    <w:rsid w:val="00D45A97"/>
    <w:rsid w:val="00D50ECC"/>
    <w:rsid w:val="00D564C2"/>
    <w:rsid w:val="00D573AA"/>
    <w:rsid w:val="00D6610B"/>
    <w:rsid w:val="00D66382"/>
    <w:rsid w:val="00D670EA"/>
    <w:rsid w:val="00D67614"/>
    <w:rsid w:val="00D709E0"/>
    <w:rsid w:val="00D724EB"/>
    <w:rsid w:val="00D74CDB"/>
    <w:rsid w:val="00D76CC1"/>
    <w:rsid w:val="00D80CEC"/>
    <w:rsid w:val="00D825D7"/>
    <w:rsid w:val="00D8284C"/>
    <w:rsid w:val="00D92707"/>
    <w:rsid w:val="00D942B1"/>
    <w:rsid w:val="00DA512B"/>
    <w:rsid w:val="00DB05EC"/>
    <w:rsid w:val="00DB0CAA"/>
    <w:rsid w:val="00DB1576"/>
    <w:rsid w:val="00DB17EC"/>
    <w:rsid w:val="00DB5135"/>
    <w:rsid w:val="00DB54E7"/>
    <w:rsid w:val="00DB626D"/>
    <w:rsid w:val="00DB63BE"/>
    <w:rsid w:val="00DB6949"/>
    <w:rsid w:val="00DB6CAE"/>
    <w:rsid w:val="00DC0532"/>
    <w:rsid w:val="00DC07E6"/>
    <w:rsid w:val="00DD0AF5"/>
    <w:rsid w:val="00DD2797"/>
    <w:rsid w:val="00DD3A11"/>
    <w:rsid w:val="00DD6057"/>
    <w:rsid w:val="00DD7100"/>
    <w:rsid w:val="00DD7F8B"/>
    <w:rsid w:val="00DE6F66"/>
    <w:rsid w:val="00DE747D"/>
    <w:rsid w:val="00DF0579"/>
    <w:rsid w:val="00DF4DC1"/>
    <w:rsid w:val="00DF7AC9"/>
    <w:rsid w:val="00E0051F"/>
    <w:rsid w:val="00E05BAF"/>
    <w:rsid w:val="00E0674A"/>
    <w:rsid w:val="00E10682"/>
    <w:rsid w:val="00E107B8"/>
    <w:rsid w:val="00E113D9"/>
    <w:rsid w:val="00E1379F"/>
    <w:rsid w:val="00E165D8"/>
    <w:rsid w:val="00E24334"/>
    <w:rsid w:val="00E24B91"/>
    <w:rsid w:val="00E253B0"/>
    <w:rsid w:val="00E25405"/>
    <w:rsid w:val="00E3458B"/>
    <w:rsid w:val="00E356B7"/>
    <w:rsid w:val="00E46E9C"/>
    <w:rsid w:val="00E50836"/>
    <w:rsid w:val="00E50E97"/>
    <w:rsid w:val="00E613AC"/>
    <w:rsid w:val="00E61821"/>
    <w:rsid w:val="00E735A5"/>
    <w:rsid w:val="00E73C19"/>
    <w:rsid w:val="00E7596E"/>
    <w:rsid w:val="00E816EA"/>
    <w:rsid w:val="00E81CB5"/>
    <w:rsid w:val="00E828C8"/>
    <w:rsid w:val="00E83B2E"/>
    <w:rsid w:val="00E858CF"/>
    <w:rsid w:val="00E86AC9"/>
    <w:rsid w:val="00E86D73"/>
    <w:rsid w:val="00E9423E"/>
    <w:rsid w:val="00E94F87"/>
    <w:rsid w:val="00E96BBB"/>
    <w:rsid w:val="00E96BD8"/>
    <w:rsid w:val="00EA0AD6"/>
    <w:rsid w:val="00EA0C1A"/>
    <w:rsid w:val="00EA4CBC"/>
    <w:rsid w:val="00EA6D07"/>
    <w:rsid w:val="00EA7797"/>
    <w:rsid w:val="00EB09D2"/>
    <w:rsid w:val="00EB4455"/>
    <w:rsid w:val="00EB581E"/>
    <w:rsid w:val="00EB682C"/>
    <w:rsid w:val="00EC5A3D"/>
    <w:rsid w:val="00EC6705"/>
    <w:rsid w:val="00EC7B34"/>
    <w:rsid w:val="00ED1F92"/>
    <w:rsid w:val="00ED45CE"/>
    <w:rsid w:val="00EE067D"/>
    <w:rsid w:val="00EE23D9"/>
    <w:rsid w:val="00EE2F26"/>
    <w:rsid w:val="00EE45D6"/>
    <w:rsid w:val="00EE5B6F"/>
    <w:rsid w:val="00EE7648"/>
    <w:rsid w:val="00EF1111"/>
    <w:rsid w:val="00EF2A90"/>
    <w:rsid w:val="00EF2E51"/>
    <w:rsid w:val="00F0098A"/>
    <w:rsid w:val="00F00A95"/>
    <w:rsid w:val="00F02EBA"/>
    <w:rsid w:val="00F036CA"/>
    <w:rsid w:val="00F05C4D"/>
    <w:rsid w:val="00F062CD"/>
    <w:rsid w:val="00F07D53"/>
    <w:rsid w:val="00F1216C"/>
    <w:rsid w:val="00F13575"/>
    <w:rsid w:val="00F15DE8"/>
    <w:rsid w:val="00F1658F"/>
    <w:rsid w:val="00F23A19"/>
    <w:rsid w:val="00F320C5"/>
    <w:rsid w:val="00F321A8"/>
    <w:rsid w:val="00F33CE6"/>
    <w:rsid w:val="00F342C7"/>
    <w:rsid w:val="00F343AC"/>
    <w:rsid w:val="00F34FD5"/>
    <w:rsid w:val="00F37C45"/>
    <w:rsid w:val="00F41653"/>
    <w:rsid w:val="00F43982"/>
    <w:rsid w:val="00F4763C"/>
    <w:rsid w:val="00F476AB"/>
    <w:rsid w:val="00F47AF6"/>
    <w:rsid w:val="00F47D40"/>
    <w:rsid w:val="00F50D48"/>
    <w:rsid w:val="00F53A84"/>
    <w:rsid w:val="00F56FA0"/>
    <w:rsid w:val="00F616E5"/>
    <w:rsid w:val="00F634BF"/>
    <w:rsid w:val="00F67C5D"/>
    <w:rsid w:val="00F736E5"/>
    <w:rsid w:val="00F73EED"/>
    <w:rsid w:val="00F80296"/>
    <w:rsid w:val="00F80AE1"/>
    <w:rsid w:val="00F83B17"/>
    <w:rsid w:val="00F91E5D"/>
    <w:rsid w:val="00F94645"/>
    <w:rsid w:val="00F975D2"/>
    <w:rsid w:val="00F97C76"/>
    <w:rsid w:val="00FA1F2D"/>
    <w:rsid w:val="00FA6A68"/>
    <w:rsid w:val="00FA7471"/>
    <w:rsid w:val="00FA7616"/>
    <w:rsid w:val="00FB0514"/>
    <w:rsid w:val="00FB5282"/>
    <w:rsid w:val="00FB63EF"/>
    <w:rsid w:val="00FB701A"/>
    <w:rsid w:val="00FB7EB2"/>
    <w:rsid w:val="00FB7F2A"/>
    <w:rsid w:val="00FC33FD"/>
    <w:rsid w:val="00FC5839"/>
    <w:rsid w:val="00FD165D"/>
    <w:rsid w:val="00FD207B"/>
    <w:rsid w:val="00FD2CC7"/>
    <w:rsid w:val="00FD5409"/>
    <w:rsid w:val="00FD60A8"/>
    <w:rsid w:val="00FD6CD8"/>
    <w:rsid w:val="00FD6F7A"/>
    <w:rsid w:val="00FE03C4"/>
    <w:rsid w:val="00FE0BD6"/>
    <w:rsid w:val="00FE313E"/>
    <w:rsid w:val="00FE465B"/>
    <w:rsid w:val="00FE58AB"/>
    <w:rsid w:val="00FE6354"/>
    <w:rsid w:val="00FE6F3B"/>
    <w:rsid w:val="00FF0B27"/>
    <w:rsid w:val="00FF24F8"/>
    <w:rsid w:val="00FF393E"/>
    <w:rsid w:val="00FF4299"/>
    <w:rsid w:val="00FF5024"/>
    <w:rsid w:val="00FF6D45"/>
    <w:rsid w:val="00FF76DC"/>
    <w:rsid w:val="00FF77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7D4C1"/>
  <w15:docId w15:val="{FF02D83F-D73B-46B1-9775-B82ABB651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5DD0"/>
    <w:pPr>
      <w:jc w:val="both"/>
    </w:pPr>
    <w:rPr>
      <w:rFonts w:asciiTheme="majorBidi" w:hAnsiTheme="majorBidi" w:cstheme="majorBidi"/>
      <w:sz w:val="24"/>
      <w:szCs w:val="24"/>
    </w:rPr>
  </w:style>
  <w:style w:type="paragraph" w:styleId="Heading1">
    <w:name w:val="heading 1"/>
    <w:aliases w:val="سطح 1"/>
    <w:basedOn w:val="ListParagraph"/>
    <w:next w:val="Normal"/>
    <w:link w:val="Heading1Char"/>
    <w:autoRedefine/>
    <w:uiPriority w:val="9"/>
    <w:qFormat/>
    <w:rsid w:val="00875DD0"/>
    <w:pPr>
      <w:numPr>
        <w:numId w:val="1"/>
      </w:numPr>
      <w:spacing w:after="240"/>
      <w:contextualSpacing w:val="0"/>
      <w:jc w:val="lowKashida"/>
      <w:outlineLvl w:val="0"/>
    </w:pPr>
    <w:rPr>
      <w:rFonts w:eastAsia="Times New Roman"/>
      <w:b/>
      <w:bCs/>
      <w:noProof/>
      <w:color w:val="000000" w:themeColor="text1"/>
      <w:lang w:bidi="fa-IR"/>
    </w:rPr>
  </w:style>
  <w:style w:type="paragraph" w:styleId="Heading2">
    <w:name w:val="heading 2"/>
    <w:aliases w:val="سطح 2"/>
    <w:basedOn w:val="Heading1"/>
    <w:next w:val="Normal"/>
    <w:link w:val="Heading2Char"/>
    <w:autoRedefine/>
    <w:uiPriority w:val="9"/>
    <w:unhideWhenUsed/>
    <w:qFormat/>
    <w:rsid w:val="00AA70FB"/>
    <w:pPr>
      <w:numPr>
        <w:ilvl w:val="1"/>
      </w:numPr>
      <w:outlineLvl w:val="1"/>
    </w:pPr>
  </w:style>
  <w:style w:type="paragraph" w:styleId="Heading3">
    <w:name w:val="heading 3"/>
    <w:aliases w:val="سطح 3"/>
    <w:basedOn w:val="Heading2"/>
    <w:next w:val="Normal"/>
    <w:link w:val="Heading3Char"/>
    <w:autoRedefine/>
    <w:uiPriority w:val="9"/>
    <w:unhideWhenUsed/>
    <w:qFormat/>
    <w:rsid w:val="001A0B86"/>
    <w:pPr>
      <w:numPr>
        <w:ilvl w:val="2"/>
      </w:num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سطح 1 Char"/>
    <w:basedOn w:val="DefaultParagraphFont"/>
    <w:link w:val="Heading1"/>
    <w:uiPriority w:val="9"/>
    <w:rsid w:val="00875DD0"/>
    <w:rPr>
      <w:rFonts w:asciiTheme="majorBidi" w:eastAsia="Times New Roman" w:hAnsiTheme="majorBidi" w:cstheme="majorBidi"/>
      <w:b/>
      <w:bCs/>
      <w:noProof/>
      <w:color w:val="000000" w:themeColor="text1"/>
      <w:sz w:val="24"/>
      <w:szCs w:val="24"/>
      <w:lang w:bidi="fa-IR"/>
    </w:rPr>
  </w:style>
  <w:style w:type="character" w:customStyle="1" w:styleId="Heading2Char">
    <w:name w:val="Heading 2 Char"/>
    <w:aliases w:val="سطح 2 Char"/>
    <w:basedOn w:val="DefaultParagraphFont"/>
    <w:link w:val="Heading2"/>
    <w:uiPriority w:val="9"/>
    <w:rsid w:val="00AA70FB"/>
    <w:rPr>
      <w:rFonts w:asciiTheme="majorBidi" w:eastAsia="Times New Roman" w:hAnsiTheme="majorBidi" w:cstheme="majorBidi"/>
      <w:b/>
      <w:bCs/>
      <w:noProof/>
      <w:color w:val="000000" w:themeColor="text1"/>
      <w:sz w:val="24"/>
      <w:szCs w:val="24"/>
      <w:lang w:bidi="fa-IR"/>
    </w:rPr>
  </w:style>
  <w:style w:type="character" w:customStyle="1" w:styleId="Heading3Char">
    <w:name w:val="Heading 3 Char"/>
    <w:aliases w:val="سطح 3 Char"/>
    <w:basedOn w:val="DefaultParagraphFont"/>
    <w:link w:val="Heading3"/>
    <w:uiPriority w:val="9"/>
    <w:rsid w:val="001A0B86"/>
    <w:rPr>
      <w:rFonts w:asciiTheme="majorBidi" w:eastAsia="Times New Roman" w:hAnsiTheme="majorBidi" w:cstheme="majorBidi"/>
      <w:b/>
      <w:bCs/>
      <w:noProof/>
      <w:color w:val="000000" w:themeColor="text1"/>
      <w:lang w:bidi="fa-IR"/>
    </w:rPr>
  </w:style>
  <w:style w:type="character" w:styleId="Hyperlink">
    <w:name w:val="Hyperlink"/>
    <w:basedOn w:val="DefaultParagraphFont"/>
    <w:uiPriority w:val="99"/>
    <w:unhideWhenUsed/>
    <w:rsid w:val="001A0B86"/>
    <w:rPr>
      <w:color w:val="0000FF" w:themeColor="hyperlink"/>
      <w:u w:val="single"/>
    </w:rPr>
  </w:style>
  <w:style w:type="paragraph" w:styleId="ListParagraph">
    <w:name w:val="List Paragraph"/>
    <w:basedOn w:val="Normal"/>
    <w:uiPriority w:val="34"/>
    <w:qFormat/>
    <w:rsid w:val="001A0B86"/>
    <w:pPr>
      <w:ind w:left="720"/>
      <w:contextualSpacing/>
    </w:pPr>
  </w:style>
  <w:style w:type="paragraph" w:customStyle="1" w:styleId="AuthorNameAffiliations">
    <w:name w:val="Author Name &amp; Affiliations"/>
    <w:basedOn w:val="Normal"/>
    <w:link w:val="AuthorNameAffiliationsChar"/>
    <w:qFormat/>
    <w:rsid w:val="00902084"/>
    <w:pPr>
      <w:spacing w:after="240" w:line="360" w:lineRule="auto"/>
    </w:pPr>
    <w:rPr>
      <w:rFonts w:eastAsia="MS Mincho"/>
      <w:iCs/>
      <w:lang w:eastAsia="ja-JP"/>
    </w:rPr>
  </w:style>
  <w:style w:type="character" w:customStyle="1" w:styleId="AuthorNameAffiliationsChar">
    <w:name w:val="Author Name &amp; Affiliations Char"/>
    <w:link w:val="AuthorNameAffiliations"/>
    <w:rsid w:val="00902084"/>
    <w:rPr>
      <w:rFonts w:asciiTheme="majorBidi" w:eastAsia="MS Mincho" w:hAnsiTheme="majorBidi" w:cstheme="majorBidi"/>
      <w:iCs/>
      <w:sz w:val="24"/>
      <w:szCs w:val="24"/>
      <w:lang w:eastAsia="ja-JP"/>
    </w:rPr>
  </w:style>
  <w:style w:type="paragraph" w:styleId="Header">
    <w:name w:val="header"/>
    <w:basedOn w:val="Normal"/>
    <w:link w:val="HeaderChar"/>
    <w:uiPriority w:val="99"/>
    <w:unhideWhenUsed/>
    <w:rsid w:val="00D50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ECC"/>
    <w:rPr>
      <w:rFonts w:asciiTheme="majorBidi" w:hAnsiTheme="majorBidi" w:cstheme="majorBidi"/>
      <w:sz w:val="24"/>
      <w:szCs w:val="24"/>
    </w:rPr>
  </w:style>
  <w:style w:type="paragraph" w:styleId="Footer">
    <w:name w:val="footer"/>
    <w:basedOn w:val="Normal"/>
    <w:link w:val="FooterChar"/>
    <w:uiPriority w:val="99"/>
    <w:unhideWhenUsed/>
    <w:rsid w:val="00D50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ECC"/>
    <w:rPr>
      <w:rFonts w:asciiTheme="majorBidi" w:hAnsiTheme="majorBidi" w:cstheme="majorBidi"/>
      <w:sz w:val="24"/>
      <w:szCs w:val="24"/>
    </w:rPr>
  </w:style>
  <w:style w:type="table" w:styleId="TableGrid">
    <w:name w:val="Table Grid"/>
    <w:basedOn w:val="TableNormal"/>
    <w:uiPriority w:val="59"/>
    <w:rsid w:val="00617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معادلات متن"/>
    <w:basedOn w:val="Normal"/>
    <w:next w:val="Normal"/>
    <w:link w:val="CaptionChar"/>
    <w:uiPriority w:val="35"/>
    <w:unhideWhenUsed/>
    <w:qFormat/>
    <w:rsid w:val="007D152F"/>
    <w:pPr>
      <w:keepNext/>
      <w:spacing w:after="240" w:line="240" w:lineRule="auto"/>
      <w:jc w:val="center"/>
    </w:pPr>
    <w:rPr>
      <w:rFonts w:ascii="Times New Roman" w:eastAsia="MS Mincho" w:hAnsi="Times New Roman" w:cs="Times New Roman"/>
      <w:iCs/>
      <w:sz w:val="22"/>
      <w:szCs w:val="22"/>
      <w:lang w:eastAsia="ja-JP"/>
    </w:rPr>
  </w:style>
  <w:style w:type="paragraph" w:customStyle="1" w:styleId="EndNoteBibliographyTitle">
    <w:name w:val="EndNote Bibliography Title"/>
    <w:basedOn w:val="Normal"/>
    <w:link w:val="EndNoteBibliographyTitleChar"/>
    <w:rsid w:val="00256B64"/>
    <w:pPr>
      <w:spacing w:after="0"/>
      <w:jc w:val="center"/>
    </w:pPr>
    <w:rPr>
      <w:rFonts w:ascii="Times New Roman" w:hAnsi="Times New Roman" w:cs="Times New Roman"/>
      <w:noProof/>
      <w:sz w:val="22"/>
    </w:rPr>
  </w:style>
  <w:style w:type="character" w:customStyle="1" w:styleId="EndNoteBibliographyTitleChar">
    <w:name w:val="EndNote Bibliography Title Char"/>
    <w:basedOn w:val="DefaultParagraphFont"/>
    <w:link w:val="EndNoteBibliographyTitle"/>
    <w:rsid w:val="00256B64"/>
    <w:rPr>
      <w:rFonts w:ascii="Times New Roman" w:hAnsi="Times New Roman" w:cs="Times New Roman"/>
      <w:noProof/>
      <w:szCs w:val="24"/>
    </w:rPr>
  </w:style>
  <w:style w:type="paragraph" w:customStyle="1" w:styleId="EndNoteBibliography">
    <w:name w:val="EndNote Bibliography"/>
    <w:basedOn w:val="Normal"/>
    <w:link w:val="EndNoteBibliographyChar"/>
    <w:rsid w:val="00256B64"/>
    <w:pPr>
      <w:spacing w:line="240" w:lineRule="auto"/>
    </w:pPr>
    <w:rPr>
      <w:rFonts w:ascii="Times New Roman" w:hAnsi="Times New Roman" w:cs="Times New Roman"/>
      <w:noProof/>
      <w:sz w:val="22"/>
    </w:rPr>
  </w:style>
  <w:style w:type="character" w:customStyle="1" w:styleId="EndNoteBibliographyChar">
    <w:name w:val="EndNote Bibliography Char"/>
    <w:basedOn w:val="DefaultParagraphFont"/>
    <w:link w:val="EndNoteBibliography"/>
    <w:rsid w:val="00256B64"/>
    <w:rPr>
      <w:rFonts w:ascii="Times New Roman" w:hAnsi="Times New Roman" w:cs="Times New Roman"/>
      <w:noProof/>
      <w:szCs w:val="24"/>
    </w:rPr>
  </w:style>
  <w:style w:type="character" w:customStyle="1" w:styleId="CaptionChar">
    <w:name w:val="Caption Char"/>
    <w:aliases w:val="معادلات متن Char"/>
    <w:basedOn w:val="DefaultParagraphFont"/>
    <w:link w:val="Caption"/>
    <w:uiPriority w:val="35"/>
    <w:rsid w:val="007D152F"/>
    <w:rPr>
      <w:rFonts w:ascii="Times New Roman" w:eastAsia="MS Mincho" w:hAnsi="Times New Roman" w:cs="Times New Roman"/>
      <w:iCs/>
      <w:lang w:eastAsia="ja-JP"/>
    </w:rPr>
  </w:style>
  <w:style w:type="paragraph" w:styleId="BalloonText">
    <w:name w:val="Balloon Text"/>
    <w:basedOn w:val="Normal"/>
    <w:link w:val="BalloonTextChar"/>
    <w:uiPriority w:val="99"/>
    <w:semiHidden/>
    <w:unhideWhenUsed/>
    <w:rsid w:val="007D1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52F"/>
    <w:rPr>
      <w:rFonts w:ascii="Tahoma" w:hAnsi="Tahoma" w:cs="Tahoma"/>
      <w:sz w:val="16"/>
      <w:szCs w:val="16"/>
    </w:rPr>
  </w:style>
  <w:style w:type="paragraph" w:styleId="TOC1">
    <w:name w:val="toc 1"/>
    <w:basedOn w:val="Normal"/>
    <w:next w:val="NoSpacing"/>
    <w:autoRedefine/>
    <w:uiPriority w:val="39"/>
    <w:unhideWhenUsed/>
    <w:qFormat/>
    <w:rsid w:val="00F56FA0"/>
    <w:pPr>
      <w:spacing w:after="0"/>
      <w:jc w:val="left"/>
    </w:pPr>
  </w:style>
  <w:style w:type="paragraph" w:styleId="NoSpacing">
    <w:name w:val="No Spacing"/>
    <w:uiPriority w:val="1"/>
    <w:qFormat/>
    <w:rsid w:val="00D22FAC"/>
    <w:pPr>
      <w:spacing w:after="0" w:line="240" w:lineRule="auto"/>
      <w:jc w:val="both"/>
    </w:pPr>
    <w:rPr>
      <w:rFonts w:asciiTheme="majorBidi" w:hAnsiTheme="majorBidi" w:cstheme="majorBidi"/>
      <w:sz w:val="24"/>
      <w:szCs w:val="24"/>
    </w:rPr>
  </w:style>
  <w:style w:type="character" w:styleId="LineNumber">
    <w:name w:val="line number"/>
    <w:basedOn w:val="DefaultParagraphFont"/>
    <w:uiPriority w:val="99"/>
    <w:semiHidden/>
    <w:unhideWhenUsed/>
    <w:rsid w:val="005A1D8D"/>
  </w:style>
  <w:style w:type="paragraph" w:styleId="Title">
    <w:name w:val="Title"/>
    <w:basedOn w:val="Normal"/>
    <w:next w:val="Normal"/>
    <w:link w:val="TitleChar"/>
    <w:uiPriority w:val="10"/>
    <w:qFormat/>
    <w:rsid w:val="00451D28"/>
    <w:pPr>
      <w:spacing w:after="160" w:line="259" w:lineRule="auto"/>
    </w:pPr>
    <w:rPr>
      <w:rFonts w:ascii="Times New Roman" w:eastAsiaTheme="minorEastAsia" w:hAnsi="Times New Roman" w:cs="Times New Roman"/>
      <w:b/>
      <w:sz w:val="40"/>
      <w:lang w:eastAsia="zh-CN" w:bidi="fa-IR"/>
    </w:rPr>
  </w:style>
  <w:style w:type="character" w:customStyle="1" w:styleId="TitleChar">
    <w:name w:val="Title Char"/>
    <w:basedOn w:val="DefaultParagraphFont"/>
    <w:link w:val="Title"/>
    <w:uiPriority w:val="10"/>
    <w:rsid w:val="00451D28"/>
    <w:rPr>
      <w:rFonts w:ascii="Times New Roman" w:eastAsiaTheme="minorEastAsia" w:hAnsi="Times New Roman" w:cs="Times New Roman"/>
      <w:b/>
      <w:sz w:val="40"/>
      <w:szCs w:val="24"/>
      <w:lang w:eastAsia="zh-CN" w:bidi="fa-IR"/>
    </w:rPr>
  </w:style>
  <w:style w:type="character" w:styleId="Strong">
    <w:name w:val="Strong"/>
    <w:basedOn w:val="DefaultParagraphFont"/>
    <w:uiPriority w:val="22"/>
    <w:qFormat/>
    <w:rsid w:val="00875DD0"/>
    <w:rPr>
      <w:b/>
      <w:bCs/>
    </w:rPr>
  </w:style>
  <w:style w:type="character" w:styleId="UnresolvedMention">
    <w:name w:val="Unresolved Mention"/>
    <w:basedOn w:val="DefaultParagraphFont"/>
    <w:uiPriority w:val="99"/>
    <w:semiHidden/>
    <w:unhideWhenUsed/>
    <w:rsid w:val="009666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63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7.wmf"/><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16" Type="http://schemas.openxmlformats.org/officeDocument/2006/relationships/image" Target="media/image5.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5" Type="http://schemas.openxmlformats.org/officeDocument/2006/relationships/webSettings" Target="webSettings.xml"/><Relationship Id="rId61" Type="http://schemas.openxmlformats.org/officeDocument/2006/relationships/image" Target="media/image27.wmf"/><Relationship Id="rId19" Type="http://schemas.openxmlformats.org/officeDocument/2006/relationships/image" Target="media/image6.wmf"/><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1.wmf"/><Relationship Id="rId7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6.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2.wmf"/><Relationship Id="rId2" Type="http://schemas.openxmlformats.org/officeDocument/2006/relationships/numbering" Target="numbering.xml"/><Relationship Id="rId29" Type="http://schemas.openxmlformats.org/officeDocument/2006/relationships/image" Target="media/image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62A9F-6706-418D-90E0-0C84DDF52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3567</TotalTime>
  <Pages>5</Pages>
  <Words>5012</Words>
  <Characters>28570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MAK</cp:lastModifiedBy>
  <cp:revision>772</cp:revision>
  <cp:lastPrinted>2019-05-20T18:43:00Z</cp:lastPrinted>
  <dcterms:created xsi:type="dcterms:W3CDTF">2016-11-20T19:23:00Z</dcterms:created>
  <dcterms:modified xsi:type="dcterms:W3CDTF">2020-04-16T21:15:00Z</dcterms:modified>
</cp:coreProperties>
</file>