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1E5EC" w14:textId="33853A33" w:rsidR="00253422" w:rsidRPr="00B567D1" w:rsidRDefault="002A3CB8" w:rsidP="00B567D1">
      <w:pPr>
        <w:pStyle w:val="Title"/>
      </w:pPr>
      <w:r w:rsidRPr="002A3CB8">
        <w:t>Microwave Heating for Minerals Drying: Experimental and Numerical Study</w:t>
      </w:r>
    </w:p>
    <w:p w14:paraId="2E2E59AA" w14:textId="3B0DCE00" w:rsidR="00B713C1" w:rsidRPr="00B00687" w:rsidRDefault="002A3CB8" w:rsidP="003F0AFB">
      <w:pPr>
        <w:pStyle w:val="Author"/>
      </w:pPr>
      <w:r w:rsidRPr="002A3CB8">
        <w:t xml:space="preserve">M. Asgarpour Khansary, P. Samea, A. Shadi and S.A. Ghoreishi-Madiseh </w:t>
      </w:r>
    </w:p>
    <w:p w14:paraId="43329ACF" w14:textId="4D0F708C" w:rsidR="000541C5" w:rsidRPr="00B567D1" w:rsidRDefault="00DD1BB4" w:rsidP="00B567D1">
      <w:pPr>
        <w:pStyle w:val="Affiliation"/>
      </w:pPr>
      <w:r w:rsidRPr="00DD1BB4">
        <w:t>The University of British Columbia, Vancouver, Canada</w:t>
      </w:r>
      <w:r w:rsidR="00377D86" w:rsidRPr="00B567D1">
        <w:t xml:space="preserve"> </w:t>
      </w:r>
    </w:p>
    <w:p w14:paraId="0769DF0E" w14:textId="67ECB28C" w:rsidR="00CF6BD0" w:rsidRDefault="007F10C8" w:rsidP="00EC1774">
      <w:pPr>
        <w:spacing w:before="240"/>
        <w:ind w:left="1166" w:hanging="1166"/>
        <w:jc w:val="both"/>
        <w:rPr>
          <w:sz w:val="22"/>
          <w:szCs w:val="22"/>
          <w:lang w:val="en-US"/>
        </w:rPr>
      </w:pPr>
      <w:r w:rsidRPr="007F10C8">
        <w:rPr>
          <w:b/>
          <w:sz w:val="22"/>
          <w:szCs w:val="22"/>
          <w:lang w:val="en-US"/>
        </w:rPr>
        <w:t>Keywords</w:t>
      </w:r>
      <w:r>
        <w:rPr>
          <w:sz w:val="22"/>
          <w:szCs w:val="22"/>
          <w:lang w:val="en-US"/>
        </w:rPr>
        <w:t xml:space="preserve">: </w:t>
      </w:r>
      <w:r w:rsidR="00DD1BB4" w:rsidRPr="00DD1BB4">
        <w:rPr>
          <w:sz w:val="22"/>
          <w:szCs w:val="22"/>
          <w:lang w:val="en-US"/>
        </w:rPr>
        <w:t>Microwave Heating, Minerals Drying, Finite Element Analysis, Moisture Removal, Electrification</w:t>
      </w:r>
      <w:r w:rsidR="00DD1BB4">
        <w:rPr>
          <w:sz w:val="22"/>
          <w:szCs w:val="22"/>
          <w:lang w:val="en-US"/>
        </w:rPr>
        <w:t>.</w:t>
      </w:r>
      <w:r>
        <w:rPr>
          <w:sz w:val="22"/>
          <w:szCs w:val="22"/>
          <w:lang w:val="en-US"/>
        </w:rPr>
        <w:t xml:space="preserve"> </w:t>
      </w:r>
    </w:p>
    <w:p w14:paraId="039EC620" w14:textId="7D40E39C" w:rsidR="00377D86" w:rsidRPr="00935962" w:rsidRDefault="00377D86" w:rsidP="004257CE">
      <w:pPr>
        <w:pStyle w:val="SectionTitle"/>
      </w:pPr>
      <w:r w:rsidRPr="009F2295">
        <w:t>I</w:t>
      </w:r>
      <w:r w:rsidR="00935962" w:rsidRPr="009F2295">
        <w:t>NTRODUCTION</w:t>
      </w:r>
      <w:r w:rsidR="00DD1BB4">
        <w:t xml:space="preserve"> </w:t>
      </w:r>
    </w:p>
    <w:p w14:paraId="681C7835" w14:textId="221C66CD" w:rsidR="00DD1BB4" w:rsidRDefault="00DD1BB4" w:rsidP="00F70DE0">
      <w:pPr>
        <w:pStyle w:val="text0"/>
        <w:spacing w:after="120"/>
      </w:pPr>
      <w:r w:rsidRPr="00DD1BB4">
        <w:t xml:space="preserve">Transitioning from natural gas-burning kilns commonly used in minerals drying to electricity-driven technologies such as microwave heating powered by renewable energies, can cut dependence on fossil fuels [1]. The present paper evaluates the application of microwave systems for minerals drying through conducting laboratory experiments and numerical modeling. Drying tests were conducted in a commercial microwave oven, with samples exposed to energy dosages of up to </w:t>
      </w:r>
      <w:r w:rsidR="00B778E3">
        <w:t>150</w:t>
      </w:r>
      <w:r w:rsidRPr="00DD1BB4">
        <w:t xml:space="preserve"> kWh/t aiming at reducing moisture content to below 1%. The </w:t>
      </w:r>
      <w:r w:rsidR="00CE2558">
        <w:t xml:space="preserve">tangent loss, </w:t>
      </w:r>
      <w:r w:rsidRPr="00DD1BB4">
        <w:t>heat capacity and thermal conductivity were evaluated at various temperatures</w:t>
      </w:r>
      <w:r w:rsidR="00CE2558">
        <w:t xml:space="preserve"> and </w:t>
      </w:r>
      <w:r w:rsidRPr="00DD1BB4">
        <w:t>used to develop numerical models coupling electromagnetic and heat transfer</w:t>
      </w:r>
      <w:r w:rsidR="00CE2558">
        <w:t xml:space="preserve">. The </w:t>
      </w:r>
      <w:r w:rsidRPr="00DD1BB4">
        <w:t>drying rates and temperature profiles of samples</w:t>
      </w:r>
      <w:r w:rsidR="00CE2558">
        <w:t xml:space="preserve"> were predicted using numerical model and compared to experimental measurements where </w:t>
      </w:r>
      <w:r w:rsidRPr="00DD1BB4">
        <w:t>strong agreement was found.</w:t>
      </w:r>
      <w:r w:rsidR="002E19C4">
        <w:t xml:space="preserve"> It was found that </w:t>
      </w:r>
      <w:r w:rsidR="00605DA2">
        <w:t>providing a minimum of 1</w:t>
      </w:r>
      <w:r w:rsidR="00605DA2" w:rsidRPr="002E19C4">
        <w:t>5 kWh/t</w:t>
      </w:r>
      <w:r w:rsidR="00605DA2">
        <w:t xml:space="preserve"> microwave energy dosage </w:t>
      </w:r>
      <w:r w:rsidR="002E19C4" w:rsidRPr="002E19C4">
        <w:t>initiate</w:t>
      </w:r>
      <w:r w:rsidR="00605DA2">
        <w:t>s</w:t>
      </w:r>
      <w:r w:rsidR="002E19C4" w:rsidRPr="002E19C4">
        <w:t xml:space="preserve"> evaporation</w:t>
      </w:r>
      <w:r w:rsidR="001B6323">
        <w:t>. E</w:t>
      </w:r>
      <w:r w:rsidR="002641B7">
        <w:t>vaporation remains the dominant mechanism in expensing microwave energy</w:t>
      </w:r>
      <w:r w:rsidR="001B6323">
        <w:t>,</w:t>
      </w:r>
      <w:r w:rsidR="00D508A0">
        <w:t xml:space="preserve"> removing water at approximate rate </w:t>
      </w:r>
      <w:r w:rsidR="001B6323">
        <w:t xml:space="preserve">of </w:t>
      </w:r>
      <w:r w:rsidR="00D508A0">
        <w:t>0.31 gram per kWhr/t of material</w:t>
      </w:r>
      <w:r w:rsidR="00C64EDA">
        <w:t xml:space="preserve"> until moisture content of </w:t>
      </w:r>
      <w:r w:rsidR="004929C5">
        <w:t>approximately 2%</w:t>
      </w:r>
      <w:r w:rsidR="00C64EDA">
        <w:t xml:space="preserve"> is reached</w:t>
      </w:r>
      <w:r w:rsidR="002E19C4" w:rsidRPr="002E19C4">
        <w:t xml:space="preserve">. </w:t>
      </w:r>
    </w:p>
    <w:p w14:paraId="715792A3" w14:textId="3EF5FB1A" w:rsidR="000A2AFF" w:rsidRPr="00935962" w:rsidRDefault="00D74D3B" w:rsidP="004257CE">
      <w:pPr>
        <w:pStyle w:val="SectionTitle"/>
      </w:pPr>
      <w:r>
        <w:t>meth</w:t>
      </w:r>
      <w:r w:rsidR="00526620">
        <w:t>O</w:t>
      </w:r>
      <w:r w:rsidR="003F0AFB">
        <w:t>dolo</w:t>
      </w:r>
      <w:r w:rsidR="00A32E15">
        <w:t>G</w:t>
      </w:r>
      <w:r w:rsidR="003F0AFB">
        <w:t>y</w:t>
      </w:r>
    </w:p>
    <w:p w14:paraId="7C3ADDA6" w14:textId="39DF92C1" w:rsidR="00DD1BB4" w:rsidRDefault="00DD1BB4" w:rsidP="00DD1BB4">
      <w:pPr>
        <w:pStyle w:val="text0"/>
      </w:pPr>
      <w:r w:rsidRPr="00DD1BB4">
        <w:t>The thermal conductivity of wet and dry samples was measured using a KD2-Pro thermal properties analyzer. The heat capacity of the samples was measured only for fully dried samples using differential scanning calorimetry with Discovery 2500 from TA Instruments. The effect of latent heat was incorporated into models using an apparent heat capacity approach [</w:t>
      </w:r>
      <w:r w:rsidR="002E19C4">
        <w:t>2</w:t>
      </w:r>
      <w:r w:rsidRPr="00DD1BB4">
        <w:t>].</w:t>
      </w:r>
      <w:r>
        <w:t xml:space="preserve"> Samples were thoroughly analyzed for their electromagnetic properties using cavity perturbation technique at frequency of 2467 MHz across temperatures ranging from 25 °C to 120</w:t>
      </w:r>
      <w:r w:rsidR="00DC3B00">
        <w:t xml:space="preserve"> </w:t>
      </w:r>
      <w:r>
        <w:t>°C, with incremental steps of 20</w:t>
      </w:r>
      <w:r w:rsidR="00DC3B00">
        <w:t xml:space="preserve"> </w:t>
      </w:r>
      <w:r>
        <w:t xml:space="preserve">°C. </w:t>
      </w:r>
    </w:p>
    <w:p w14:paraId="608793BC" w14:textId="1B081506" w:rsidR="00454CCC" w:rsidRDefault="00DD1BB4" w:rsidP="00F71DD2">
      <w:pPr>
        <w:pStyle w:val="text0"/>
      </w:pPr>
      <w:r>
        <w:t xml:space="preserve">Drying experiments were conducted in a commercial microwave oven </w:t>
      </w:r>
      <w:r w:rsidR="00605DA2">
        <w:t>from Amana</w:t>
      </w:r>
      <w:r w:rsidR="00A16759">
        <w:t xml:space="preserve"> model </w:t>
      </w:r>
      <w:r w:rsidR="00A16759" w:rsidRPr="00A16759">
        <w:t>RC30S</w:t>
      </w:r>
      <w:r w:rsidR="00C64EDA" w:rsidRPr="00A16759">
        <w:t>2</w:t>
      </w:r>
      <w:r w:rsidR="00C64EDA">
        <w:t xml:space="preserve"> (</w:t>
      </w:r>
      <w:r w:rsidR="00DC3B00">
        <w:t>Figure 1(a)</w:t>
      </w:r>
      <w:r w:rsidR="0043583C">
        <w:t xml:space="preserve">) </w:t>
      </w:r>
      <w:r>
        <w:t>with a nominal forward power of 3 kW, equipped with 3 magnetrons in separate rectangular TE10 waveguides, 3 stirrers, and 2 fans [</w:t>
      </w:r>
      <w:r w:rsidR="002E19C4">
        <w:t>3</w:t>
      </w:r>
      <w:r>
        <w:t>]. The actual forward power of microwave was measured following IEC 60705:2010 + A1:2014 standard [</w:t>
      </w:r>
      <w:r w:rsidR="002E19C4">
        <w:t>4</w:t>
      </w:r>
      <w:r>
        <w:t xml:space="preserve">] through energy absorption study on water. </w:t>
      </w:r>
    </w:p>
    <w:p w14:paraId="2E061167" w14:textId="77777777" w:rsidR="002641B7" w:rsidRDefault="002641B7" w:rsidP="00F71DD2">
      <w:pPr>
        <w:pStyle w:val="text0"/>
      </w:pPr>
    </w:p>
    <w:p w14:paraId="24F8908C" w14:textId="7BE953A5" w:rsidR="000957BE" w:rsidRDefault="000957BE" w:rsidP="00AF228C">
      <w:pPr>
        <w:pStyle w:val="text0"/>
        <w:jc w:val="center"/>
      </w:pPr>
      <w:r w:rsidRPr="00DF3B73">
        <w:rPr>
          <w:noProof/>
        </w:rPr>
        <w:drawing>
          <wp:inline distT="0" distB="0" distL="0" distR="0" wp14:anchorId="6ECE0513" wp14:editId="6EEEA0D7">
            <wp:extent cx="2429252" cy="1536700"/>
            <wp:effectExtent l="0" t="0" r="9525" b="6350"/>
            <wp:docPr id="58436904" name="Picture 1" descr="A microwave with a measuring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6904" name="Picture 1" descr="A microwave with a measuring device&#10;&#10;Description automatically generated"/>
                    <pic:cNvPicPr/>
                  </pic:nvPicPr>
                  <pic:blipFill>
                    <a:blip r:embed="rId8"/>
                    <a:stretch>
                      <a:fillRect/>
                    </a:stretch>
                  </pic:blipFill>
                  <pic:spPr>
                    <a:xfrm>
                      <a:off x="0" y="0"/>
                      <a:ext cx="2496630" cy="1579322"/>
                    </a:xfrm>
                    <a:prstGeom prst="rect">
                      <a:avLst/>
                    </a:prstGeom>
                  </pic:spPr>
                </pic:pic>
              </a:graphicData>
            </a:graphic>
          </wp:inline>
        </w:drawing>
      </w:r>
    </w:p>
    <w:p w14:paraId="411D8809" w14:textId="7189B183" w:rsidR="000957BE" w:rsidRDefault="00402A0F" w:rsidP="00454CCC">
      <w:pPr>
        <w:jc w:val="center"/>
        <w:rPr>
          <w:sz w:val="20"/>
          <w:szCs w:val="20"/>
          <w:lang w:val="en-GB"/>
        </w:rPr>
      </w:pPr>
      <w:r>
        <w:rPr>
          <w:sz w:val="20"/>
          <w:szCs w:val="20"/>
          <w:lang w:val="en-GB"/>
        </w:rPr>
        <w:t xml:space="preserve">(a)                                </w:t>
      </w:r>
    </w:p>
    <w:p w14:paraId="1028761A" w14:textId="20C9CF22" w:rsidR="00454CCC" w:rsidRDefault="00454CCC" w:rsidP="00454CCC">
      <w:pPr>
        <w:jc w:val="center"/>
        <w:rPr>
          <w:sz w:val="20"/>
          <w:szCs w:val="20"/>
          <w:lang w:val="en-GB"/>
        </w:rPr>
      </w:pPr>
      <w:r>
        <w:rPr>
          <w:noProof/>
          <w:sz w:val="20"/>
          <w:szCs w:val="20"/>
          <w:lang w:val="en-GB"/>
        </w:rPr>
        <w:drawing>
          <wp:inline distT="0" distB="0" distL="0" distR="0" wp14:anchorId="617ECA14" wp14:editId="57A45938">
            <wp:extent cx="2285557" cy="1524982"/>
            <wp:effectExtent l="0" t="0" r="635" b="0"/>
            <wp:docPr id="1527858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1798" cy="1535818"/>
                    </a:xfrm>
                    <a:prstGeom prst="rect">
                      <a:avLst/>
                    </a:prstGeom>
                    <a:noFill/>
                  </pic:spPr>
                </pic:pic>
              </a:graphicData>
            </a:graphic>
          </wp:inline>
        </w:drawing>
      </w:r>
      <w:r w:rsidR="00AF228C">
        <w:rPr>
          <w:noProof/>
          <w:sz w:val="20"/>
          <w:szCs w:val="20"/>
          <w:lang w:val="en-GB"/>
        </w:rPr>
        <w:drawing>
          <wp:inline distT="0" distB="0" distL="0" distR="0" wp14:anchorId="79F0755E" wp14:editId="4C79AA67">
            <wp:extent cx="2552700" cy="1582855"/>
            <wp:effectExtent l="0" t="0" r="0" b="0"/>
            <wp:docPr id="1043295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2319" cy="1601221"/>
                    </a:xfrm>
                    <a:prstGeom prst="rect">
                      <a:avLst/>
                    </a:prstGeom>
                    <a:noFill/>
                  </pic:spPr>
                </pic:pic>
              </a:graphicData>
            </a:graphic>
          </wp:inline>
        </w:drawing>
      </w:r>
    </w:p>
    <w:p w14:paraId="7B476F80" w14:textId="4029DA6C" w:rsidR="00454CCC" w:rsidRDefault="00454CCC" w:rsidP="00454CCC">
      <w:pPr>
        <w:tabs>
          <w:tab w:val="left" w:pos="2160"/>
          <w:tab w:val="left" w:pos="6660"/>
        </w:tabs>
        <w:rPr>
          <w:sz w:val="20"/>
          <w:szCs w:val="20"/>
        </w:rPr>
      </w:pPr>
      <w:r w:rsidRPr="41410752">
        <w:rPr>
          <w:sz w:val="20"/>
          <w:szCs w:val="20"/>
        </w:rPr>
        <w:t xml:space="preserve">                                         (</w:t>
      </w:r>
      <w:r w:rsidR="00605DA2">
        <w:rPr>
          <w:sz w:val="20"/>
          <w:szCs w:val="20"/>
        </w:rPr>
        <w:t>b</w:t>
      </w:r>
      <w:r w:rsidRPr="41410752">
        <w:rPr>
          <w:sz w:val="20"/>
          <w:szCs w:val="20"/>
        </w:rPr>
        <w:t>)                                                                          (</w:t>
      </w:r>
      <w:r w:rsidR="00605DA2">
        <w:rPr>
          <w:sz w:val="20"/>
          <w:szCs w:val="20"/>
        </w:rPr>
        <w:t>c</w:t>
      </w:r>
      <w:r w:rsidRPr="41410752">
        <w:rPr>
          <w:sz w:val="20"/>
          <w:szCs w:val="20"/>
        </w:rPr>
        <w:t>)</w:t>
      </w:r>
    </w:p>
    <w:p w14:paraId="14963513" w14:textId="7EAB4DE8" w:rsidR="00454CCC" w:rsidRDefault="00454CCC" w:rsidP="001B6323">
      <w:pPr>
        <w:pStyle w:val="captions"/>
      </w:pPr>
      <w:r>
        <w:t xml:space="preserve">Figure 1. </w:t>
      </w:r>
      <w:r w:rsidR="00310BFE">
        <w:t xml:space="preserve">The 3kW </w:t>
      </w:r>
      <w:r w:rsidR="000957BE">
        <w:t>microwave oven</w:t>
      </w:r>
      <w:r w:rsidR="00310BFE">
        <w:t xml:space="preserve"> together with IR camera and benchtop scale</w:t>
      </w:r>
      <w:r w:rsidR="000957BE">
        <w:t xml:space="preserve"> (a)</w:t>
      </w:r>
      <w:r w:rsidR="00310BFE">
        <w:t xml:space="preserve">. </w:t>
      </w:r>
      <w:r w:rsidR="00402A0F">
        <w:t xml:space="preserve">The numerical </w:t>
      </w:r>
      <w:r>
        <w:t xml:space="preserve">mass loss </w:t>
      </w:r>
      <w:r w:rsidR="00402A0F">
        <w:t xml:space="preserve">is </w:t>
      </w:r>
      <w:r>
        <w:t>compared to experimental measurements (</w:t>
      </w:r>
      <w:r w:rsidR="00605DA2">
        <w:t>b</w:t>
      </w:r>
      <w:r>
        <w:t xml:space="preserve">), </w:t>
      </w:r>
      <w:r w:rsidR="00402A0F">
        <w:t xml:space="preserve">with respective </w:t>
      </w:r>
      <w:r>
        <w:t>contribution of sensible energy and latent energy</w:t>
      </w:r>
      <w:r w:rsidR="00402A0F">
        <w:t xml:space="preserve"> energies in expensing microwave energy (</w:t>
      </w:r>
      <w:r w:rsidR="00605DA2">
        <w:t>c</w:t>
      </w:r>
      <w:r w:rsidR="00402A0F">
        <w:t>)</w:t>
      </w:r>
      <w:r>
        <w:t>.</w:t>
      </w:r>
    </w:p>
    <w:p w14:paraId="208E759A" w14:textId="77777777" w:rsidR="00454CCC" w:rsidRDefault="00454CCC" w:rsidP="00F71DD2">
      <w:pPr>
        <w:pStyle w:val="text0"/>
      </w:pPr>
    </w:p>
    <w:p w14:paraId="506E420A" w14:textId="77777777" w:rsidR="00AF228C" w:rsidRDefault="00AF228C" w:rsidP="00F71DD2">
      <w:pPr>
        <w:pStyle w:val="text0"/>
      </w:pPr>
      <w:r>
        <w:t xml:space="preserve">The generators’ ramp-up time and actual power draw from electrical grid were measured where changes in temperature, mass and electrical current were recorded using a thermometer, benchtop scale and power analyzer, respectively. </w:t>
      </w:r>
    </w:p>
    <w:p w14:paraId="429134DF" w14:textId="51F573F4" w:rsidR="00DD1BB4" w:rsidRDefault="00F71DD2" w:rsidP="00F71DD2">
      <w:pPr>
        <w:pStyle w:val="text0"/>
      </w:pPr>
      <w:r>
        <w:t>S</w:t>
      </w:r>
      <w:r w:rsidR="00DD1BB4">
        <w:t>amples weighing approximately 275 g with 25% initial moisture content were exposed to microwave energy for durations of 9,</w:t>
      </w:r>
      <w:r>
        <w:t xml:space="preserve"> </w:t>
      </w:r>
      <w:r w:rsidR="00DD1BB4">
        <w:t xml:space="preserve">12, 15, 30, and 60 s. Mass </w:t>
      </w:r>
      <w:r w:rsidR="002E19C4">
        <w:t xml:space="preserve">and temperature </w:t>
      </w:r>
      <w:r w:rsidR="00DD1BB4">
        <w:t xml:space="preserve">changes were measured </w:t>
      </w:r>
      <w:r w:rsidR="002E19C4">
        <w:t xml:space="preserve">and </w:t>
      </w:r>
      <w:r w:rsidR="00DD1BB4">
        <w:t xml:space="preserve">used to calculate the total thermal energy absorbed by the samples i.e. sum of sensible and latent energies. </w:t>
      </w:r>
    </w:p>
    <w:p w14:paraId="5D48BDF4" w14:textId="69AD9C66" w:rsidR="00DD1BB4" w:rsidRDefault="00DD1BB4" w:rsidP="00DD1BB4">
      <w:pPr>
        <w:pStyle w:val="text0"/>
      </w:pPr>
      <w:r>
        <w:t>A finite-element based numerical model was developed</w:t>
      </w:r>
      <w:r w:rsidR="00F71DD2">
        <w:t xml:space="preserve"> in COMSOL Multiphysics</w:t>
      </w:r>
      <w:r w:rsidR="0043583C">
        <w:t xml:space="preserve"> </w:t>
      </w:r>
      <w:r w:rsidR="00F71DD2">
        <w:t>coupl</w:t>
      </w:r>
      <w:r w:rsidR="00230EED">
        <w:t xml:space="preserve">ing </w:t>
      </w:r>
      <w:r>
        <w:t xml:space="preserve">electromagnetic </w:t>
      </w:r>
      <w:r w:rsidR="00CF3B07">
        <w:t>physics</w:t>
      </w:r>
      <w:r w:rsidR="00D80A84">
        <w:t xml:space="preserve"> </w:t>
      </w:r>
      <w:r w:rsidR="00F71DD2">
        <w:t xml:space="preserve">with </w:t>
      </w:r>
      <w:r>
        <w:t>heat transfer</w:t>
      </w:r>
      <w:r w:rsidR="00D80A84">
        <w:t xml:space="preserve"> </w:t>
      </w:r>
      <w:r w:rsidR="00230EED">
        <w:t>bi-directionally</w:t>
      </w:r>
      <w:r w:rsidR="00D80A84">
        <w:t>.</w:t>
      </w:r>
      <w:r w:rsidR="00EE5D54">
        <w:t xml:space="preserve"> The transient revolution of stirrers was incrementally incorporated</w:t>
      </w:r>
      <w:r w:rsidR="00CF3B07">
        <w:t xml:space="preserve"> and the</w:t>
      </w:r>
      <w:r w:rsidR="00D80A84">
        <w:t xml:space="preserve"> sequence of electromagnetic </w:t>
      </w:r>
      <w:r w:rsidR="00605DA2">
        <w:t>physics</w:t>
      </w:r>
      <w:r w:rsidR="00D80A84">
        <w:t xml:space="preserve"> and heat transfer were solved iteratively</w:t>
      </w:r>
      <w:r w:rsidR="00EE5D54">
        <w:t xml:space="preserve">. </w:t>
      </w:r>
      <w:r w:rsidR="00D80A84">
        <w:t xml:space="preserve">The electric field were solved in frequency domain at respective temperature profiles, and the corresponding resistive losses were used as heat source in solving heat transfer in time domain. </w:t>
      </w:r>
      <w:r w:rsidR="00605DA2">
        <w:t>Following a mesh dependency analysis taking into account the respective computational costs, m</w:t>
      </w:r>
      <w:r w:rsidR="00EE5D54">
        <w:t>esh</w:t>
      </w:r>
      <w:r w:rsidR="00605DA2">
        <w:t>es as small as 5</w:t>
      </w:r>
      <w:r w:rsidR="00DC3B00">
        <w:t xml:space="preserve"> </w:t>
      </w:r>
      <w:r w:rsidR="00605DA2">
        <w:t xml:space="preserve">mm were </w:t>
      </w:r>
      <w:r w:rsidR="00DC3B00">
        <w:t>given</w:t>
      </w:r>
      <w:r w:rsidR="00605DA2">
        <w:t xml:space="preserve"> satisfying numerical errors below </w:t>
      </w:r>
      <w:r w:rsidR="00605DA2" w:rsidRPr="00D508A0">
        <w:rPr>
          <w:color w:val="000000" w:themeColor="text1"/>
        </w:rPr>
        <w:t>1</w:t>
      </w:r>
      <w:r w:rsidR="00605DA2">
        <w:t xml:space="preserve">% in </w:t>
      </w:r>
      <w:r w:rsidR="00D508A0">
        <w:t>both</w:t>
      </w:r>
      <w:r w:rsidR="001B6323">
        <w:t xml:space="preserve"> calculated electromagnetic</w:t>
      </w:r>
      <w:r w:rsidR="00605DA2">
        <w:t xml:space="preserve"> resistive losses and heat transfer power balance. The optimal mesh </w:t>
      </w:r>
      <w:r w:rsidR="00EE5D54">
        <w:t>w</w:t>
      </w:r>
      <w:r>
        <w:t>as used to perform numerical simulations to compute changes in temperature and mass of samples exposed to microwave radiation.</w:t>
      </w:r>
      <w:r w:rsidR="00EE5D54">
        <w:t xml:space="preserve"> </w:t>
      </w:r>
    </w:p>
    <w:p w14:paraId="7C4FB63B" w14:textId="235B3067" w:rsidR="00DD1BB4" w:rsidRPr="00935962" w:rsidRDefault="00DD1BB4" w:rsidP="00DD1BB4">
      <w:pPr>
        <w:pStyle w:val="SectionTitle"/>
      </w:pPr>
      <w:r w:rsidRPr="00DD1BB4">
        <w:lastRenderedPageBreak/>
        <w:t xml:space="preserve">RESULTS AND DISCUSSION </w:t>
      </w:r>
    </w:p>
    <w:p w14:paraId="324402D7" w14:textId="287B2703" w:rsidR="00DD1BB4" w:rsidRDefault="00DD1BB4" w:rsidP="00F70DE0">
      <w:pPr>
        <w:pStyle w:val="text0"/>
      </w:pPr>
      <w:r w:rsidRPr="00DD1BB4">
        <w:t>The dielectric measurements</w:t>
      </w:r>
      <w:r w:rsidR="00CF3B07">
        <w:t xml:space="preserve"> at various moisture contents</w:t>
      </w:r>
      <w:r w:rsidRPr="00DD1BB4">
        <w:t xml:space="preserve"> showed that decreasing the moisture content of samples decreases the tangent loss significantly. For instance, the dielectric loss of wet samples with 25% moisture content drops two orders of magnitudes upon drying, from 0.240 to 0.014 when moisture content dropped to 5%. Once fully dried, samples show minimal interaction with the applied electromagnetic field. This observation was further examined by preforming and comparing drying tests experimentally and numerically. An excellent agreement was found between measured and numerical moisture mass loss as shown in Figure 1(</w:t>
      </w:r>
      <w:r w:rsidR="00605DA2">
        <w:t>b</w:t>
      </w:r>
      <w:r w:rsidRPr="00DD1BB4">
        <w:t>). Once the material reaches the phase change threshold (</w:t>
      </w:r>
      <w:r w:rsidR="00CF3B07">
        <w:t xml:space="preserve">at </w:t>
      </w:r>
      <w:r w:rsidRPr="00DD1BB4">
        <w:t>100 °C), evaporation becomes the dominant mechanism in expensing microwave energy</w:t>
      </w:r>
      <w:r w:rsidR="00EE5D54">
        <w:t xml:space="preserve">, </w:t>
      </w:r>
      <w:r w:rsidR="001B6323">
        <w:t>as</w:t>
      </w:r>
      <w:r w:rsidR="00EE5D54">
        <w:t xml:space="preserve"> </w:t>
      </w:r>
      <w:r w:rsidRPr="00DD1BB4">
        <w:t>seen from the sharp change</w:t>
      </w:r>
      <w:r w:rsidR="00D508A0">
        <w:t xml:space="preserve"> in mass loss </w:t>
      </w:r>
      <w:r w:rsidR="001B6323">
        <w:t>trend</w:t>
      </w:r>
      <w:r w:rsidR="00D508A0">
        <w:t xml:space="preserve"> </w:t>
      </w:r>
      <w:r w:rsidR="001B6323">
        <w:t>as well as</w:t>
      </w:r>
      <w:r w:rsidR="001B6323" w:rsidRPr="00DD1BB4">
        <w:t xml:space="preserve"> in </w:t>
      </w:r>
      <w:r w:rsidR="001B6323">
        <w:t>latent energy contributions i</w:t>
      </w:r>
      <w:r w:rsidR="001B6323" w:rsidRPr="00DD1BB4">
        <w:t>n Figure 1(</w:t>
      </w:r>
      <w:r w:rsidR="001B6323">
        <w:t>c</w:t>
      </w:r>
      <w:r w:rsidR="001B6323" w:rsidRPr="00DD1BB4">
        <w:t>)</w:t>
      </w:r>
      <w:r w:rsidR="001B6323">
        <w:t xml:space="preserve">. </w:t>
      </w:r>
      <w:r w:rsidR="004929C5" w:rsidRPr="00DD1BB4">
        <w:t xml:space="preserve">Higher microwave dosages (longer exposures) result in higher moisture losses. At lower microwave dosages (shorter exposures), the microwave energy is mostly spent to rise and maintain </w:t>
      </w:r>
      <w:r w:rsidR="004929C5">
        <w:t xml:space="preserve">materials volumetric </w:t>
      </w:r>
      <w:r w:rsidR="004929C5" w:rsidRPr="00DD1BB4">
        <w:t xml:space="preserve">temperature, leading to lower moisture losses. </w:t>
      </w:r>
      <w:r w:rsidR="001B6323">
        <w:t xml:space="preserve">At low dosages, </w:t>
      </w:r>
      <w:r w:rsidR="00D508A0">
        <w:t xml:space="preserve">0.04 gram of water </w:t>
      </w:r>
      <w:r w:rsidR="001B6323">
        <w:t xml:space="preserve">can be </w:t>
      </w:r>
      <w:r w:rsidR="00D508A0">
        <w:t>remove</w:t>
      </w:r>
      <w:r w:rsidR="001B6323">
        <w:t>d</w:t>
      </w:r>
      <w:r w:rsidR="00D508A0">
        <w:t xml:space="preserve"> per 1 kWhr/t </w:t>
      </w:r>
      <w:r w:rsidR="001B6323">
        <w:t xml:space="preserve">energy dosage given to the material, and by increasing the energy dosage, up to </w:t>
      </w:r>
      <w:r w:rsidR="00D508A0">
        <w:t xml:space="preserve">0.31 gram of water </w:t>
      </w:r>
      <w:r w:rsidR="001B6323">
        <w:t xml:space="preserve">can be </w:t>
      </w:r>
      <w:r w:rsidR="00D508A0">
        <w:t xml:space="preserve">remove per 1 kWhr/t </w:t>
      </w:r>
      <w:r w:rsidR="001B6323">
        <w:t xml:space="preserve">energy dosage given to material. </w:t>
      </w:r>
    </w:p>
    <w:p w14:paraId="5461043C" w14:textId="77777777" w:rsidR="00DD1BB4" w:rsidRPr="006809E3" w:rsidRDefault="00DD1BB4" w:rsidP="00DD1BB4">
      <w:pPr>
        <w:pStyle w:val="SectionTitle"/>
      </w:pPr>
      <w:r>
        <w:t>Conclusion</w:t>
      </w:r>
    </w:p>
    <w:p w14:paraId="63510AB4" w14:textId="27F5C7DB" w:rsidR="006A0A02" w:rsidRDefault="00DD1BB4" w:rsidP="00DD1BB4">
      <w:pPr>
        <w:pStyle w:val="text0"/>
        <w:spacing w:after="120"/>
      </w:pPr>
      <w:r w:rsidRPr="00DD1BB4">
        <w:t>Through dielectric measurements over temperatures ranging from 25–120</w:t>
      </w:r>
      <w:r w:rsidR="00DC3B00">
        <w:t xml:space="preserve"> </w:t>
      </w:r>
      <w:r w:rsidRPr="00DD1BB4">
        <w:t xml:space="preserve">°C, it was found that water has the dominant role in expensing electromagnetic energy of wet mineral samples, with wet samples showing dielectric loss factors two order of magnitude larger than those of dry samples. The </w:t>
      </w:r>
      <w:r w:rsidR="00454CCC">
        <w:t xml:space="preserve">mass and temperature changes from </w:t>
      </w:r>
      <w:r w:rsidR="00454CCC" w:rsidRPr="00DD1BB4">
        <w:t xml:space="preserve">developed </w:t>
      </w:r>
      <w:r w:rsidRPr="00DD1BB4">
        <w:t>numerical model</w:t>
      </w:r>
      <w:r w:rsidR="00454CCC">
        <w:t xml:space="preserve"> and </w:t>
      </w:r>
      <w:r w:rsidRPr="00DD1BB4">
        <w:t>experimental measurements</w:t>
      </w:r>
      <w:r w:rsidR="00454CCC">
        <w:t xml:space="preserve"> were c</w:t>
      </w:r>
      <w:r w:rsidR="00454CCC" w:rsidRPr="00454CCC">
        <w:t>oncord</w:t>
      </w:r>
      <w:r w:rsidR="00454CCC">
        <w:t>ant</w:t>
      </w:r>
      <w:r w:rsidRPr="00DD1BB4">
        <w:t xml:space="preserve">. </w:t>
      </w:r>
      <w:r w:rsidR="00454CCC">
        <w:t>It was found that</w:t>
      </w:r>
      <w:r w:rsidRPr="00DD1BB4">
        <w:t xml:space="preserve"> </w:t>
      </w:r>
      <w:r w:rsidR="006A0A02">
        <w:t>a</w:t>
      </w:r>
      <w:r w:rsidR="006A0A02" w:rsidRPr="00534263">
        <w:t xml:space="preserve"> </w:t>
      </w:r>
      <w:r w:rsidR="006A0A02">
        <w:t>minimum of 1</w:t>
      </w:r>
      <w:r w:rsidR="006A0A02" w:rsidRPr="002E19C4">
        <w:t>5 kWh/t</w:t>
      </w:r>
      <w:r w:rsidR="006A0A02">
        <w:t xml:space="preserve"> microwave energy dosage must be provided to initiate </w:t>
      </w:r>
      <w:r w:rsidRPr="00DD1BB4">
        <w:t>evaporation</w:t>
      </w:r>
      <w:r w:rsidR="006A0A02">
        <w:t xml:space="preserve">. By retaining energy dosages above 30 kWhr/t of material, a consistent evaporation rate of 0.31 gram per kWhr/t of material can be sustained. </w:t>
      </w:r>
    </w:p>
    <w:p w14:paraId="30DC8A56" w14:textId="77777777" w:rsidR="00121BEC" w:rsidRPr="00695B79" w:rsidRDefault="00185981" w:rsidP="004257CE">
      <w:pPr>
        <w:pStyle w:val="SectionTitle"/>
      </w:pPr>
      <w:r w:rsidRPr="00695B79">
        <w:t>R</w:t>
      </w:r>
      <w:r w:rsidR="00695B79" w:rsidRPr="00695B79">
        <w:t xml:space="preserve">EFERENCES </w:t>
      </w:r>
    </w:p>
    <w:p w14:paraId="3D4F43A0" w14:textId="733F9582" w:rsidR="00DD1BB4" w:rsidRDefault="00DD1BB4" w:rsidP="00DD1BB4">
      <w:pPr>
        <w:pStyle w:val="ref"/>
      </w:pPr>
      <w:r>
        <w:t xml:space="preserve">Heat Exchange: How today’s policy choices will drive or delay Canada’s transition to clean, reliable heat, </w:t>
      </w:r>
      <w:r w:rsidRPr="00B778E3">
        <w:rPr>
          <w:i/>
          <w:iCs/>
        </w:rPr>
        <w:t>The Canadian Climate Institute</w:t>
      </w:r>
      <w:r>
        <w:t xml:space="preserve">,13 June 2024. </w:t>
      </w:r>
    </w:p>
    <w:p w14:paraId="11A8ADA6" w14:textId="17F5F223" w:rsidR="00DD1BB4" w:rsidRDefault="00DD1BB4" w:rsidP="00DD1BB4">
      <w:pPr>
        <w:pStyle w:val="ref"/>
      </w:pPr>
      <w:r>
        <w:t xml:space="preserve">Y. </w:t>
      </w:r>
      <w:proofErr w:type="spellStart"/>
      <w:r>
        <w:t>Khattari</w:t>
      </w:r>
      <w:proofErr w:type="spellEnd"/>
      <w:r>
        <w:t xml:space="preserve">, T. El </w:t>
      </w:r>
      <w:proofErr w:type="spellStart"/>
      <w:r>
        <w:t>Rhafiki</w:t>
      </w:r>
      <w:proofErr w:type="spellEnd"/>
      <w:r>
        <w:t xml:space="preserve">, N. </w:t>
      </w:r>
      <w:proofErr w:type="spellStart"/>
      <w:r>
        <w:t>Choab</w:t>
      </w:r>
      <w:proofErr w:type="spellEnd"/>
      <w:r>
        <w:t xml:space="preserve">, T. </w:t>
      </w:r>
      <w:proofErr w:type="spellStart"/>
      <w:r>
        <w:t>Kousksou</w:t>
      </w:r>
      <w:proofErr w:type="spellEnd"/>
      <w:r>
        <w:t xml:space="preserve">, M. Alaphilippe, Y. </w:t>
      </w:r>
      <w:proofErr w:type="spellStart"/>
      <w:r>
        <w:t>Zeraouli</w:t>
      </w:r>
      <w:proofErr w:type="spellEnd"/>
      <w:r>
        <w:t xml:space="preserve">, Apparent heat capacity method to investigate heat transfer in a composite phase change material, </w:t>
      </w:r>
      <w:r w:rsidR="00E90F82" w:rsidRPr="00E90F82">
        <w:rPr>
          <w:i/>
          <w:iCs/>
        </w:rPr>
        <w:t>J. Energy Storage</w:t>
      </w:r>
      <w:r>
        <w:t xml:space="preserve">, </w:t>
      </w:r>
      <w:r w:rsidR="00E90F82">
        <w:t xml:space="preserve">vol. </w:t>
      </w:r>
      <w:r>
        <w:t>28,</w:t>
      </w:r>
      <w:r w:rsidR="00E90F82">
        <w:t xml:space="preserve"> pp. 101239,</w:t>
      </w:r>
      <w:r>
        <w:t xml:space="preserve"> 2020. </w:t>
      </w:r>
    </w:p>
    <w:p w14:paraId="0F1A7E9E" w14:textId="4FD171FC" w:rsidR="00DD1BB4" w:rsidRDefault="00DD1BB4" w:rsidP="00DD1BB4">
      <w:pPr>
        <w:pStyle w:val="ref"/>
      </w:pPr>
      <w:r>
        <w:t xml:space="preserve">M. Asgarpour Khansary, A. Shadi, P. Samea, S.A. Ghoreishi-Madiseh, Experimental Evaluation of Microwave Systems for Minerals Dewatering, </w:t>
      </w:r>
      <w:r w:rsidRPr="00B778E3">
        <w:rPr>
          <w:i/>
          <w:iCs/>
        </w:rPr>
        <w:t>Proceedings of the 63rd Conference of Metallurgists, COM 2024</w:t>
      </w:r>
      <w:r>
        <w:t xml:space="preserve">, </w:t>
      </w:r>
      <w:r w:rsidR="00B778E3" w:rsidRPr="00B778E3">
        <w:t>pp 961–964</w:t>
      </w:r>
      <w:r w:rsidR="00B778E3">
        <w:t>, 2024</w:t>
      </w:r>
      <w:r>
        <w:t xml:space="preserve">. </w:t>
      </w:r>
    </w:p>
    <w:p w14:paraId="6CBE6F51" w14:textId="60B00B24" w:rsidR="00DD1BB4" w:rsidRPr="00695B79" w:rsidRDefault="00EE5D54" w:rsidP="00EE5D54">
      <w:pPr>
        <w:pStyle w:val="ref"/>
      </w:pPr>
      <w:r w:rsidRPr="00EE5D54">
        <w:t xml:space="preserve">Household microwave ovens - Methods for measuring performance, IEC 60705:2010+AMD1:2014 CSV, </w:t>
      </w:r>
      <w:r w:rsidRPr="00EE5D54">
        <w:rPr>
          <w:i/>
          <w:iCs/>
        </w:rPr>
        <w:t>International Electrotechnical Committee</w:t>
      </w:r>
      <w:r w:rsidRPr="00EE5D54">
        <w:t xml:space="preserve">, 30-06-2014.  </w:t>
      </w:r>
      <w:r w:rsidR="00DD1BB4">
        <w:t xml:space="preserve"> </w:t>
      </w:r>
    </w:p>
    <w:sectPr w:rsidR="00DD1BB4" w:rsidRPr="00695B79" w:rsidSect="00B00687">
      <w:headerReference w:type="even" r:id="rId11"/>
      <w:headerReference w:type="default" r:id="rId12"/>
      <w:footerReference w:type="even" r:id="rId13"/>
      <w:footerReference w:type="default" r:id="rId14"/>
      <w:headerReference w:type="first" r:id="rId15"/>
      <w:footerReference w:type="first" r:id="rId16"/>
      <w:pgSz w:w="12240" w:h="15840" w:code="1"/>
      <w:pgMar w:top="2160" w:right="2160" w:bottom="2160" w:left="216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DC23A" w14:textId="77777777" w:rsidR="00A4724A" w:rsidRDefault="00A4724A">
      <w:r>
        <w:separator/>
      </w:r>
    </w:p>
  </w:endnote>
  <w:endnote w:type="continuationSeparator" w:id="0">
    <w:p w14:paraId="0F2200AC" w14:textId="77777777" w:rsidR="00A4724A" w:rsidRDefault="00A47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2CD6A" w14:textId="77777777" w:rsidR="000C1C64" w:rsidRDefault="002D4055" w:rsidP="00EC0D1F">
    <w:pPr>
      <w:pStyle w:val="Footer"/>
      <w:framePr w:wrap="around" w:vAnchor="text" w:hAnchor="margin" w:xAlign="center" w:y="1"/>
      <w:rPr>
        <w:rStyle w:val="PageNumber"/>
      </w:rPr>
    </w:pPr>
    <w:r>
      <w:rPr>
        <w:rStyle w:val="PageNumber"/>
      </w:rPr>
      <w:fldChar w:fldCharType="begin"/>
    </w:r>
    <w:r w:rsidR="000C1C64">
      <w:rPr>
        <w:rStyle w:val="PageNumber"/>
      </w:rPr>
      <w:instrText xml:space="preserve">PAGE  </w:instrText>
    </w:r>
    <w:r>
      <w:rPr>
        <w:rStyle w:val="PageNumber"/>
      </w:rPr>
      <w:fldChar w:fldCharType="end"/>
    </w:r>
  </w:p>
  <w:p w14:paraId="4BCF1B1F" w14:textId="77777777" w:rsidR="000C1C64" w:rsidRDefault="000C1C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A5F06" w14:textId="0BA9856C" w:rsidR="000C1C64" w:rsidRPr="00B00687" w:rsidRDefault="000C1C64" w:rsidP="002513CE">
    <w:pPr>
      <w:pStyle w:val="Footer"/>
      <w:rPr>
        <w:sz w:val="20"/>
        <w:szCs w:val="20"/>
      </w:rPr>
    </w:pPr>
    <w:r w:rsidRPr="00B00687">
      <w:rPr>
        <w:sz w:val="20"/>
        <w:szCs w:val="20"/>
      </w:rPr>
      <w:t>(c) I</w:t>
    </w:r>
    <w:r w:rsidRPr="00B00687">
      <w:rPr>
        <w:sz w:val="16"/>
        <w:szCs w:val="16"/>
      </w:rPr>
      <w:t>NTERNATIONAL</w:t>
    </w:r>
    <w:r w:rsidRPr="00B00687">
      <w:rPr>
        <w:sz w:val="20"/>
        <w:szCs w:val="20"/>
      </w:rPr>
      <w:t xml:space="preserve"> M</w:t>
    </w:r>
    <w:r w:rsidRPr="00B00687">
      <w:rPr>
        <w:sz w:val="16"/>
        <w:szCs w:val="16"/>
      </w:rPr>
      <w:t>ICROWAVE</w:t>
    </w:r>
    <w:r w:rsidRPr="00B00687">
      <w:rPr>
        <w:sz w:val="20"/>
        <w:szCs w:val="20"/>
      </w:rPr>
      <w:t xml:space="preserve"> P</w:t>
    </w:r>
    <w:r w:rsidRPr="00B00687">
      <w:rPr>
        <w:sz w:val="16"/>
        <w:szCs w:val="16"/>
      </w:rPr>
      <w:t>OWER</w:t>
    </w:r>
    <w:r w:rsidRPr="00B00687">
      <w:rPr>
        <w:sz w:val="20"/>
        <w:szCs w:val="20"/>
      </w:rPr>
      <w:t xml:space="preserve"> I</w:t>
    </w:r>
    <w:r w:rsidRPr="00B00687">
      <w:rPr>
        <w:sz w:val="16"/>
        <w:szCs w:val="16"/>
      </w:rPr>
      <w:t>NSTITUTE</w:t>
    </w:r>
    <w:r w:rsidRPr="00B00687">
      <w:rPr>
        <w:sz w:val="20"/>
        <w:szCs w:val="20"/>
      </w:rPr>
      <w:t>, 20</w:t>
    </w:r>
    <w:r w:rsidR="00526620">
      <w:rPr>
        <w:sz w:val="20"/>
        <w:szCs w:val="20"/>
      </w:rPr>
      <w:t>2</w:t>
    </w:r>
    <w:r w:rsidR="00B147CC">
      <w:rPr>
        <w:sz w:val="20"/>
        <w:szCs w:val="20"/>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FBC52" w14:textId="77777777" w:rsidR="00B147CC" w:rsidRDefault="00B14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EAE7A" w14:textId="77777777" w:rsidR="00A4724A" w:rsidRDefault="00A4724A">
      <w:r>
        <w:separator/>
      </w:r>
    </w:p>
  </w:footnote>
  <w:footnote w:type="continuationSeparator" w:id="0">
    <w:p w14:paraId="7FC7C213" w14:textId="77777777" w:rsidR="00A4724A" w:rsidRDefault="00A472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8F9F4" w14:textId="77777777" w:rsidR="00B147CC" w:rsidRDefault="00B147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F82A" w14:textId="2F4A47EF" w:rsidR="000C1C64" w:rsidRPr="000A2AFF" w:rsidRDefault="000C1C64" w:rsidP="002513CE">
    <w:pPr>
      <w:pStyle w:val="Header"/>
      <w:tabs>
        <w:tab w:val="clear" w:pos="8640"/>
        <w:tab w:val="right" w:pos="7920"/>
      </w:tabs>
      <w:rPr>
        <w:i/>
        <w:sz w:val="16"/>
        <w:szCs w:val="16"/>
        <w:lang w:val="en-US"/>
      </w:rPr>
    </w:pPr>
    <w:r w:rsidRPr="00B55276">
      <w:rPr>
        <w:sz w:val="16"/>
        <w:szCs w:val="16"/>
        <w:lang w:val="en-US"/>
      </w:rPr>
      <w:t>IMPI’</w:t>
    </w:r>
    <w:r w:rsidR="00D51A3E">
      <w:rPr>
        <w:sz w:val="16"/>
        <w:szCs w:val="16"/>
        <w:lang w:val="en-US"/>
      </w:rPr>
      <w:t xml:space="preserve">s </w:t>
    </w:r>
    <w:r w:rsidR="00526620">
      <w:rPr>
        <w:sz w:val="16"/>
        <w:szCs w:val="16"/>
        <w:lang w:val="en-US"/>
      </w:rPr>
      <w:t>5</w:t>
    </w:r>
    <w:r w:rsidR="00B147CC">
      <w:rPr>
        <w:sz w:val="16"/>
        <w:szCs w:val="16"/>
        <w:lang w:val="en-US"/>
      </w:rPr>
      <w:t>9</w:t>
    </w:r>
    <w:r w:rsidR="00ED226F" w:rsidRPr="00ED226F">
      <w:rPr>
        <w:sz w:val="16"/>
        <w:szCs w:val="16"/>
        <w:vertAlign w:val="superscript"/>
        <w:lang w:val="en-US"/>
      </w:rPr>
      <w:t>th</w:t>
    </w:r>
    <w:r w:rsidR="00ED226F">
      <w:rPr>
        <w:sz w:val="16"/>
        <w:szCs w:val="16"/>
        <w:lang w:val="en-US"/>
      </w:rPr>
      <w:t xml:space="preserve"> </w:t>
    </w:r>
    <w:r w:rsidR="00C90E10">
      <w:rPr>
        <w:sz w:val="16"/>
        <w:szCs w:val="16"/>
        <w:lang w:val="en-US"/>
      </w:rPr>
      <w:t xml:space="preserve">ANNUAL </w:t>
    </w:r>
    <w:r w:rsidRPr="00B55276">
      <w:rPr>
        <w:sz w:val="16"/>
        <w:szCs w:val="16"/>
        <w:lang w:val="en-US"/>
      </w:rPr>
      <w:t>MICROWAVE POWER SYMPOSIUM</w:t>
    </w:r>
    <w:r>
      <w:rPr>
        <w:sz w:val="16"/>
        <w:szCs w:val="16"/>
        <w:lang w:val="en-US"/>
      </w:rPr>
      <w:tab/>
    </w:r>
    <w:r>
      <w:rPr>
        <w:sz w:val="16"/>
        <w:szCs w:val="16"/>
        <w:lang w:val="en-US"/>
      </w:rPr>
      <w:tab/>
    </w:r>
    <w:r w:rsidR="00B147CC">
      <w:rPr>
        <w:sz w:val="16"/>
        <w:szCs w:val="16"/>
        <w:lang w:val="en-US"/>
      </w:rPr>
      <w:t>Edmonton</w:t>
    </w:r>
    <w:r w:rsidR="00764581">
      <w:rPr>
        <w:sz w:val="16"/>
        <w:szCs w:val="16"/>
        <w:lang w:val="en-US"/>
      </w:rPr>
      <w:t>,</w:t>
    </w:r>
    <w:r w:rsidR="002D148C">
      <w:rPr>
        <w:sz w:val="16"/>
        <w:szCs w:val="16"/>
        <w:lang w:val="en-US"/>
      </w:rPr>
      <w:t xml:space="preserve"> </w:t>
    </w:r>
    <w:r w:rsidR="00B147CC">
      <w:rPr>
        <w:sz w:val="16"/>
        <w:szCs w:val="16"/>
        <w:lang w:val="en-US"/>
      </w:rPr>
      <w:t>Alberta, Canada</w:t>
    </w:r>
    <w:r w:rsidR="00754381">
      <w:rPr>
        <w:sz w:val="16"/>
        <w:szCs w:val="16"/>
        <w:lang w:val="en-US"/>
      </w:rPr>
      <w:t xml:space="preserve"> </w:t>
    </w:r>
    <w:r w:rsidR="00B147CC">
      <w:rPr>
        <w:sz w:val="16"/>
        <w:szCs w:val="16"/>
        <w:lang w:val="en-US"/>
      </w:rPr>
      <w:t>–</w:t>
    </w:r>
    <w:r w:rsidR="00754381">
      <w:rPr>
        <w:sz w:val="16"/>
        <w:szCs w:val="16"/>
        <w:lang w:val="en-US"/>
      </w:rPr>
      <w:t xml:space="preserve"> </w:t>
    </w:r>
    <w:r w:rsidR="00B147CC">
      <w:rPr>
        <w:sz w:val="16"/>
        <w:szCs w:val="16"/>
        <w:lang w:val="en-US"/>
      </w:rPr>
      <w:t>June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A108C" w14:textId="77777777" w:rsidR="00B147CC" w:rsidRDefault="00B147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7324A9"/>
    <w:multiLevelType w:val="hybridMultilevel"/>
    <w:tmpl w:val="19147232"/>
    <w:lvl w:ilvl="0" w:tplc="3C560DBA">
      <w:start w:val="1"/>
      <w:numFmt w:val="lowerLetter"/>
      <w:lvlText w:val="(%1)"/>
      <w:lvlJc w:val="left"/>
      <w:pPr>
        <w:ind w:left="3150" w:hanging="360"/>
      </w:pPr>
      <w:rPr>
        <w:rFonts w:hint="default"/>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1" w15:restartNumberingAfterBreak="0">
    <w:nsid w:val="5B8371D4"/>
    <w:multiLevelType w:val="hybridMultilevel"/>
    <w:tmpl w:val="E89EB394"/>
    <w:lvl w:ilvl="0" w:tplc="404642E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DC3293B"/>
    <w:multiLevelType w:val="singleLevel"/>
    <w:tmpl w:val="01F460C0"/>
    <w:lvl w:ilvl="0">
      <w:start w:val="1"/>
      <w:numFmt w:val="decimal"/>
      <w:pStyle w:val="ref"/>
      <w:lvlText w:val="[%1]"/>
      <w:lvlJc w:val="left"/>
      <w:pPr>
        <w:tabs>
          <w:tab w:val="num" w:pos="360"/>
        </w:tabs>
        <w:ind w:left="360" w:hanging="360"/>
      </w:pPr>
    </w:lvl>
  </w:abstractNum>
  <w:num w:numId="1" w16cid:durableId="95178522">
    <w:abstractNumId w:val="1"/>
  </w:num>
  <w:num w:numId="2" w16cid:durableId="1315640304">
    <w:abstractNumId w:val="2"/>
  </w:num>
  <w:num w:numId="3" w16cid:durableId="113017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A78"/>
    <w:rsid w:val="000151C9"/>
    <w:rsid w:val="000363B6"/>
    <w:rsid w:val="000541C5"/>
    <w:rsid w:val="00067BAE"/>
    <w:rsid w:val="0007184D"/>
    <w:rsid w:val="00084761"/>
    <w:rsid w:val="00087569"/>
    <w:rsid w:val="000957BE"/>
    <w:rsid w:val="000A2775"/>
    <w:rsid w:val="000A2AFF"/>
    <w:rsid w:val="000B1908"/>
    <w:rsid w:val="000C1C64"/>
    <w:rsid w:val="000E35A4"/>
    <w:rsid w:val="000E3D7F"/>
    <w:rsid w:val="000E5EB2"/>
    <w:rsid w:val="00106CCF"/>
    <w:rsid w:val="00121BEC"/>
    <w:rsid w:val="00136818"/>
    <w:rsid w:val="0017595D"/>
    <w:rsid w:val="00185981"/>
    <w:rsid w:val="001A1A8A"/>
    <w:rsid w:val="001B6323"/>
    <w:rsid w:val="001E3C06"/>
    <w:rsid w:val="002105B2"/>
    <w:rsid w:val="00225744"/>
    <w:rsid w:val="00230EED"/>
    <w:rsid w:val="002345E7"/>
    <w:rsid w:val="002513CE"/>
    <w:rsid w:val="00253422"/>
    <w:rsid w:val="002641B7"/>
    <w:rsid w:val="00272681"/>
    <w:rsid w:val="00274B8A"/>
    <w:rsid w:val="002752BD"/>
    <w:rsid w:val="00287880"/>
    <w:rsid w:val="0029205B"/>
    <w:rsid w:val="002A3CB8"/>
    <w:rsid w:val="002A68DC"/>
    <w:rsid w:val="002B41C4"/>
    <w:rsid w:val="002C0988"/>
    <w:rsid w:val="002D148C"/>
    <w:rsid w:val="002D4055"/>
    <w:rsid w:val="002D61F4"/>
    <w:rsid w:val="002E19C4"/>
    <w:rsid w:val="002E6632"/>
    <w:rsid w:val="002F3333"/>
    <w:rsid w:val="00310BFE"/>
    <w:rsid w:val="003450F0"/>
    <w:rsid w:val="00347B2C"/>
    <w:rsid w:val="00370665"/>
    <w:rsid w:val="003761AF"/>
    <w:rsid w:val="003765EE"/>
    <w:rsid w:val="00377D86"/>
    <w:rsid w:val="003862D6"/>
    <w:rsid w:val="00396765"/>
    <w:rsid w:val="003C6242"/>
    <w:rsid w:val="003E1497"/>
    <w:rsid w:val="003E3778"/>
    <w:rsid w:val="003F0AFB"/>
    <w:rsid w:val="00402399"/>
    <w:rsid w:val="00402A0F"/>
    <w:rsid w:val="004037CF"/>
    <w:rsid w:val="004257CE"/>
    <w:rsid w:val="0043583C"/>
    <w:rsid w:val="00435BD8"/>
    <w:rsid w:val="00435C89"/>
    <w:rsid w:val="00441DA6"/>
    <w:rsid w:val="00454CCC"/>
    <w:rsid w:val="004929C5"/>
    <w:rsid w:val="004D1293"/>
    <w:rsid w:val="004E2911"/>
    <w:rsid w:val="004F218E"/>
    <w:rsid w:val="004F5ACC"/>
    <w:rsid w:val="00503921"/>
    <w:rsid w:val="00513518"/>
    <w:rsid w:val="0052212A"/>
    <w:rsid w:val="00526620"/>
    <w:rsid w:val="00534263"/>
    <w:rsid w:val="00551959"/>
    <w:rsid w:val="00557903"/>
    <w:rsid w:val="00560560"/>
    <w:rsid w:val="00562311"/>
    <w:rsid w:val="00571EE1"/>
    <w:rsid w:val="005F5220"/>
    <w:rsid w:val="005F65FA"/>
    <w:rsid w:val="00605DA2"/>
    <w:rsid w:val="00624757"/>
    <w:rsid w:val="00634D1F"/>
    <w:rsid w:val="006374F9"/>
    <w:rsid w:val="006637C1"/>
    <w:rsid w:val="0066613B"/>
    <w:rsid w:val="00672C9E"/>
    <w:rsid w:val="006809E3"/>
    <w:rsid w:val="00682417"/>
    <w:rsid w:val="006872A2"/>
    <w:rsid w:val="006912B7"/>
    <w:rsid w:val="00695B79"/>
    <w:rsid w:val="006A0A02"/>
    <w:rsid w:val="006C2615"/>
    <w:rsid w:val="006D2704"/>
    <w:rsid w:val="006D50D1"/>
    <w:rsid w:val="006E277A"/>
    <w:rsid w:val="006F1E77"/>
    <w:rsid w:val="006F6BA3"/>
    <w:rsid w:val="007317BE"/>
    <w:rsid w:val="00741513"/>
    <w:rsid w:val="007515BF"/>
    <w:rsid w:val="00754381"/>
    <w:rsid w:val="00764581"/>
    <w:rsid w:val="007748AC"/>
    <w:rsid w:val="00794B1B"/>
    <w:rsid w:val="007B2DC2"/>
    <w:rsid w:val="007E5B7A"/>
    <w:rsid w:val="007F10C8"/>
    <w:rsid w:val="008021A2"/>
    <w:rsid w:val="008275E5"/>
    <w:rsid w:val="00852786"/>
    <w:rsid w:val="00860C6A"/>
    <w:rsid w:val="00867C6F"/>
    <w:rsid w:val="008703A5"/>
    <w:rsid w:val="008735DD"/>
    <w:rsid w:val="00892EF9"/>
    <w:rsid w:val="008A799B"/>
    <w:rsid w:val="008E4686"/>
    <w:rsid w:val="008E4FC6"/>
    <w:rsid w:val="008F122D"/>
    <w:rsid w:val="008F149E"/>
    <w:rsid w:val="0090127D"/>
    <w:rsid w:val="00910268"/>
    <w:rsid w:val="0091633C"/>
    <w:rsid w:val="00924DF3"/>
    <w:rsid w:val="00933314"/>
    <w:rsid w:val="00935962"/>
    <w:rsid w:val="009369A5"/>
    <w:rsid w:val="009403E1"/>
    <w:rsid w:val="00954F34"/>
    <w:rsid w:val="00977B2B"/>
    <w:rsid w:val="009A570F"/>
    <w:rsid w:val="009F2295"/>
    <w:rsid w:val="009F7BD9"/>
    <w:rsid w:val="00A16759"/>
    <w:rsid w:val="00A32E15"/>
    <w:rsid w:val="00A4724A"/>
    <w:rsid w:val="00A640AB"/>
    <w:rsid w:val="00A67692"/>
    <w:rsid w:val="00A82473"/>
    <w:rsid w:val="00A900BE"/>
    <w:rsid w:val="00A90366"/>
    <w:rsid w:val="00AD2D28"/>
    <w:rsid w:val="00AF0D5E"/>
    <w:rsid w:val="00AF228C"/>
    <w:rsid w:val="00AF7422"/>
    <w:rsid w:val="00B00687"/>
    <w:rsid w:val="00B11A78"/>
    <w:rsid w:val="00B147CC"/>
    <w:rsid w:val="00B17947"/>
    <w:rsid w:val="00B3506B"/>
    <w:rsid w:val="00B55276"/>
    <w:rsid w:val="00B567D1"/>
    <w:rsid w:val="00B6283C"/>
    <w:rsid w:val="00B713C1"/>
    <w:rsid w:val="00B735DB"/>
    <w:rsid w:val="00B778E3"/>
    <w:rsid w:val="00B85323"/>
    <w:rsid w:val="00B9087E"/>
    <w:rsid w:val="00B93492"/>
    <w:rsid w:val="00B95F36"/>
    <w:rsid w:val="00B96C83"/>
    <w:rsid w:val="00BA0AA0"/>
    <w:rsid w:val="00BA6FDD"/>
    <w:rsid w:val="00BB1A73"/>
    <w:rsid w:val="00BB7542"/>
    <w:rsid w:val="00BC32F3"/>
    <w:rsid w:val="00BC41A2"/>
    <w:rsid w:val="00BF2BE1"/>
    <w:rsid w:val="00C11FC7"/>
    <w:rsid w:val="00C14C1A"/>
    <w:rsid w:val="00C22DD3"/>
    <w:rsid w:val="00C301E3"/>
    <w:rsid w:val="00C64EDA"/>
    <w:rsid w:val="00C734E7"/>
    <w:rsid w:val="00C76403"/>
    <w:rsid w:val="00C76E5E"/>
    <w:rsid w:val="00C7797E"/>
    <w:rsid w:val="00C77AFC"/>
    <w:rsid w:val="00C90E10"/>
    <w:rsid w:val="00C97C51"/>
    <w:rsid w:val="00CB4A0D"/>
    <w:rsid w:val="00CD2E60"/>
    <w:rsid w:val="00CE2558"/>
    <w:rsid w:val="00CF3B07"/>
    <w:rsid w:val="00CF50AC"/>
    <w:rsid w:val="00CF6BD0"/>
    <w:rsid w:val="00D00493"/>
    <w:rsid w:val="00D0760E"/>
    <w:rsid w:val="00D161F0"/>
    <w:rsid w:val="00D34881"/>
    <w:rsid w:val="00D508A0"/>
    <w:rsid w:val="00D51A3E"/>
    <w:rsid w:val="00D74D3B"/>
    <w:rsid w:val="00D80A84"/>
    <w:rsid w:val="00DA7D14"/>
    <w:rsid w:val="00DC3B00"/>
    <w:rsid w:val="00DD1BB4"/>
    <w:rsid w:val="00DF0467"/>
    <w:rsid w:val="00DF59A9"/>
    <w:rsid w:val="00E04810"/>
    <w:rsid w:val="00E061BD"/>
    <w:rsid w:val="00E26F8D"/>
    <w:rsid w:val="00E5690B"/>
    <w:rsid w:val="00E56A40"/>
    <w:rsid w:val="00E74053"/>
    <w:rsid w:val="00E74D16"/>
    <w:rsid w:val="00E82983"/>
    <w:rsid w:val="00E90F82"/>
    <w:rsid w:val="00EA5CD3"/>
    <w:rsid w:val="00EB6444"/>
    <w:rsid w:val="00EC0D1F"/>
    <w:rsid w:val="00EC1774"/>
    <w:rsid w:val="00ED226F"/>
    <w:rsid w:val="00EE13EF"/>
    <w:rsid w:val="00EE5D54"/>
    <w:rsid w:val="00EE7951"/>
    <w:rsid w:val="00F0594B"/>
    <w:rsid w:val="00F31711"/>
    <w:rsid w:val="00F55D26"/>
    <w:rsid w:val="00F5723B"/>
    <w:rsid w:val="00F70DE0"/>
    <w:rsid w:val="00F71DD2"/>
    <w:rsid w:val="00FA260D"/>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45D7E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rsid w:val="003862D6"/>
    <w:rPr>
      <w:sz w:val="24"/>
      <w:szCs w:val="24"/>
      <w:lang w:val="pl-PL" w:eastAsia="pl-PL" w:bidi="ar-SA"/>
    </w:rPr>
  </w:style>
  <w:style w:type="paragraph" w:styleId="Heading1">
    <w:name w:val="heading 1"/>
    <w:basedOn w:val="Normal"/>
    <w:next w:val="Normal"/>
    <w:link w:val="Heading1Char"/>
    <w:rsid w:val="00AF7422"/>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rsid w:val="00121BEC"/>
    <w:pPr>
      <w:widowControl w:val="0"/>
      <w:autoSpaceDE w:val="0"/>
      <w:autoSpaceDN w:val="0"/>
      <w:spacing w:line="252" w:lineRule="auto"/>
      <w:ind w:firstLine="202"/>
      <w:jc w:val="both"/>
    </w:pPr>
    <w:rPr>
      <w:sz w:val="20"/>
      <w:szCs w:val="20"/>
      <w:lang w:val="en-US" w:eastAsia="en-US"/>
    </w:rPr>
  </w:style>
  <w:style w:type="character" w:styleId="Hyperlink">
    <w:name w:val="Hyperlink"/>
    <w:rsid w:val="002E6632"/>
    <w:rPr>
      <w:color w:val="0000FF"/>
      <w:u w:val="single"/>
    </w:rPr>
  </w:style>
  <w:style w:type="paragraph" w:styleId="Footer">
    <w:name w:val="footer"/>
    <w:basedOn w:val="Normal"/>
    <w:rsid w:val="007515BF"/>
    <w:pPr>
      <w:tabs>
        <w:tab w:val="center" w:pos="4320"/>
        <w:tab w:val="right" w:pos="8640"/>
      </w:tabs>
    </w:pPr>
  </w:style>
  <w:style w:type="character" w:styleId="PageNumber">
    <w:name w:val="page number"/>
    <w:basedOn w:val="DefaultParagraphFont"/>
    <w:rsid w:val="007515BF"/>
  </w:style>
  <w:style w:type="paragraph" w:styleId="BalloonText">
    <w:name w:val="Balloon Text"/>
    <w:basedOn w:val="Normal"/>
    <w:semiHidden/>
    <w:rsid w:val="00EC0D1F"/>
    <w:rPr>
      <w:rFonts w:ascii="Tahoma" w:hAnsi="Tahoma" w:cs="Tahoma"/>
      <w:sz w:val="16"/>
      <w:szCs w:val="16"/>
    </w:rPr>
  </w:style>
  <w:style w:type="paragraph" w:styleId="Header">
    <w:name w:val="header"/>
    <w:basedOn w:val="Normal"/>
    <w:rsid w:val="006872A2"/>
    <w:pPr>
      <w:tabs>
        <w:tab w:val="center" w:pos="4320"/>
        <w:tab w:val="right" w:pos="8640"/>
      </w:tabs>
    </w:pPr>
  </w:style>
  <w:style w:type="character" w:customStyle="1" w:styleId="FigurenumberCharChar">
    <w:name w:val="Figure number Char Char"/>
    <w:rsid w:val="00E74D16"/>
    <w:rPr>
      <w:b/>
      <w:bCs/>
      <w:sz w:val="18"/>
      <w:lang w:val="en-US" w:eastAsia="ar-SA" w:bidi="ar-SA"/>
    </w:rPr>
  </w:style>
  <w:style w:type="character" w:customStyle="1" w:styleId="FigurecaptionChar">
    <w:name w:val="Figure caption Char"/>
    <w:rsid w:val="00E74D16"/>
    <w:rPr>
      <w:sz w:val="18"/>
      <w:lang w:val="en-US" w:eastAsia="ar-SA" w:bidi="ar-SA"/>
    </w:rPr>
  </w:style>
  <w:style w:type="paragraph" w:customStyle="1" w:styleId="Zeichnung">
    <w:name w:val="Zeichnung"/>
    <w:basedOn w:val="Normal"/>
    <w:rsid w:val="00E74D16"/>
    <w:pPr>
      <w:suppressLineNumbers/>
      <w:suppressAutoHyphens/>
      <w:spacing w:before="120" w:after="120"/>
    </w:pPr>
    <w:rPr>
      <w:i/>
      <w:iCs/>
      <w:lang w:val="en-US" w:eastAsia="ar-SA"/>
    </w:rPr>
  </w:style>
  <w:style w:type="paragraph" w:customStyle="1" w:styleId="BodyText1">
    <w:name w:val="Body Text1"/>
    <w:basedOn w:val="Normal"/>
    <w:rsid w:val="00E74D16"/>
    <w:pPr>
      <w:suppressAutoHyphens/>
      <w:jc w:val="both"/>
    </w:pPr>
    <w:rPr>
      <w:sz w:val="20"/>
      <w:szCs w:val="20"/>
      <w:lang w:val="en-US" w:eastAsia="ar-SA"/>
    </w:rPr>
  </w:style>
  <w:style w:type="paragraph" w:customStyle="1" w:styleId="Default">
    <w:name w:val="Default"/>
    <w:rsid w:val="00B00687"/>
    <w:pPr>
      <w:autoSpaceDE w:val="0"/>
      <w:autoSpaceDN w:val="0"/>
      <w:adjustRightInd w:val="0"/>
    </w:pPr>
    <w:rPr>
      <w:color w:val="000000"/>
      <w:sz w:val="24"/>
      <w:szCs w:val="24"/>
      <w:lang w:bidi="ar-SA"/>
    </w:rPr>
  </w:style>
  <w:style w:type="paragraph" w:styleId="ListParagraph">
    <w:name w:val="List Paragraph"/>
    <w:basedOn w:val="Normal"/>
    <w:uiPriority w:val="34"/>
    <w:rsid w:val="00695B79"/>
    <w:pPr>
      <w:ind w:left="720"/>
      <w:contextualSpacing/>
    </w:pPr>
  </w:style>
  <w:style w:type="paragraph" w:styleId="Title">
    <w:name w:val="Title"/>
    <w:basedOn w:val="Normal"/>
    <w:next w:val="Normal"/>
    <w:link w:val="TitleChar"/>
    <w:qFormat/>
    <w:rsid w:val="00B567D1"/>
    <w:pPr>
      <w:spacing w:before="240" w:after="60"/>
      <w:jc w:val="center"/>
      <w:outlineLvl w:val="0"/>
    </w:pPr>
    <w:rPr>
      <w:b/>
      <w:bCs/>
      <w:kern w:val="28"/>
      <w:sz w:val="48"/>
      <w:szCs w:val="32"/>
      <w:lang w:val="en-US"/>
    </w:rPr>
  </w:style>
  <w:style w:type="character" w:customStyle="1" w:styleId="TitleChar">
    <w:name w:val="Title Char"/>
    <w:link w:val="Title"/>
    <w:rsid w:val="00B567D1"/>
    <w:rPr>
      <w:rFonts w:eastAsia="Times New Roman" w:cs="Times New Roman"/>
      <w:b/>
      <w:bCs/>
      <w:kern w:val="28"/>
      <w:sz w:val="48"/>
      <w:szCs w:val="32"/>
      <w:lang w:eastAsia="pl-PL" w:bidi="ar-SA"/>
    </w:rPr>
  </w:style>
  <w:style w:type="paragraph" w:customStyle="1" w:styleId="Author">
    <w:name w:val="Author"/>
    <w:basedOn w:val="Normal"/>
    <w:autoRedefine/>
    <w:qFormat/>
    <w:rsid w:val="00B567D1"/>
    <w:pPr>
      <w:spacing w:before="240" w:after="240"/>
      <w:jc w:val="center"/>
    </w:pPr>
    <w:rPr>
      <w:b/>
    </w:rPr>
  </w:style>
  <w:style w:type="paragraph" w:customStyle="1" w:styleId="Affiliation">
    <w:name w:val="Affiliation"/>
    <w:basedOn w:val="Normal"/>
    <w:qFormat/>
    <w:rsid w:val="00B567D1"/>
    <w:pPr>
      <w:jc w:val="center"/>
    </w:pPr>
    <w:rPr>
      <w:sz w:val="22"/>
      <w:szCs w:val="22"/>
      <w:lang w:val="en-US"/>
    </w:rPr>
  </w:style>
  <w:style w:type="paragraph" w:customStyle="1" w:styleId="SectionTitle">
    <w:name w:val="Section Title"/>
    <w:basedOn w:val="Normal"/>
    <w:autoRedefine/>
    <w:qFormat/>
    <w:rsid w:val="004257CE"/>
    <w:pPr>
      <w:keepNext/>
      <w:keepLines/>
      <w:spacing w:before="240" w:after="120"/>
    </w:pPr>
    <w:rPr>
      <w:b/>
      <w:caps/>
      <w:sz w:val="22"/>
      <w:szCs w:val="22"/>
      <w:lang w:val="en-US"/>
    </w:rPr>
  </w:style>
  <w:style w:type="paragraph" w:customStyle="1" w:styleId="text0">
    <w:name w:val="text"/>
    <w:basedOn w:val="Normal"/>
    <w:autoRedefine/>
    <w:qFormat/>
    <w:rsid w:val="00F70DE0"/>
    <w:pPr>
      <w:jc w:val="both"/>
    </w:pPr>
    <w:rPr>
      <w:sz w:val="22"/>
      <w:szCs w:val="22"/>
      <w:lang w:val="en-US"/>
    </w:rPr>
  </w:style>
  <w:style w:type="character" w:styleId="Emphasis">
    <w:name w:val="Emphasis"/>
    <w:rsid w:val="00AF7422"/>
    <w:rPr>
      <w:i/>
      <w:iCs/>
    </w:rPr>
  </w:style>
  <w:style w:type="character" w:customStyle="1" w:styleId="Heading1Char">
    <w:name w:val="Heading 1 Char"/>
    <w:link w:val="Heading1"/>
    <w:rsid w:val="00AF7422"/>
    <w:rPr>
      <w:rFonts w:ascii="Cambria" w:eastAsia="Times New Roman" w:hAnsi="Cambria" w:cs="Times New Roman"/>
      <w:b/>
      <w:bCs/>
      <w:kern w:val="32"/>
      <w:sz w:val="32"/>
      <w:szCs w:val="32"/>
      <w:lang w:val="pl-PL" w:eastAsia="pl-PL" w:bidi="ar-SA"/>
    </w:rPr>
  </w:style>
  <w:style w:type="paragraph" w:styleId="NoSpacing">
    <w:name w:val="No Spacing"/>
    <w:uiPriority w:val="1"/>
    <w:rsid w:val="003862D6"/>
    <w:rPr>
      <w:sz w:val="24"/>
      <w:szCs w:val="24"/>
      <w:lang w:val="pl-PL" w:eastAsia="pl-PL" w:bidi="ar-SA"/>
    </w:rPr>
  </w:style>
  <w:style w:type="paragraph" w:styleId="Quote">
    <w:name w:val="Quote"/>
    <w:basedOn w:val="Normal"/>
    <w:next w:val="Normal"/>
    <w:link w:val="QuoteChar"/>
    <w:uiPriority w:val="29"/>
    <w:rsid w:val="003862D6"/>
    <w:rPr>
      <w:i/>
      <w:iCs/>
      <w:color w:val="000000"/>
    </w:rPr>
  </w:style>
  <w:style w:type="character" w:customStyle="1" w:styleId="QuoteChar">
    <w:name w:val="Quote Char"/>
    <w:link w:val="Quote"/>
    <w:uiPriority w:val="29"/>
    <w:rsid w:val="003862D6"/>
    <w:rPr>
      <w:i/>
      <w:iCs/>
      <w:color w:val="000000"/>
      <w:sz w:val="24"/>
      <w:szCs w:val="24"/>
      <w:lang w:val="pl-PL" w:eastAsia="pl-PL" w:bidi="ar-SA"/>
    </w:rPr>
  </w:style>
  <w:style w:type="paragraph" w:customStyle="1" w:styleId="captions">
    <w:name w:val="captions"/>
    <w:basedOn w:val="Default"/>
    <w:qFormat/>
    <w:rsid w:val="00794B1B"/>
    <w:pPr>
      <w:jc w:val="center"/>
    </w:pPr>
    <w:rPr>
      <w:sz w:val="20"/>
      <w:szCs w:val="20"/>
    </w:rPr>
  </w:style>
  <w:style w:type="paragraph" w:customStyle="1" w:styleId="ref">
    <w:name w:val="ref"/>
    <w:basedOn w:val="Normal"/>
    <w:autoRedefine/>
    <w:qFormat/>
    <w:rsid w:val="002513CE"/>
    <w:pPr>
      <w:numPr>
        <w:numId w:val="2"/>
      </w:numPr>
      <w:autoSpaceDE w:val="0"/>
      <w:autoSpaceDN w:val="0"/>
      <w:jc w:val="both"/>
    </w:pPr>
    <w:rPr>
      <w:sz w:val="20"/>
      <w:szCs w:val="20"/>
      <w:lang w:val="en-GB"/>
    </w:rPr>
  </w:style>
  <w:style w:type="paragraph" w:styleId="Revision">
    <w:name w:val="Revision"/>
    <w:hidden/>
    <w:uiPriority w:val="99"/>
    <w:semiHidden/>
    <w:rsid w:val="00BA6FDD"/>
    <w:rPr>
      <w:sz w:val="24"/>
      <w:szCs w:val="24"/>
      <w:lang w:val="pl-PL" w:eastAsia="pl-PL" w:bidi="ar-SA"/>
    </w:rPr>
  </w:style>
  <w:style w:type="character" w:styleId="CommentReference">
    <w:name w:val="annotation reference"/>
    <w:basedOn w:val="DefaultParagraphFont"/>
    <w:semiHidden/>
    <w:unhideWhenUsed/>
    <w:rsid w:val="00CF3B07"/>
    <w:rPr>
      <w:sz w:val="16"/>
      <w:szCs w:val="16"/>
    </w:rPr>
  </w:style>
  <w:style w:type="paragraph" w:styleId="CommentText">
    <w:name w:val="annotation text"/>
    <w:basedOn w:val="Normal"/>
    <w:link w:val="CommentTextChar"/>
    <w:unhideWhenUsed/>
    <w:rsid w:val="00CF3B07"/>
    <w:rPr>
      <w:sz w:val="20"/>
      <w:szCs w:val="20"/>
    </w:rPr>
  </w:style>
  <w:style w:type="character" w:customStyle="1" w:styleId="CommentTextChar">
    <w:name w:val="Comment Text Char"/>
    <w:basedOn w:val="DefaultParagraphFont"/>
    <w:link w:val="CommentText"/>
    <w:rsid w:val="00CF3B07"/>
    <w:rPr>
      <w:lang w:val="pl-PL" w:eastAsia="pl-PL" w:bidi="ar-SA"/>
    </w:rPr>
  </w:style>
  <w:style w:type="paragraph" w:styleId="CommentSubject">
    <w:name w:val="annotation subject"/>
    <w:basedOn w:val="CommentText"/>
    <w:next w:val="CommentText"/>
    <w:link w:val="CommentSubjectChar"/>
    <w:semiHidden/>
    <w:unhideWhenUsed/>
    <w:rsid w:val="00CF3B07"/>
    <w:rPr>
      <w:b/>
      <w:bCs/>
    </w:rPr>
  </w:style>
  <w:style w:type="character" w:customStyle="1" w:styleId="CommentSubjectChar">
    <w:name w:val="Comment Subject Char"/>
    <w:basedOn w:val="CommentTextChar"/>
    <w:link w:val="CommentSubject"/>
    <w:semiHidden/>
    <w:rsid w:val="00CF3B07"/>
    <w:rPr>
      <w:b/>
      <w:bCs/>
      <w:lang w:val="pl-PL" w:eastAsia="pl-PL"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C706D0-0600-0443-956D-6EA8BE25E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IMPI 47 Word Template</vt:lpstr>
    </vt:vector>
  </TitlesOfParts>
  <Company>Worcester Polytechnic Institute</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IMPI 47 Word Template</dc:title>
  <dc:creator>Microsoft Office User</dc:creator>
  <cp:lastModifiedBy>makhsry@student.ubc.ca</cp:lastModifiedBy>
  <cp:revision>10</cp:revision>
  <cp:lastPrinted>2010-01-27T17:17:00Z</cp:lastPrinted>
  <dcterms:created xsi:type="dcterms:W3CDTF">2025-03-07T03:25:00Z</dcterms:created>
  <dcterms:modified xsi:type="dcterms:W3CDTF">2025-11-12T02:00:00Z</dcterms:modified>
</cp:coreProperties>
</file>