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B3EB" w14:textId="13806003" w:rsidR="00D174EF" w:rsidRDefault="0065250A">
      <w:pP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Dear </w:t>
      </w:r>
      <w:r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>Sylvie</w:t>
      </w:r>
    </w:p>
    <w:p w14:paraId="3EF008F7" w14:textId="791D13D6" w:rsidR="0065250A" w:rsidRDefault="0065250A">
      <w:pP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>Editor</w:t>
      </w:r>
    </w:p>
    <w:p w14:paraId="6B8EF725" w14:textId="2669E23B" w:rsidR="0065250A" w:rsidRDefault="0065250A">
      <w:pP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>ICHMT</w:t>
      </w:r>
    </w:p>
    <w:p w14:paraId="4718B492" w14:textId="19D4154A" w:rsidR="0065250A" w:rsidRDefault="0065250A">
      <w:pP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</w:p>
    <w:p w14:paraId="1B81EFAB" w14:textId="77777777" w:rsidR="00ED2A32" w:rsidRDefault="0065250A" w:rsidP="0065250A">
      <w:pP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We have gone through reviewer’s comments and addressed each. </w:t>
      </w:r>
    </w:p>
    <w:p w14:paraId="71553BF6" w14:textId="412B008E" w:rsidR="0065250A" w:rsidRDefault="00ED2A32" w:rsidP="0065250A">
      <w:pP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>O</w:t>
      </w:r>
      <w:r w:rsidR="0065250A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ur responses are </w:t>
      </w:r>
      <w:r w:rsidR="0065250A" w:rsidRPr="0065250A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>coloured in blue</w:t>
      </w:r>
      <w:r w:rsidR="0065250A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. </w:t>
      </w:r>
    </w:p>
    <w:p w14:paraId="7CCC1945" w14:textId="29C10ED8" w:rsidR="0065250A" w:rsidRDefault="0065250A" w:rsidP="0065250A">
      <w:pP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The changes in manuscript are </w:t>
      </w:r>
      <w:r w:rsidRPr="0065250A">
        <w:rPr>
          <w:rFonts w:ascii="Verdana" w:eastAsia="Times New Roman" w:hAnsi="Verdana" w:cs="Times New Roman"/>
          <w:color w:val="000033"/>
          <w:sz w:val="17"/>
          <w:szCs w:val="17"/>
          <w:highlight w:val="green"/>
          <w:lang w:eastAsia="en-IE"/>
        </w:rPr>
        <w:t>highlighted in green</w:t>
      </w:r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. </w:t>
      </w:r>
    </w:p>
    <w:p w14:paraId="09B98FE6" w14:textId="617A1495" w:rsidR="0065250A" w:rsidRDefault="0065250A" w:rsidP="0065250A">
      <w:pP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We are looking forward to </w:t>
      </w:r>
      <w:proofErr w:type="gramStart"/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>have</w:t>
      </w:r>
      <w:proofErr w:type="gramEnd"/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 your positive recommendation. </w:t>
      </w:r>
    </w:p>
    <w:p w14:paraId="2374890C" w14:textId="48BA60EF" w:rsidR="0065250A" w:rsidRDefault="0065250A" w:rsidP="0065250A">
      <w:pP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</w:p>
    <w:p w14:paraId="312586EB" w14:textId="1E344604" w:rsidR="0065250A" w:rsidRDefault="00A42CBC" w:rsidP="0065250A">
      <w:pP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Regards, </w:t>
      </w:r>
    </w:p>
    <w:p w14:paraId="726D5DF7" w14:textId="77777777" w:rsidR="00A42CBC" w:rsidRDefault="0065250A" w:rsidP="0065250A">
      <w:pP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>Milad</w:t>
      </w:r>
    </w:p>
    <w:p w14:paraId="7C1A0FFC" w14:textId="6588A0FA" w:rsidR="0065250A" w:rsidRDefault="00A42CBC" w:rsidP="0065250A">
      <w:pP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Milad Asgarpour Khansary, </w:t>
      </w:r>
    </w:p>
    <w:p w14:paraId="36366B6C" w14:textId="1C917825" w:rsidR="0065250A" w:rsidRPr="0065250A" w:rsidRDefault="0065250A" w:rsidP="0065250A">
      <w:pPr>
        <w:pBdr>
          <w:bottom w:val="single" w:sz="12" w:space="1" w:color="auto"/>
        </w:pBd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 w:rsidRPr="0065250A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>Confirm Smart Manufacturing, University of Limerick, Limerick, Ireland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7012"/>
      </w:tblGrid>
      <w:tr w:rsidR="00A20E04" w:rsidRPr="00A20E04" w14:paraId="10AE658C" w14:textId="77777777" w:rsidTr="00A20E0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4CE74505" w14:textId="77777777" w:rsidR="00A20E04" w:rsidRPr="00A20E04" w:rsidRDefault="00A20E04" w:rsidP="00A20E04">
            <w:pPr>
              <w:spacing w:after="0" w:line="240" w:lineRule="auto"/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</w:pPr>
            <w:r w:rsidRPr="00A20E04"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  <w:t>Date:</w:t>
            </w:r>
          </w:p>
        </w:tc>
        <w:tc>
          <w:tcPr>
            <w:tcW w:w="0" w:type="auto"/>
            <w:vAlign w:val="center"/>
            <w:hideMark/>
          </w:tcPr>
          <w:p w14:paraId="5F4FBA64" w14:textId="77777777" w:rsidR="00A20E04" w:rsidRPr="00A20E04" w:rsidRDefault="00A20E04" w:rsidP="00A20E04">
            <w:pPr>
              <w:spacing w:after="0" w:line="240" w:lineRule="auto"/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</w:pPr>
            <w:r w:rsidRPr="00A20E04"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  <w:t>May 24, 2020</w:t>
            </w:r>
          </w:p>
        </w:tc>
      </w:tr>
      <w:tr w:rsidR="00A20E04" w:rsidRPr="00A20E04" w14:paraId="56F8E558" w14:textId="77777777" w:rsidTr="00A20E0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0D7A6FD3" w14:textId="77777777" w:rsidR="00A20E04" w:rsidRPr="00A20E04" w:rsidRDefault="00A20E04" w:rsidP="00A20E04">
            <w:pPr>
              <w:spacing w:after="0" w:line="240" w:lineRule="auto"/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</w:pPr>
            <w:r w:rsidRPr="00A20E04"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  <w:t>To:</w:t>
            </w:r>
          </w:p>
        </w:tc>
        <w:tc>
          <w:tcPr>
            <w:tcW w:w="0" w:type="auto"/>
            <w:vAlign w:val="center"/>
            <w:hideMark/>
          </w:tcPr>
          <w:p w14:paraId="2D209B77" w14:textId="77777777" w:rsidR="00A20E04" w:rsidRPr="00A20E04" w:rsidRDefault="00A20E04" w:rsidP="00A20E04">
            <w:pPr>
              <w:spacing w:after="0" w:line="240" w:lineRule="auto"/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</w:pPr>
            <w:r w:rsidRPr="00A20E04"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  <w:t>"Milad Asgarpour Khansary" milad.asgarpour@ul.ie</w:t>
            </w:r>
          </w:p>
        </w:tc>
      </w:tr>
      <w:tr w:rsidR="00A20E04" w:rsidRPr="00A20E04" w14:paraId="0FFEDF0B" w14:textId="77777777" w:rsidTr="00A20E0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58334E4" w14:textId="77777777" w:rsidR="00A20E04" w:rsidRPr="00A20E04" w:rsidRDefault="00A20E04" w:rsidP="00A20E04">
            <w:pPr>
              <w:spacing w:after="0" w:line="240" w:lineRule="auto"/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</w:pPr>
            <w:r w:rsidRPr="00A20E04"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  <w:t>From:</w:t>
            </w:r>
          </w:p>
        </w:tc>
        <w:tc>
          <w:tcPr>
            <w:tcW w:w="0" w:type="auto"/>
            <w:vAlign w:val="center"/>
            <w:hideMark/>
          </w:tcPr>
          <w:p w14:paraId="3590D317" w14:textId="77777777" w:rsidR="00A20E04" w:rsidRPr="00A20E04" w:rsidRDefault="00A20E04" w:rsidP="00A20E04">
            <w:pPr>
              <w:spacing w:after="0" w:line="240" w:lineRule="auto"/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</w:pPr>
            <w:r w:rsidRPr="00A20E04"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  <w:t xml:space="preserve">"International Communications </w:t>
            </w:r>
            <w:proofErr w:type="gramStart"/>
            <w:r w:rsidRPr="00A20E04"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  <w:t>On</w:t>
            </w:r>
            <w:proofErr w:type="gramEnd"/>
            <w:r w:rsidRPr="00A20E04"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  <w:t xml:space="preserve"> Heat &amp; Mass Transfer" ichmtjm@elsevier.com</w:t>
            </w:r>
          </w:p>
        </w:tc>
      </w:tr>
      <w:tr w:rsidR="00A20E04" w:rsidRPr="00A20E04" w14:paraId="272CC509" w14:textId="77777777" w:rsidTr="00A20E0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FBF59A0" w14:textId="77777777" w:rsidR="00A20E04" w:rsidRPr="00A20E04" w:rsidRDefault="00A20E04" w:rsidP="00A20E04">
            <w:pPr>
              <w:spacing w:after="0" w:line="240" w:lineRule="auto"/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</w:pPr>
            <w:r w:rsidRPr="00A20E04"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  <w:t>Subject:</w:t>
            </w:r>
          </w:p>
        </w:tc>
        <w:tc>
          <w:tcPr>
            <w:tcW w:w="0" w:type="auto"/>
            <w:vAlign w:val="center"/>
            <w:hideMark/>
          </w:tcPr>
          <w:p w14:paraId="2ADE248B" w14:textId="77777777" w:rsidR="00A20E04" w:rsidRPr="00A20E04" w:rsidRDefault="00A20E04" w:rsidP="00A20E04">
            <w:pPr>
              <w:spacing w:after="0" w:line="240" w:lineRule="auto"/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</w:pPr>
            <w:r w:rsidRPr="00A20E04"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n-IE"/>
              </w:rPr>
              <w:t>Your Submission</w:t>
            </w:r>
          </w:p>
        </w:tc>
      </w:tr>
    </w:tbl>
    <w:p w14:paraId="53C7E398" w14:textId="77777777" w:rsidR="00BC79CE" w:rsidRDefault="00A20E04" w:rsidP="00A20E04">
      <w:pPr>
        <w:shd w:val="clear" w:color="auto" w:fill="FFFFFF"/>
        <w:spacing w:after="60" w:line="240" w:lineRule="auto"/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>Ref.: Ms. No. ICHMT-D-20-00175</w:t>
      </w:r>
      <w:r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  <w:t>A note on the composition-dependency of the density within the mass transfer layer</w:t>
      </w:r>
      <w:r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  <w:t>International Communications in Heat and Mass Transfer</w:t>
      </w:r>
      <w:r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</w:r>
      <w:r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  <w:t>Your revision is due by Jun 23, 2020.</w:t>
      </w:r>
      <w:r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</w:r>
      <w:r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  <w:t>Comments from the Editors and Reviewers:</w:t>
      </w:r>
      <w:r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  <w:t xml:space="preserve">Reviewer 1: The authors have developed a modelling methodology for prediction of mass transfer in thin film layers. The model is based on composition-dependency of density in the layer. The idea is novel and interesting and can </w:t>
      </w:r>
      <w:proofErr w:type="spellStart"/>
      <w:r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>imrpove</w:t>
      </w:r>
      <w:proofErr w:type="spellEnd"/>
      <w:r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 the mass transfer investigation for design and optimization of reaction and separation processes. The paper merits publication. Please consider my comments prior to acceptance:</w:t>
      </w:r>
      <w:r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  <w:t>1. the writing needs to be improved.</w:t>
      </w:r>
    </w:p>
    <w:p w14:paraId="1E0A55BA" w14:textId="77777777" w:rsidR="00BC79CE" w:rsidRDefault="00BC79CE" w:rsidP="00A20E04">
      <w:pPr>
        <w:shd w:val="clear" w:color="auto" w:fill="FFFFFF"/>
        <w:spacing w:after="60" w:line="240" w:lineRule="auto"/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bookmarkStart w:id="0" w:name="_GoBack"/>
      <w:bookmarkEnd w:id="0"/>
      <w:r w:rsidRPr="00BC79CE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 xml:space="preserve">We have gone through the manuscript and checked it against typo and grammatical errors. </w:t>
      </w:r>
      <w:r w:rsidR="00A20E04"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  <w:t>2. Please mention the main novelty of the current study in comparison to other similar mass transfer models.</w:t>
      </w:r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 </w:t>
      </w:r>
    </w:p>
    <w:p w14:paraId="230BC0AD" w14:textId="77777777" w:rsidR="00BC79CE" w:rsidRDefault="00BC79CE" w:rsidP="00A20E04">
      <w:pPr>
        <w:shd w:val="clear" w:color="auto" w:fill="FFFFFF"/>
        <w:spacing w:after="60" w:line="240" w:lineRule="auto"/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 w:rsidRPr="00BC79CE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>Conventionally, the total density in the mass transfer layer of a binary mixture has been assumed constant</w:t>
      </w:r>
      <w:r w:rsidRPr="00BC79CE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 xml:space="preserve"> which is not correct. This paper addressed this issue. </w:t>
      </w:r>
      <w:r w:rsidR="00A20E04" w:rsidRPr="00BC79CE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br/>
      </w:r>
      <w:r w:rsidR="00A20E04"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>3. What is the limitations of this model in prediction of mass transfer behaviour?</w:t>
      </w:r>
      <w:r w:rsidR="00A20E04"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</w:r>
      <w:r w:rsidRPr="00BC79CE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 xml:space="preserve">We considered a linear relationship for density and mass fraction, which is sufficiently enough for mass transfer processes of concern. Higher order dependency is rare, so not addressed here. </w:t>
      </w:r>
      <w:r w:rsidR="00A20E04" w:rsidRPr="00BC79CE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br/>
      </w:r>
      <w:r w:rsidR="00A20E04"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  <w:t>Reviewer 2: The paper proposed the new method of explicit composition dependency introduced for the density within the mass transfer layer. The paper was well written with detailed and clear analysis. I recommended this paper to be accepted with following minor revision:</w:t>
      </w:r>
      <w:r w:rsidR="00A20E04"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  <w:t>1. In what condition the composition dependency density is in linear distribution.</w:t>
      </w:r>
      <w:r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 </w:t>
      </w:r>
    </w:p>
    <w:p w14:paraId="40B8502B" w14:textId="77777777" w:rsidR="00856BC0" w:rsidRDefault="00BC79CE" w:rsidP="00A20E04">
      <w:pPr>
        <w:shd w:val="clear" w:color="auto" w:fill="FFFFFF"/>
        <w:spacing w:after="60" w:line="240" w:lineRule="auto"/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 w:rsidRPr="00BC79CE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>Higher order dependency is rare, so not addressed here.</w:t>
      </w:r>
      <w:r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 xml:space="preserve"> The density-composition profile highly depends on the system of interest and the composition. </w:t>
      </w:r>
      <w:r w:rsidRPr="00BC79CE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 xml:space="preserve">a linear relationship for density and mass fraction, which is sufficiently enough for mass transfer processes of concern. </w:t>
      </w:r>
      <w:r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>But the c</w:t>
      </w:r>
      <w:r w:rsidRPr="00BC79CE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>onventionally</w:t>
      </w:r>
      <w:r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 xml:space="preserve"> a</w:t>
      </w:r>
      <w:r w:rsidRPr="00BC79CE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>ssumed constant</w:t>
      </w:r>
      <w:r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 xml:space="preserve"> density i</w:t>
      </w:r>
      <w:r w:rsidRPr="00BC79CE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>s not correct.</w:t>
      </w:r>
      <w:r w:rsidR="00856BC0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 xml:space="preserve"> </w:t>
      </w:r>
      <w:r w:rsidR="00A20E04"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  <w:t xml:space="preserve">2. Except for the expansion coefficient, is temperature </w:t>
      </w:r>
      <w:proofErr w:type="spellStart"/>
      <w:r w:rsidR="00A20E04"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>denpendency</w:t>
      </w:r>
      <w:proofErr w:type="spellEnd"/>
      <w:r w:rsidR="00A20E04"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 available for the modified model? Because temperature is also the most important parameter for material property.</w:t>
      </w:r>
      <w:r w:rsidR="00856BC0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t xml:space="preserve"> </w:t>
      </w:r>
    </w:p>
    <w:p w14:paraId="0C857EDE" w14:textId="716E4872" w:rsidR="00A20E04" w:rsidRPr="00A20E04" w:rsidRDefault="00856BC0" w:rsidP="00A20E04">
      <w:pPr>
        <w:shd w:val="clear" w:color="auto" w:fill="FFFFFF"/>
        <w:spacing w:after="60" w:line="240" w:lineRule="auto"/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</w:pPr>
      <w:r w:rsidRPr="00ED2A32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 xml:space="preserve">The mass transfer layer is thin and the temperature variation in such small thickness is negligible (temperature of film, not operating temperature). </w:t>
      </w:r>
      <w:r w:rsidR="00ED2A32" w:rsidRPr="00ED2A32">
        <w:rPr>
          <w:rFonts w:ascii="Verdana" w:eastAsia="Times New Roman" w:hAnsi="Verdana" w:cs="Times New Roman"/>
          <w:color w:val="0070C0"/>
          <w:sz w:val="17"/>
          <w:szCs w:val="17"/>
          <w:lang w:eastAsia="en-IE"/>
        </w:rPr>
        <w:t xml:space="preserve">But, for interest of theoretical analysis, the same approach can be applied for a temperature-density profile. </w:t>
      </w:r>
      <w:r w:rsidR="00A20E04" w:rsidRPr="00A20E04">
        <w:rPr>
          <w:rFonts w:ascii="Verdana" w:eastAsia="Times New Roman" w:hAnsi="Verdana" w:cs="Times New Roman"/>
          <w:color w:val="000033"/>
          <w:sz w:val="17"/>
          <w:szCs w:val="17"/>
          <w:lang w:eastAsia="en-IE"/>
        </w:rPr>
        <w:br/>
      </w:r>
    </w:p>
    <w:sectPr w:rsidR="00A20E04" w:rsidRPr="00A2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04"/>
    <w:rsid w:val="0065250A"/>
    <w:rsid w:val="007608F6"/>
    <w:rsid w:val="00856BC0"/>
    <w:rsid w:val="00A20E04"/>
    <w:rsid w:val="00A42CBC"/>
    <w:rsid w:val="00BC79CE"/>
    <w:rsid w:val="00D174EF"/>
    <w:rsid w:val="00ED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99EA"/>
  <w15:chartTrackingRefBased/>
  <w15:docId w15:val="{C1808CE1-7198-4415-94A6-59CD56B2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0E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E0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5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19252">
          <w:marLeft w:val="0"/>
          <w:marRight w:val="0"/>
          <w:marTop w:val="75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43323641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25">
              <w:marLeft w:val="0"/>
              <w:marRight w:val="0"/>
              <w:marTop w:val="0"/>
              <w:marBottom w:val="60"/>
              <w:divBdr>
                <w:top w:val="single" w:sz="6" w:space="3" w:color="000000"/>
                <w:left w:val="none" w:sz="0" w:space="0" w:color="auto"/>
                <w:bottom w:val="single" w:sz="6" w:space="3" w:color="00000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6</cp:revision>
  <dcterms:created xsi:type="dcterms:W3CDTF">2020-05-25T08:51:00Z</dcterms:created>
  <dcterms:modified xsi:type="dcterms:W3CDTF">2020-05-26T12:15:00Z</dcterms:modified>
</cp:coreProperties>
</file>