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428193401"/>
        <w:docPartObj>
          <w:docPartGallery w:val="Cover Pages"/>
          <w:docPartUnique/>
        </w:docPartObj>
      </w:sdtPr>
      <w:sdtEndPr/>
      <w:sdtContent>
        <w:p w14:paraId="0723E153" w14:textId="227F3796" w:rsidR="004D31FA" w:rsidRPr="002C7341" w:rsidRDefault="004D31FA" w:rsidP="002C7341">
          <w:pPr>
            <w:jc w:val="both"/>
            <w:rPr>
              <w:rFonts w:ascii="Times New Roman" w:hAnsi="Times New Roman" w:cs="Times New Roman"/>
              <w:sz w:val="24"/>
              <w:szCs w:val="24"/>
            </w:rPr>
          </w:pPr>
          <w:r w:rsidRPr="002C7341">
            <w:rPr>
              <w:rFonts w:ascii="Times New Roman" w:hAnsi="Times New Roman" w:cs="Times New Roman"/>
              <w:noProof/>
              <w:sz w:val="24"/>
              <w:szCs w:val="24"/>
            </w:rPr>
            <mc:AlternateContent>
              <mc:Choice Requires="wps">
                <w:drawing>
                  <wp:anchor distT="0" distB="0" distL="114300" distR="114300" simplePos="0" relativeHeight="251663360" behindDoc="1" locked="0" layoutInCell="1" allowOverlap="1" wp14:anchorId="278F9D2F" wp14:editId="5637BEC7">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B83118C" w14:textId="77777777" w:rsidR="004D31FA" w:rsidRDefault="004D31F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78F9D2F" id="Rectangle 257" o:spid="_x0000_s1026"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d9e2f3 [660]" stroked="f" strokeweight="1pt">
                    <v:fill color2="#8eaadb [1940]" rotate="t" focus="100%" type="gradient">
                      <o:fill v:ext="view" type="gradientUnscaled"/>
                    </v:fill>
                    <v:textbox inset="21.6pt,,21.6pt">
                      <w:txbxContent>
                        <w:p w14:paraId="3B83118C" w14:textId="77777777" w:rsidR="004D31FA" w:rsidRDefault="004D31FA"/>
                      </w:txbxContent>
                    </v:textbox>
                    <w10:wrap anchorx="page" anchory="page"/>
                  </v:rect>
                </w:pict>
              </mc:Fallback>
            </mc:AlternateContent>
          </w:r>
          <w:r w:rsidRPr="002C734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C85D75C" wp14:editId="55A396F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29D422" w14:textId="070956DC" w:rsidR="004D31FA" w:rsidRDefault="006B61AB">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EndPr/>
                                  <w:sdtContent>
                                    <w:r w:rsidR="004D31FA">
                                      <w:rPr>
                                        <w:color w:val="FFFFFF" w:themeColor="background1"/>
                                      </w:rPr>
                                      <w:t xml:space="preserve">     </w:t>
                                    </w:r>
                                  </w:sdtContent>
                                </w:sdt>
                                <w:r w:rsidR="004D31FA" w:rsidRPr="004D31FA">
                                  <w:rPr>
                                    <w:noProof/>
                                  </w:rPr>
                                  <w:drawing>
                                    <wp:inline distT="0" distB="0" distL="0" distR="0" wp14:anchorId="008FC828" wp14:editId="69BC7E40">
                                      <wp:extent cx="2072005" cy="2612571"/>
                                      <wp:effectExtent l="0" t="0" r="0" b="0"/>
                                      <wp:docPr id="1287689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992" cy="2618859"/>
                                              </a:xfrm>
                                              <a:prstGeom prst="rect">
                                                <a:avLst/>
                                              </a:prstGeom>
                                              <a:noFill/>
                                              <a:ln>
                                                <a:noFill/>
                                              </a:ln>
                                            </pic:spPr>
                                          </pic:pic>
                                        </a:graphicData>
                                      </a:graphic>
                                    </wp:inline>
                                  </w:drawing>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C85D75C" id="Rectangle 259" o:spid="_x0000_s1027"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44546a [3215]" stroked="f" strokeweight="1pt">
                    <v:textbox inset="14.4pt,14.4pt,14.4pt,28.8pt">
                      <w:txbxContent>
                        <w:p w14:paraId="2829D422" w14:textId="070956DC" w:rsidR="004D31FA" w:rsidRDefault="006B61AB">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EndPr/>
                            <w:sdtContent>
                              <w:r w:rsidR="004D31FA">
                                <w:rPr>
                                  <w:color w:val="FFFFFF" w:themeColor="background1"/>
                                </w:rPr>
                                <w:t xml:space="preserve">     </w:t>
                              </w:r>
                            </w:sdtContent>
                          </w:sdt>
                          <w:r w:rsidR="004D31FA" w:rsidRPr="004D31FA">
                            <w:rPr>
                              <w:noProof/>
                            </w:rPr>
                            <w:drawing>
                              <wp:inline distT="0" distB="0" distL="0" distR="0" wp14:anchorId="008FC828" wp14:editId="69BC7E40">
                                <wp:extent cx="2072005" cy="2612571"/>
                                <wp:effectExtent l="0" t="0" r="0" b="0"/>
                                <wp:docPr id="1287689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992" cy="2618859"/>
                                        </a:xfrm>
                                        <a:prstGeom prst="rect">
                                          <a:avLst/>
                                        </a:prstGeom>
                                        <a:noFill/>
                                        <a:ln>
                                          <a:noFill/>
                                        </a:ln>
                                      </pic:spPr>
                                    </pic:pic>
                                  </a:graphicData>
                                </a:graphic>
                              </wp:inline>
                            </w:drawing>
                          </w:r>
                        </w:p>
                      </w:txbxContent>
                    </v:textbox>
                    <w10:wrap anchorx="page" anchory="page"/>
                  </v:rect>
                </w:pict>
              </mc:Fallback>
            </mc:AlternateContent>
          </w:r>
          <w:r w:rsidRPr="002C734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E4A5C6" wp14:editId="01B8A7C7">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0E645C9"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Pr="002C7341">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40920BC" wp14:editId="0D39A2E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9C0A3BB"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Pr="002C734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72BDAF3" wp14:editId="687B845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Zone de texte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imes New Roman" w:eastAsiaTheme="majorEastAsia" w:hAnsi="Times New Roman" w:cs="Times New Roman"/>
                                    <w:b/>
                                    <w:bCs/>
                                    <w:color w:val="4472C4"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2B82854B" w14:textId="5184AFA4" w:rsidR="004D31FA" w:rsidRPr="004D31FA" w:rsidRDefault="004D31FA">
                                    <w:pPr>
                                      <w:spacing w:line="240" w:lineRule="auto"/>
                                      <w:rPr>
                                        <w:rFonts w:ascii="Times New Roman" w:eastAsiaTheme="majorEastAsia" w:hAnsi="Times New Roman" w:cs="Times New Roman"/>
                                        <w:b/>
                                        <w:bCs/>
                                        <w:color w:val="4472C4" w:themeColor="accent1"/>
                                        <w:sz w:val="72"/>
                                        <w:szCs w:val="72"/>
                                      </w:rPr>
                                    </w:pPr>
                                    <w:r w:rsidRPr="004D31FA">
                                      <w:rPr>
                                        <w:rFonts w:ascii="Times New Roman" w:eastAsiaTheme="majorEastAsia" w:hAnsi="Times New Roman" w:cs="Times New Roman"/>
                                        <w:b/>
                                        <w:bCs/>
                                        <w:color w:val="4472C4" w:themeColor="accent1"/>
                                        <w:sz w:val="72"/>
                                        <w:szCs w:val="72"/>
                                      </w:rPr>
                                      <w:t>Crédit indirect</w:t>
                                    </w:r>
                                  </w:p>
                                </w:sdtContent>
                              </w:sdt>
                              <w:sdt>
                                <w:sdtPr>
                                  <w:rPr>
                                    <w:rFonts w:ascii="Times New Roman" w:eastAsiaTheme="majorEastAsia" w:hAnsi="Times New Roman" w:cs="Times New Roman"/>
                                    <w:b/>
                                    <w:bCs/>
                                    <w:color w:val="44546A"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9404E9C" w14:textId="1FD51C7C" w:rsidR="004D31FA" w:rsidRPr="004D31FA" w:rsidRDefault="004D31FA">
                                    <w:pPr>
                                      <w:rPr>
                                        <w:rFonts w:ascii="Times New Roman" w:eastAsiaTheme="majorEastAsia" w:hAnsi="Times New Roman" w:cs="Times New Roman"/>
                                        <w:b/>
                                        <w:bCs/>
                                        <w:color w:val="44546A" w:themeColor="text2"/>
                                        <w:sz w:val="32"/>
                                        <w:szCs w:val="32"/>
                                      </w:rPr>
                                    </w:pPr>
                                    <w:r w:rsidRPr="004D31FA">
                                      <w:rPr>
                                        <w:rFonts w:ascii="Times New Roman" w:eastAsiaTheme="majorEastAsia" w:hAnsi="Times New Roman" w:cs="Times New Roman"/>
                                        <w:b/>
                                        <w:bCs/>
                                        <w:color w:val="44546A" w:themeColor="text2"/>
                                        <w:sz w:val="32"/>
                                        <w:szCs w:val="32"/>
                                      </w:rPr>
                                      <w:t>Technique Bancaire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772BDAF3" id="_x0000_t202" coordsize="21600,21600" o:spt="202" path="m,l,21600r21600,l21600,xe">
                    <v:stroke joinstyle="miter"/>
                    <v:path gradientshapeok="t" o:connecttype="rect"/>
                  </v:shapetype>
                  <v:shape id="Zone de texte 265" o:spid="_x0000_s1028"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imes New Roman" w:eastAsiaTheme="majorEastAsia" w:hAnsi="Times New Roman" w:cs="Times New Roman"/>
                              <w:b/>
                              <w:bCs/>
                              <w:color w:val="4472C4"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2B82854B" w14:textId="5184AFA4" w:rsidR="004D31FA" w:rsidRPr="004D31FA" w:rsidRDefault="004D31FA">
                              <w:pPr>
                                <w:spacing w:line="240" w:lineRule="auto"/>
                                <w:rPr>
                                  <w:rFonts w:ascii="Times New Roman" w:eastAsiaTheme="majorEastAsia" w:hAnsi="Times New Roman" w:cs="Times New Roman"/>
                                  <w:b/>
                                  <w:bCs/>
                                  <w:color w:val="4472C4" w:themeColor="accent1"/>
                                  <w:sz w:val="72"/>
                                  <w:szCs w:val="72"/>
                                </w:rPr>
                              </w:pPr>
                              <w:r w:rsidRPr="004D31FA">
                                <w:rPr>
                                  <w:rFonts w:ascii="Times New Roman" w:eastAsiaTheme="majorEastAsia" w:hAnsi="Times New Roman" w:cs="Times New Roman"/>
                                  <w:b/>
                                  <w:bCs/>
                                  <w:color w:val="4472C4" w:themeColor="accent1"/>
                                  <w:sz w:val="72"/>
                                  <w:szCs w:val="72"/>
                                </w:rPr>
                                <w:t>Crédit indirect</w:t>
                              </w:r>
                            </w:p>
                          </w:sdtContent>
                        </w:sdt>
                        <w:sdt>
                          <w:sdtPr>
                            <w:rPr>
                              <w:rFonts w:ascii="Times New Roman" w:eastAsiaTheme="majorEastAsia" w:hAnsi="Times New Roman" w:cs="Times New Roman"/>
                              <w:b/>
                              <w:bCs/>
                              <w:color w:val="44546A"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9404E9C" w14:textId="1FD51C7C" w:rsidR="004D31FA" w:rsidRPr="004D31FA" w:rsidRDefault="004D31FA">
                              <w:pPr>
                                <w:rPr>
                                  <w:rFonts w:ascii="Times New Roman" w:eastAsiaTheme="majorEastAsia" w:hAnsi="Times New Roman" w:cs="Times New Roman"/>
                                  <w:b/>
                                  <w:bCs/>
                                  <w:color w:val="44546A" w:themeColor="text2"/>
                                  <w:sz w:val="32"/>
                                  <w:szCs w:val="32"/>
                                </w:rPr>
                              </w:pPr>
                              <w:r w:rsidRPr="004D31FA">
                                <w:rPr>
                                  <w:rFonts w:ascii="Times New Roman" w:eastAsiaTheme="majorEastAsia" w:hAnsi="Times New Roman" w:cs="Times New Roman"/>
                                  <w:b/>
                                  <w:bCs/>
                                  <w:color w:val="44546A" w:themeColor="text2"/>
                                  <w:sz w:val="32"/>
                                  <w:szCs w:val="32"/>
                                </w:rPr>
                                <w:t>Technique Bancaire</w:t>
                              </w:r>
                            </w:p>
                          </w:sdtContent>
                        </w:sdt>
                      </w:txbxContent>
                    </v:textbox>
                    <w10:wrap type="square" anchorx="page" anchory="page"/>
                  </v:shape>
                </w:pict>
              </mc:Fallback>
            </mc:AlternateContent>
          </w:r>
        </w:p>
        <w:p w14:paraId="4657E214" w14:textId="058444EC" w:rsidR="004D31FA" w:rsidRPr="002C7341" w:rsidRDefault="004D31FA" w:rsidP="002C7341">
          <w:pPr>
            <w:jc w:val="both"/>
            <w:rPr>
              <w:rFonts w:ascii="Times New Roman" w:hAnsi="Times New Roman" w:cs="Times New Roman"/>
              <w:sz w:val="24"/>
              <w:szCs w:val="24"/>
            </w:rPr>
          </w:pPr>
          <w:r w:rsidRPr="002C7341">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687EF18" wp14:editId="41CE2659">
                    <wp:simplePos x="0" y="0"/>
                    <wp:positionH relativeFrom="page">
                      <wp:posOffset>3458845</wp:posOffset>
                    </wp:positionH>
                    <wp:positionV relativeFrom="page">
                      <wp:posOffset>5682615</wp:posOffset>
                    </wp:positionV>
                    <wp:extent cx="2797810" cy="268605"/>
                    <wp:effectExtent l="0" t="0" r="0" b="0"/>
                    <wp:wrapSquare wrapText="bothSides"/>
                    <wp:docPr id="465" name="Zone de texte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0A6E073" w14:textId="2E704368"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sdt>
                                  <w:sdtPr>
                                    <w:rPr>
                                      <w:rFonts w:ascii="Times New Roman" w:hAnsi="Times New Roman" w:cs="Times New Roman"/>
                                      <w:b/>
                                      <w:bCs/>
                                      <w:color w:val="44546A" w:themeColor="text2"/>
                                      <w:sz w:val="24"/>
                                      <w:szCs w:val="24"/>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4D31FA" w:rsidRPr="004D31FA">
                                      <w:rPr>
                                        <w:rFonts w:ascii="Times New Roman" w:hAnsi="Times New Roman" w:cs="Times New Roman"/>
                                        <w:b/>
                                        <w:bCs/>
                                        <w:color w:val="44546A" w:themeColor="text2"/>
                                        <w:sz w:val="24"/>
                                        <w:szCs w:val="24"/>
                                      </w:rPr>
                                      <w:t>GROUPE 5 :</w:t>
                                    </w:r>
                                  </w:sdtContent>
                                </w:sdt>
                              </w:p>
                              <w:p w14:paraId="01101921" w14:textId="20E2A15D"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 </w:t>
                                </w:r>
                                <w:r w:rsidR="004D31FA" w:rsidRPr="004D31FA">
                                  <w:rPr>
                                    <w:rFonts w:ascii="Times New Roman" w:hAnsi="Times New Roman" w:cs="Times New Roman"/>
                                    <w:b/>
                                    <w:bCs/>
                                    <w:color w:val="44546A" w:themeColor="text2"/>
                                    <w:sz w:val="24"/>
                                    <w:szCs w:val="24"/>
                                  </w:rPr>
                                  <w:t>Makhtar Faye</w:t>
                                </w:r>
                              </w:p>
                              <w:p w14:paraId="11A81643" w14:textId="4B71AFDF"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Mme </w:t>
                                </w:r>
                                <w:r w:rsidR="004D31FA" w:rsidRPr="004D31FA">
                                  <w:rPr>
                                    <w:rFonts w:ascii="Times New Roman" w:hAnsi="Times New Roman" w:cs="Times New Roman"/>
                                    <w:b/>
                                    <w:bCs/>
                                    <w:color w:val="44546A" w:themeColor="text2"/>
                                    <w:sz w:val="24"/>
                                    <w:szCs w:val="24"/>
                                  </w:rPr>
                                  <w:t>Nogaye Ndiaye</w:t>
                                </w:r>
                              </w:p>
                              <w:p w14:paraId="527818CF" w14:textId="3EBC0ACB"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Mme </w:t>
                                </w:r>
                                <w:r w:rsidR="004D31FA" w:rsidRPr="004D31FA">
                                  <w:rPr>
                                    <w:rFonts w:ascii="Times New Roman" w:hAnsi="Times New Roman" w:cs="Times New Roman"/>
                                    <w:b/>
                                    <w:bCs/>
                                    <w:color w:val="44546A" w:themeColor="text2"/>
                                    <w:sz w:val="24"/>
                                    <w:szCs w:val="24"/>
                                  </w:rPr>
                                  <w:t>Mbene Thiaw</w:t>
                                </w:r>
                              </w:p>
                              <w:p w14:paraId="32975F95" w14:textId="66A04520"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Mme </w:t>
                                </w:r>
                                <w:r w:rsidR="004D31FA" w:rsidRPr="004D31FA">
                                  <w:rPr>
                                    <w:rFonts w:ascii="Times New Roman" w:hAnsi="Times New Roman" w:cs="Times New Roman"/>
                                    <w:b/>
                                    <w:bCs/>
                                    <w:color w:val="44546A" w:themeColor="text2"/>
                                    <w:sz w:val="24"/>
                                    <w:szCs w:val="24"/>
                                  </w:rPr>
                                  <w:t>Ndeye Marie Thiaw</w:t>
                                </w:r>
                              </w:p>
                              <w:p w14:paraId="37E432C5" w14:textId="0A00E8EE" w:rsid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 </w:t>
                                </w:r>
                                <w:r w:rsidR="004D31FA" w:rsidRPr="004D31FA">
                                  <w:rPr>
                                    <w:rFonts w:ascii="Times New Roman" w:hAnsi="Times New Roman" w:cs="Times New Roman"/>
                                    <w:b/>
                                    <w:bCs/>
                                    <w:color w:val="44546A" w:themeColor="text2"/>
                                    <w:sz w:val="24"/>
                                    <w:szCs w:val="24"/>
                                  </w:rPr>
                                  <w:t>Massar Thioune</w:t>
                                </w:r>
                              </w:p>
                              <w:p w14:paraId="46D6C223" w14:textId="6CBDE7D4" w:rsidR="006B61AB"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M. Yahya Tomy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 w14:anchorId="0687EF18" id="Zone de texte 255" o:spid="_x0000_s1029" type="#_x0000_t202" style="position:absolute;left:0;text-align:left;margin-left:272.35pt;margin-top:447.4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ENIwIAAEE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" filled="f" stroked="f" strokeweight=".5pt">
                    <v:textbox style="mso-fit-shape-to-text:t">
                      <w:txbxContent>
                        <w:p w14:paraId="00A6E073" w14:textId="2E704368"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sdt>
                            <w:sdtPr>
                              <w:rPr>
                                <w:rFonts w:ascii="Times New Roman" w:hAnsi="Times New Roman" w:cs="Times New Roman"/>
                                <w:b/>
                                <w:bCs/>
                                <w:color w:val="44546A" w:themeColor="text2"/>
                                <w:sz w:val="24"/>
                                <w:szCs w:val="24"/>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4D31FA" w:rsidRPr="004D31FA">
                                <w:rPr>
                                  <w:rFonts w:ascii="Times New Roman" w:hAnsi="Times New Roman" w:cs="Times New Roman"/>
                                  <w:b/>
                                  <w:bCs/>
                                  <w:color w:val="44546A" w:themeColor="text2"/>
                                  <w:sz w:val="24"/>
                                  <w:szCs w:val="24"/>
                                </w:rPr>
                                <w:t>GROUPE 5 :</w:t>
                              </w:r>
                            </w:sdtContent>
                          </w:sdt>
                        </w:p>
                        <w:p w14:paraId="01101921" w14:textId="20E2A15D"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 </w:t>
                          </w:r>
                          <w:r w:rsidR="004D31FA" w:rsidRPr="004D31FA">
                            <w:rPr>
                              <w:rFonts w:ascii="Times New Roman" w:hAnsi="Times New Roman" w:cs="Times New Roman"/>
                              <w:b/>
                              <w:bCs/>
                              <w:color w:val="44546A" w:themeColor="text2"/>
                              <w:sz w:val="24"/>
                              <w:szCs w:val="24"/>
                            </w:rPr>
                            <w:t>Makhtar Faye</w:t>
                          </w:r>
                        </w:p>
                        <w:p w14:paraId="11A81643" w14:textId="4B71AFDF"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Mme </w:t>
                          </w:r>
                          <w:r w:rsidR="004D31FA" w:rsidRPr="004D31FA">
                            <w:rPr>
                              <w:rFonts w:ascii="Times New Roman" w:hAnsi="Times New Roman" w:cs="Times New Roman"/>
                              <w:b/>
                              <w:bCs/>
                              <w:color w:val="44546A" w:themeColor="text2"/>
                              <w:sz w:val="24"/>
                              <w:szCs w:val="24"/>
                            </w:rPr>
                            <w:t>Nogaye Ndiaye</w:t>
                          </w:r>
                        </w:p>
                        <w:p w14:paraId="527818CF" w14:textId="3EBC0ACB"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Mme </w:t>
                          </w:r>
                          <w:r w:rsidR="004D31FA" w:rsidRPr="004D31FA">
                            <w:rPr>
                              <w:rFonts w:ascii="Times New Roman" w:hAnsi="Times New Roman" w:cs="Times New Roman"/>
                              <w:b/>
                              <w:bCs/>
                              <w:color w:val="44546A" w:themeColor="text2"/>
                              <w:sz w:val="24"/>
                              <w:szCs w:val="24"/>
                            </w:rPr>
                            <w:t>Mbene Thiaw</w:t>
                          </w:r>
                        </w:p>
                        <w:p w14:paraId="32975F95" w14:textId="66A04520" w:rsidR="004D31FA"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Mme </w:t>
                          </w:r>
                          <w:r w:rsidR="004D31FA" w:rsidRPr="004D31FA">
                            <w:rPr>
                              <w:rFonts w:ascii="Times New Roman" w:hAnsi="Times New Roman" w:cs="Times New Roman"/>
                              <w:b/>
                              <w:bCs/>
                              <w:color w:val="44546A" w:themeColor="text2"/>
                              <w:sz w:val="24"/>
                              <w:szCs w:val="24"/>
                            </w:rPr>
                            <w:t>Ndeye Marie Thiaw</w:t>
                          </w:r>
                        </w:p>
                        <w:p w14:paraId="37E432C5" w14:textId="0A00E8EE" w:rsid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 xml:space="preserve">M. </w:t>
                          </w:r>
                          <w:r w:rsidR="004D31FA" w:rsidRPr="004D31FA">
                            <w:rPr>
                              <w:rFonts w:ascii="Times New Roman" w:hAnsi="Times New Roman" w:cs="Times New Roman"/>
                              <w:b/>
                              <w:bCs/>
                              <w:color w:val="44546A" w:themeColor="text2"/>
                              <w:sz w:val="24"/>
                              <w:szCs w:val="24"/>
                            </w:rPr>
                            <w:t>Massar Thioune</w:t>
                          </w:r>
                        </w:p>
                        <w:p w14:paraId="46D6C223" w14:textId="6CBDE7D4" w:rsidR="006B61AB" w:rsidRPr="004D31FA" w:rsidRDefault="006B61AB" w:rsidP="002C7341">
                          <w:pPr>
                            <w:pStyle w:val="Sansinterligne"/>
                            <w:spacing w:line="276" w:lineRule="auto"/>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t>M. Yahya Tomy</w:t>
                          </w:r>
                        </w:p>
                      </w:txbxContent>
                    </v:textbox>
                    <w10:wrap type="square" anchorx="page" anchory="page"/>
                  </v:shape>
                </w:pict>
              </mc:Fallback>
            </mc:AlternateContent>
          </w:r>
          <w:r w:rsidRPr="002C7341">
            <w:rPr>
              <w:rFonts w:ascii="Times New Roman" w:hAnsi="Times New Roman" w:cs="Times New Roman"/>
              <w:sz w:val="24"/>
              <w:szCs w:val="24"/>
            </w:rPr>
            <w:br w:type="page"/>
          </w:r>
        </w:p>
      </w:sdtContent>
    </w:sdt>
    <w:p w14:paraId="5051E7A9" w14:textId="77777777" w:rsidR="004D31FA" w:rsidRPr="004D31FA" w:rsidRDefault="004D31FA" w:rsidP="004979E7">
      <w:pPr>
        <w:spacing w:line="360" w:lineRule="auto"/>
        <w:jc w:val="center"/>
        <w:rPr>
          <w:rFonts w:ascii="Times New Roman" w:hAnsi="Times New Roman" w:cs="Times New Roman"/>
          <w:b/>
          <w:bCs/>
          <w:sz w:val="24"/>
          <w:szCs w:val="24"/>
          <w:u w:val="single"/>
        </w:rPr>
      </w:pPr>
      <w:r w:rsidRPr="004D31FA">
        <w:rPr>
          <w:rFonts w:ascii="Times New Roman" w:hAnsi="Times New Roman" w:cs="Times New Roman"/>
          <w:b/>
          <w:bCs/>
          <w:sz w:val="24"/>
          <w:szCs w:val="24"/>
          <w:u w:val="single"/>
        </w:rPr>
        <w:lastRenderedPageBreak/>
        <w:t>Introduction</w:t>
      </w:r>
    </w:p>
    <w:p w14:paraId="713123FF"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 xml:space="preserve">Dans un monde globalisé, les banques, qu’elles soient nationales ou multinationales, sont des acteurs majeurs qui influencent les économies à toutes les échelles. Elles facilitent le commerce international, régulent les flux monétaires, et jouent un rôle central dans la stabilité financière. Sont considérées comme banques les entreprises qui font profession habituelle de recevoir des fonds dont il peut être disposé par chèques ou virements et qu'elles emploient, pour leur propre compte ou pour le compte d'autrui, en opérations de placement ou de crédit. Cette dernière opération phare de l'activité bancaire est un des piliers de l’économique moderne. Il permet aux particuliers d’acheter des biens, aux entreprises d’investir dans leurs activités, et aux États de financer leurs projets. Lorsqu’on parle de crédit, on pense généralement à un prêt classique : une somme d’argent que la banque verse immédiatement à un client, qui la rembourse progressivement avec des intérêts. C’est ce qu’on appelle le </w:t>
      </w:r>
      <w:r w:rsidRPr="004D31FA">
        <w:rPr>
          <w:rFonts w:ascii="Times New Roman" w:hAnsi="Times New Roman" w:cs="Times New Roman"/>
          <w:b/>
          <w:bCs/>
          <w:sz w:val="24"/>
          <w:szCs w:val="24"/>
        </w:rPr>
        <w:t>crédit direct</w:t>
      </w:r>
      <w:r w:rsidRPr="004D31FA">
        <w:rPr>
          <w:rFonts w:ascii="Times New Roman" w:hAnsi="Times New Roman" w:cs="Times New Roman"/>
          <w:sz w:val="24"/>
          <w:szCs w:val="24"/>
        </w:rPr>
        <w:t>.</w:t>
      </w:r>
    </w:p>
    <w:p w14:paraId="053ED32B"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 xml:space="preserve">Mais il existe une autre forme de crédit, moins connue du grand public mais tout aussi importante : </w:t>
      </w:r>
      <w:r w:rsidRPr="004D31FA">
        <w:rPr>
          <w:rFonts w:ascii="Times New Roman" w:hAnsi="Times New Roman" w:cs="Times New Roman"/>
          <w:b/>
          <w:bCs/>
          <w:sz w:val="24"/>
          <w:szCs w:val="24"/>
        </w:rPr>
        <w:t>le crédit indirect</w:t>
      </w:r>
      <w:r w:rsidRPr="004D31FA">
        <w:rPr>
          <w:rFonts w:ascii="Times New Roman" w:hAnsi="Times New Roman" w:cs="Times New Roman"/>
          <w:sz w:val="24"/>
          <w:szCs w:val="24"/>
        </w:rPr>
        <w:t xml:space="preserve">. Dans ce cas, </w:t>
      </w:r>
      <w:r w:rsidRPr="004D31FA">
        <w:rPr>
          <w:rFonts w:ascii="Times New Roman" w:hAnsi="Times New Roman" w:cs="Times New Roman"/>
          <w:b/>
          <w:bCs/>
          <w:sz w:val="24"/>
          <w:szCs w:val="24"/>
        </w:rPr>
        <w:t>la banque ne verse pas d’argent tout de suite</w:t>
      </w:r>
      <w:r w:rsidRPr="004D31FA">
        <w:rPr>
          <w:rFonts w:ascii="Times New Roman" w:hAnsi="Times New Roman" w:cs="Times New Roman"/>
          <w:sz w:val="24"/>
          <w:szCs w:val="24"/>
        </w:rPr>
        <w:t xml:space="preserve">, mais elle s’engage </w:t>
      </w:r>
      <w:r w:rsidRPr="004D31FA">
        <w:rPr>
          <w:rFonts w:ascii="Times New Roman" w:hAnsi="Times New Roman" w:cs="Times New Roman"/>
          <w:b/>
          <w:bCs/>
          <w:sz w:val="24"/>
          <w:szCs w:val="24"/>
        </w:rPr>
        <w:t>à garantir le paiement</w:t>
      </w:r>
      <w:r w:rsidRPr="004D31FA">
        <w:rPr>
          <w:rFonts w:ascii="Times New Roman" w:hAnsi="Times New Roman" w:cs="Times New Roman"/>
          <w:sz w:val="24"/>
          <w:szCs w:val="24"/>
        </w:rPr>
        <w:t xml:space="preserve"> ou </w:t>
      </w:r>
      <w:r w:rsidRPr="004D31FA">
        <w:rPr>
          <w:rFonts w:ascii="Times New Roman" w:hAnsi="Times New Roman" w:cs="Times New Roman"/>
          <w:b/>
          <w:bCs/>
          <w:sz w:val="24"/>
          <w:szCs w:val="24"/>
        </w:rPr>
        <w:t>le respect d’un contrat</w:t>
      </w:r>
      <w:r w:rsidRPr="004D31FA">
        <w:rPr>
          <w:rFonts w:ascii="Times New Roman" w:hAnsi="Times New Roman" w:cs="Times New Roman"/>
          <w:sz w:val="24"/>
          <w:szCs w:val="24"/>
        </w:rPr>
        <w:t xml:space="preserve"> au nom de son client. Autrement dit, elle joue le rôle de "garant". Ce mécanisme est très utilisé dans le commerce, la construction, et les marchés publics.</w:t>
      </w:r>
    </w:p>
    <w:p w14:paraId="5637D0E4"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Dans cet exposé, nous allons découvrir les fondements du crédit indirect, ses origines, ses différentes formes, son rôle économique, ainsi que ses avantages et ses limites.</w:t>
      </w:r>
    </w:p>
    <w:p w14:paraId="7272F45F" w14:textId="77777777" w:rsidR="004D31FA" w:rsidRPr="002C7341" w:rsidRDefault="004D31FA" w:rsidP="002C7341">
      <w:pPr>
        <w:spacing w:line="360" w:lineRule="auto"/>
        <w:jc w:val="both"/>
        <w:rPr>
          <w:rFonts w:ascii="Times New Roman" w:hAnsi="Times New Roman" w:cs="Times New Roman"/>
          <w:b/>
          <w:bCs/>
          <w:sz w:val="24"/>
          <w:szCs w:val="24"/>
        </w:rPr>
      </w:pPr>
    </w:p>
    <w:p w14:paraId="6F7B51B2" w14:textId="39A7B90D" w:rsidR="004D31FA" w:rsidRDefault="004D31FA" w:rsidP="002C7341">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Définition du crédit indirect</w:t>
      </w:r>
    </w:p>
    <w:p w14:paraId="1D92BA36" w14:textId="0F9756ED" w:rsidR="00F5691E" w:rsidRPr="00F5691E" w:rsidRDefault="00F5691E" w:rsidP="00F5691E">
      <w:pPr>
        <w:spacing w:line="360" w:lineRule="auto"/>
        <w:jc w:val="both"/>
        <w:rPr>
          <w:rFonts w:ascii="Times New Roman" w:hAnsi="Times New Roman" w:cs="Times New Roman"/>
          <w:sz w:val="24"/>
          <w:szCs w:val="24"/>
        </w:rPr>
      </w:pPr>
      <w:r w:rsidRPr="00F5691E">
        <w:rPr>
          <w:rFonts w:ascii="Times New Roman" w:hAnsi="Times New Roman" w:cs="Times New Roman"/>
          <w:sz w:val="24"/>
          <w:szCs w:val="24"/>
        </w:rPr>
        <w:t>Le crédit indirect est une opération par laquelle la banque s'engage auprès des différents tiers à satisfaire aux obligations contractées envers eux par certains de ses clients, au cas où ces derniers s'avèreraient défaillants</w:t>
      </w:r>
    </w:p>
    <w:p w14:paraId="7E9D87AA" w14:textId="77777777" w:rsidR="004D31FA" w:rsidRPr="002C7341" w:rsidRDefault="004D31FA" w:rsidP="002C7341">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Différence entre crédit direct et crédit indirect</w:t>
      </w:r>
    </w:p>
    <w:p w14:paraId="73FDA5B5" w14:textId="3AC178EA" w:rsidR="004D31FA" w:rsidRPr="004D31FA" w:rsidRDefault="009107BF" w:rsidP="002C7341">
      <w:pPr>
        <w:spacing w:line="360" w:lineRule="auto"/>
        <w:jc w:val="both"/>
        <w:rPr>
          <w:rFonts w:ascii="Times New Roman" w:hAnsi="Times New Roman" w:cs="Times New Roman"/>
          <w:sz w:val="24"/>
          <w:szCs w:val="24"/>
        </w:rPr>
      </w:pPr>
      <w:r w:rsidRPr="009107BF">
        <w:rPr>
          <w:rFonts w:ascii="Times New Roman" w:hAnsi="Times New Roman" w:cs="Times New Roman"/>
          <w:sz w:val="24"/>
          <w:szCs w:val="24"/>
        </w:rPr>
        <w:t xml:space="preserve">La différence entre le crédit direct et indirect </w:t>
      </w:r>
      <w:r w:rsidR="002B66F7" w:rsidRPr="009107BF">
        <w:rPr>
          <w:rFonts w:ascii="Times New Roman" w:hAnsi="Times New Roman" w:cs="Times New Roman"/>
          <w:sz w:val="24"/>
          <w:szCs w:val="24"/>
        </w:rPr>
        <w:t>réside</w:t>
      </w:r>
      <w:r w:rsidRPr="009107BF">
        <w:rPr>
          <w:rFonts w:ascii="Times New Roman" w:hAnsi="Times New Roman" w:cs="Times New Roman"/>
          <w:sz w:val="24"/>
          <w:szCs w:val="24"/>
        </w:rPr>
        <w:t xml:space="preserve"> dans la possibilité de décaissement à l'immédiat ou non par la banque si pour le </w:t>
      </w:r>
      <w:r w:rsidR="002B66F7" w:rsidRPr="009107BF">
        <w:rPr>
          <w:rFonts w:ascii="Times New Roman" w:hAnsi="Times New Roman" w:cs="Times New Roman"/>
          <w:sz w:val="24"/>
          <w:szCs w:val="24"/>
        </w:rPr>
        <w:t>crédit</w:t>
      </w:r>
      <w:r w:rsidRPr="009107BF">
        <w:rPr>
          <w:rFonts w:ascii="Times New Roman" w:hAnsi="Times New Roman" w:cs="Times New Roman"/>
          <w:sz w:val="24"/>
          <w:szCs w:val="24"/>
        </w:rPr>
        <w:t xml:space="preserve"> direct la </w:t>
      </w:r>
      <w:r w:rsidR="002B66F7" w:rsidRPr="009107BF">
        <w:rPr>
          <w:rFonts w:ascii="Times New Roman" w:hAnsi="Times New Roman" w:cs="Times New Roman"/>
          <w:sz w:val="24"/>
          <w:szCs w:val="24"/>
        </w:rPr>
        <w:t>banque</w:t>
      </w:r>
      <w:r w:rsidRPr="009107BF">
        <w:rPr>
          <w:rFonts w:ascii="Times New Roman" w:hAnsi="Times New Roman" w:cs="Times New Roman"/>
          <w:sz w:val="24"/>
          <w:szCs w:val="24"/>
        </w:rPr>
        <w:t xml:space="preserve"> avance </w:t>
      </w:r>
      <w:r w:rsidR="002B66F7" w:rsidRPr="009107BF">
        <w:rPr>
          <w:rFonts w:ascii="Times New Roman" w:hAnsi="Times New Roman" w:cs="Times New Roman"/>
          <w:sz w:val="24"/>
          <w:szCs w:val="24"/>
        </w:rPr>
        <w:t>séance</w:t>
      </w:r>
      <w:r w:rsidRPr="009107BF">
        <w:rPr>
          <w:rFonts w:ascii="Times New Roman" w:hAnsi="Times New Roman" w:cs="Times New Roman"/>
          <w:sz w:val="24"/>
          <w:szCs w:val="24"/>
        </w:rPr>
        <w:t xml:space="preserve"> tenante au tiers, pour le crédit direct qui est seulement un engagement par signature, la banque se porte juste garant du paiement des obligations contractés par ses clients. Ainsi elle ne s'</w:t>
      </w:r>
      <w:r w:rsidR="002B66F7" w:rsidRPr="009107BF">
        <w:rPr>
          <w:rFonts w:ascii="Times New Roman" w:hAnsi="Times New Roman" w:cs="Times New Roman"/>
          <w:sz w:val="24"/>
          <w:szCs w:val="24"/>
        </w:rPr>
        <w:t>exécutera</w:t>
      </w:r>
      <w:r w:rsidRPr="009107BF">
        <w:rPr>
          <w:rFonts w:ascii="Times New Roman" w:hAnsi="Times New Roman" w:cs="Times New Roman"/>
          <w:sz w:val="24"/>
          <w:szCs w:val="24"/>
        </w:rPr>
        <w:t xml:space="preserve"> que si le client est défaillant, </w:t>
      </w:r>
      <w:r w:rsidR="002B66F7" w:rsidRPr="009107BF">
        <w:rPr>
          <w:rFonts w:ascii="Times New Roman" w:hAnsi="Times New Roman" w:cs="Times New Roman"/>
          <w:sz w:val="24"/>
          <w:szCs w:val="24"/>
        </w:rPr>
        <w:t>en d’autres termes</w:t>
      </w:r>
      <w:r w:rsidRPr="009107BF">
        <w:rPr>
          <w:rFonts w:ascii="Times New Roman" w:hAnsi="Times New Roman" w:cs="Times New Roman"/>
          <w:sz w:val="24"/>
          <w:szCs w:val="24"/>
        </w:rPr>
        <w:t xml:space="preserve"> la banque se constitue en débiteur en </w:t>
      </w:r>
      <w:r w:rsidR="002B66F7" w:rsidRPr="009107BF">
        <w:rPr>
          <w:rFonts w:ascii="Times New Roman" w:hAnsi="Times New Roman" w:cs="Times New Roman"/>
          <w:sz w:val="24"/>
          <w:szCs w:val="24"/>
        </w:rPr>
        <w:t>dernier</w:t>
      </w:r>
      <w:r w:rsidRPr="009107BF">
        <w:rPr>
          <w:rFonts w:ascii="Times New Roman" w:hAnsi="Times New Roman" w:cs="Times New Roman"/>
          <w:sz w:val="24"/>
          <w:szCs w:val="24"/>
        </w:rPr>
        <w:t xml:space="preserve"> ressort par rapport au tiers</w:t>
      </w:r>
    </w:p>
    <w:p w14:paraId="49196D41" w14:textId="5E1F4937" w:rsidR="004D31FA" w:rsidRPr="002C7341" w:rsidRDefault="004D31FA" w:rsidP="002C7341">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Origine et conception</w:t>
      </w:r>
    </w:p>
    <w:p w14:paraId="6F812C1B"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Le crédit indirect est né de la nécessité de canaliser l'épargne vers les besoins de financement de l'économie, en particulier lorsque les marchés financiers ne sont pas suffisamment développés ou accessibles. Dans ce système, les banques jouent un rôle central en évaluant les risques, en assurant la transformation des échéances et en facilitant l'accès au crédit pour les emprunteurs.</w:t>
      </w:r>
    </w:p>
    <w:p w14:paraId="4985EB50" w14:textId="69A5EE11" w:rsidR="004D31FA" w:rsidRPr="004D31FA" w:rsidRDefault="004D31FA" w:rsidP="002C7341">
      <w:pPr>
        <w:spacing w:line="360" w:lineRule="auto"/>
        <w:jc w:val="both"/>
        <w:rPr>
          <w:rFonts w:ascii="Times New Roman" w:hAnsi="Times New Roman" w:cs="Times New Roman"/>
          <w:sz w:val="24"/>
          <w:szCs w:val="24"/>
        </w:rPr>
      </w:pPr>
    </w:p>
    <w:p w14:paraId="31A13E4B" w14:textId="548875DB" w:rsidR="004D31FA" w:rsidRPr="002C7341" w:rsidRDefault="004D31FA" w:rsidP="002C7341">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 xml:space="preserve">Fonctionnement et processus </w:t>
      </w:r>
    </w:p>
    <w:p w14:paraId="11DFA21C" w14:textId="77777777" w:rsidR="004D31FA" w:rsidRPr="004D31FA" w:rsidRDefault="004D31FA" w:rsidP="002C7341">
      <w:pPr>
        <w:numPr>
          <w:ilvl w:val="0"/>
          <w:numId w:val="1"/>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Collecte de l'épargne</w:t>
      </w:r>
      <w:r w:rsidRPr="004D31FA">
        <w:rPr>
          <w:rFonts w:ascii="Times New Roman" w:hAnsi="Times New Roman" w:cs="Times New Roman"/>
          <w:sz w:val="24"/>
          <w:szCs w:val="24"/>
        </w:rPr>
        <w:t xml:space="preserve"> : Les banques recueillent les dépôts des agents à capacité de financement.</w:t>
      </w:r>
    </w:p>
    <w:p w14:paraId="4B5ABE00" w14:textId="77777777" w:rsidR="004D31FA" w:rsidRPr="004D31FA" w:rsidRDefault="004D31FA" w:rsidP="002C7341">
      <w:pPr>
        <w:numPr>
          <w:ilvl w:val="0"/>
          <w:numId w:val="1"/>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Évaluation des demandes de crédit</w:t>
      </w:r>
      <w:r w:rsidRPr="004D31FA">
        <w:rPr>
          <w:rFonts w:ascii="Times New Roman" w:hAnsi="Times New Roman" w:cs="Times New Roman"/>
          <w:sz w:val="24"/>
          <w:szCs w:val="24"/>
        </w:rPr>
        <w:t xml:space="preserve"> : Les banques analysent la solvabilité des emprunteurs potentiels.</w:t>
      </w:r>
    </w:p>
    <w:p w14:paraId="7337D7D2" w14:textId="6538BF1D" w:rsidR="004D31FA" w:rsidRPr="004D31FA" w:rsidRDefault="004D31FA" w:rsidP="002C7341">
      <w:pPr>
        <w:numPr>
          <w:ilvl w:val="0"/>
          <w:numId w:val="1"/>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Octroi de crédits</w:t>
      </w:r>
      <w:r w:rsidRPr="004D31FA">
        <w:rPr>
          <w:rFonts w:ascii="Times New Roman" w:hAnsi="Times New Roman" w:cs="Times New Roman"/>
          <w:sz w:val="24"/>
          <w:szCs w:val="24"/>
        </w:rPr>
        <w:t xml:space="preserve"> : Après évaluation, les banques accordent des prêts aux agents </w:t>
      </w:r>
      <w:r w:rsidRPr="002C7341">
        <w:rPr>
          <w:rFonts w:ascii="Times New Roman" w:hAnsi="Times New Roman" w:cs="Times New Roman"/>
          <w:sz w:val="24"/>
          <w:szCs w:val="24"/>
        </w:rPr>
        <w:t>a</w:t>
      </w:r>
      <w:r w:rsidRPr="004D31FA">
        <w:rPr>
          <w:rFonts w:ascii="Times New Roman" w:hAnsi="Times New Roman" w:cs="Times New Roman"/>
          <w:sz w:val="24"/>
          <w:szCs w:val="24"/>
        </w:rPr>
        <w:t xml:space="preserve"> besoin de financement.</w:t>
      </w:r>
    </w:p>
    <w:p w14:paraId="405F7A9E" w14:textId="77777777" w:rsidR="004D31FA" w:rsidRPr="004D31FA" w:rsidRDefault="004D31FA" w:rsidP="002C7341">
      <w:pPr>
        <w:numPr>
          <w:ilvl w:val="0"/>
          <w:numId w:val="1"/>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Suivi et remboursement</w:t>
      </w:r>
      <w:r w:rsidRPr="004D31FA">
        <w:rPr>
          <w:rFonts w:ascii="Times New Roman" w:hAnsi="Times New Roman" w:cs="Times New Roman"/>
          <w:sz w:val="24"/>
          <w:szCs w:val="24"/>
        </w:rPr>
        <w:t xml:space="preserve"> : Les banques assurent le suivi des remboursements et gèrent les risques associés.</w:t>
      </w:r>
    </w:p>
    <w:p w14:paraId="29EFC575" w14:textId="77777777" w:rsidR="004D31FA" w:rsidRPr="002C7341"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Ce processus permet aux banques de transformer des ressources à court terme (dépôts) en financements à moyen ou long terme (prêts), tout en assumant les risques de non-remboursement.</w:t>
      </w:r>
    </w:p>
    <w:p w14:paraId="68B9DD45" w14:textId="77777777" w:rsidR="002C7341" w:rsidRPr="002C7341" w:rsidRDefault="002C7341" w:rsidP="002C7341">
      <w:pPr>
        <w:spacing w:line="360" w:lineRule="auto"/>
        <w:jc w:val="both"/>
        <w:rPr>
          <w:rFonts w:ascii="Times New Roman" w:hAnsi="Times New Roman" w:cs="Times New Roman"/>
          <w:sz w:val="24"/>
          <w:szCs w:val="24"/>
        </w:rPr>
      </w:pPr>
    </w:p>
    <w:p w14:paraId="2A718794" w14:textId="77777777" w:rsidR="002C7341" w:rsidRPr="002C7341" w:rsidRDefault="002C7341" w:rsidP="002C7341">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Rôle du crédit indirect</w:t>
      </w:r>
    </w:p>
    <w:p w14:paraId="606B106E" w14:textId="77777777" w:rsidR="002C7341" w:rsidRPr="002C7341" w:rsidRDefault="002C7341" w:rsidP="002C7341">
      <w:p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1. Canalisation de l'épargne vers l'investissement</w:t>
      </w:r>
    </w:p>
    <w:p w14:paraId="066239BC" w14:textId="0D0FFFEB" w:rsidR="002C7341" w:rsidRPr="002C7341" w:rsidRDefault="002C7341" w:rsidP="002C7341">
      <w:pPr>
        <w:spacing w:line="360" w:lineRule="auto"/>
        <w:jc w:val="both"/>
        <w:rPr>
          <w:rFonts w:ascii="Times New Roman" w:hAnsi="Times New Roman" w:cs="Times New Roman"/>
          <w:sz w:val="24"/>
          <w:szCs w:val="24"/>
        </w:rPr>
      </w:pPr>
      <w:r w:rsidRPr="002C7341">
        <w:rPr>
          <w:rFonts w:ascii="Times New Roman" w:hAnsi="Times New Roman" w:cs="Times New Roman"/>
          <w:sz w:val="24"/>
          <w:szCs w:val="24"/>
        </w:rPr>
        <w:t xml:space="preserve">Le crédit indirect permet aux institutions financières, principalement les banques, de collecter l'épargne des agents à capacité de financement (comme les ménages) et de la redistribuer sous forme de prêts aux agents </w:t>
      </w:r>
      <w:r w:rsidR="00914DB4" w:rsidRPr="002C7341">
        <w:rPr>
          <w:rFonts w:ascii="Times New Roman" w:hAnsi="Times New Roman" w:cs="Times New Roman"/>
          <w:sz w:val="24"/>
          <w:szCs w:val="24"/>
        </w:rPr>
        <w:t>a</w:t>
      </w:r>
      <w:r w:rsidRPr="002C7341">
        <w:rPr>
          <w:rFonts w:ascii="Times New Roman" w:hAnsi="Times New Roman" w:cs="Times New Roman"/>
          <w:sz w:val="24"/>
          <w:szCs w:val="24"/>
        </w:rPr>
        <w:t xml:space="preserve"> besoin de financement (comme les entreprises). Ce mécanisme facilite la mobilisation de l'épargne nationale pour financer des projets d'investissement, stimulant ainsi l'activité économique.​</w:t>
      </w:r>
    </w:p>
    <w:p w14:paraId="014D98BF" w14:textId="77777777" w:rsidR="002C7341" w:rsidRPr="002C7341" w:rsidRDefault="002C7341" w:rsidP="002C7341">
      <w:p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2. Réduction des asymétries d'information</w:t>
      </w:r>
    </w:p>
    <w:p w14:paraId="18E99AC0" w14:textId="77777777" w:rsidR="002C7341" w:rsidRPr="002C7341" w:rsidRDefault="002C7341" w:rsidP="002C7341">
      <w:pPr>
        <w:spacing w:line="360" w:lineRule="auto"/>
        <w:jc w:val="both"/>
        <w:rPr>
          <w:rFonts w:ascii="Times New Roman" w:hAnsi="Times New Roman" w:cs="Times New Roman"/>
          <w:sz w:val="24"/>
          <w:szCs w:val="24"/>
        </w:rPr>
      </w:pPr>
      <w:r w:rsidRPr="002C7341">
        <w:rPr>
          <w:rFonts w:ascii="Times New Roman" w:hAnsi="Times New Roman" w:cs="Times New Roman"/>
          <w:sz w:val="24"/>
          <w:szCs w:val="24"/>
        </w:rPr>
        <w:t>Les banques jouent un rôle crucial dans l'évaluation de la solvabilité des emprunteurs, réduisant ainsi les risques liés à l'information imparfaite entre prêteurs et emprunteurs. Elles assurent une allocation efficace des ressources en sélectionnant les projets les plus viables.​</w:t>
      </w:r>
    </w:p>
    <w:p w14:paraId="54E2768A" w14:textId="77777777" w:rsidR="002C7341" w:rsidRPr="002C7341" w:rsidRDefault="002C7341" w:rsidP="002C7341">
      <w:p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3. Stabilisation économique</w:t>
      </w:r>
    </w:p>
    <w:p w14:paraId="0EEA79B8" w14:textId="77777777" w:rsidR="002C7341" w:rsidRPr="002C7341" w:rsidRDefault="002C7341" w:rsidP="002C7341">
      <w:pPr>
        <w:spacing w:line="360" w:lineRule="auto"/>
        <w:jc w:val="both"/>
        <w:rPr>
          <w:rFonts w:ascii="Times New Roman" w:hAnsi="Times New Roman" w:cs="Times New Roman"/>
          <w:sz w:val="24"/>
          <w:szCs w:val="24"/>
        </w:rPr>
      </w:pPr>
      <w:r w:rsidRPr="002C7341">
        <w:rPr>
          <w:rFonts w:ascii="Times New Roman" w:hAnsi="Times New Roman" w:cs="Times New Roman"/>
          <w:sz w:val="24"/>
          <w:szCs w:val="24"/>
        </w:rPr>
        <w:t>En régulant l'accès au crédit et en surveillant les remboursements, les institutions financières contribuent à la stabilité du système économique. Elles peuvent ajuster les conditions de crédit en fonction des cycles économiques, atténuant ainsi les fluctuations économiques.​</w:t>
      </w:r>
    </w:p>
    <w:p w14:paraId="544C4117" w14:textId="77777777" w:rsidR="002C7341" w:rsidRPr="002C7341" w:rsidRDefault="002C7341" w:rsidP="002C7341">
      <w:p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4. Soutien aux petites et moyennes entreprises (PME)</w:t>
      </w:r>
    </w:p>
    <w:p w14:paraId="54D683D6" w14:textId="0906700F" w:rsidR="002C7341" w:rsidRPr="002C7341" w:rsidRDefault="002C7341" w:rsidP="002C7341">
      <w:pPr>
        <w:spacing w:line="360" w:lineRule="auto"/>
        <w:jc w:val="both"/>
        <w:rPr>
          <w:rFonts w:ascii="Times New Roman" w:hAnsi="Times New Roman" w:cs="Times New Roman"/>
          <w:sz w:val="24"/>
          <w:szCs w:val="24"/>
        </w:rPr>
      </w:pPr>
      <w:r w:rsidRPr="002C7341">
        <w:rPr>
          <w:rFonts w:ascii="Times New Roman" w:hAnsi="Times New Roman" w:cs="Times New Roman"/>
          <w:sz w:val="24"/>
          <w:szCs w:val="24"/>
        </w:rPr>
        <w:t>Le crédit indirect est particulièrement important pour les PME qui n'ont pas un accès direct aux marchés financiers. Les banques leur fournissent les financements nécessaires pour leur développement et leur croissance.​</w:t>
      </w:r>
    </w:p>
    <w:p w14:paraId="448C93D1" w14:textId="4D7B386D" w:rsidR="002C7341" w:rsidRPr="002C7341" w:rsidRDefault="002C7341" w:rsidP="002C7341">
      <w:p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Cas du Sénégal</w:t>
      </w:r>
    </w:p>
    <w:p w14:paraId="600F820E" w14:textId="77777777" w:rsidR="002C7341" w:rsidRPr="002C7341" w:rsidRDefault="002C7341" w:rsidP="002C7341">
      <w:pPr>
        <w:spacing w:line="360" w:lineRule="auto"/>
        <w:jc w:val="both"/>
        <w:rPr>
          <w:rFonts w:ascii="Times New Roman" w:hAnsi="Times New Roman" w:cs="Times New Roman"/>
          <w:sz w:val="24"/>
          <w:szCs w:val="24"/>
        </w:rPr>
      </w:pPr>
      <w:r w:rsidRPr="002C7341">
        <w:rPr>
          <w:rFonts w:ascii="Times New Roman" w:hAnsi="Times New Roman" w:cs="Times New Roman"/>
          <w:sz w:val="24"/>
          <w:szCs w:val="24"/>
        </w:rPr>
        <w:t>Au Sénégal, le crédit indirect est un pilier du financement de l'économie. Les banques et les institutions de microfinance jouent un rôle central dans l'octroi de crédits aux ménages et aux entreprises. Par exemple, les institutions de microfinance ont permis à de nombreuses petites entreprises d'accéder à des financements, favorisant ainsi l'entrepreneuriat et la création d'emplois.​</w:t>
      </w:r>
    </w:p>
    <w:p w14:paraId="4DFD37B7" w14:textId="77777777" w:rsidR="002C7341" w:rsidRPr="002C7341" w:rsidRDefault="002C7341" w:rsidP="002C7341">
      <w:pPr>
        <w:spacing w:line="360" w:lineRule="auto"/>
        <w:jc w:val="both"/>
        <w:rPr>
          <w:rFonts w:ascii="Times New Roman" w:hAnsi="Times New Roman" w:cs="Times New Roman"/>
          <w:sz w:val="24"/>
          <w:szCs w:val="24"/>
        </w:rPr>
      </w:pPr>
      <w:r w:rsidRPr="002C7341">
        <w:rPr>
          <w:rFonts w:ascii="Times New Roman" w:hAnsi="Times New Roman" w:cs="Times New Roman"/>
          <w:sz w:val="24"/>
          <w:szCs w:val="24"/>
        </w:rPr>
        <w:t>Cependant, des défis subsistent, notamment en ce qui concerne l'accès au crédit pour les populations rurales et les secteurs informels. Des initiatives sont en cours pour renforcer l'inclusion financière et améliorer la portée du crédit indirect dans l'ensemble du pays.​</w:t>
      </w:r>
    </w:p>
    <w:p w14:paraId="6E76ECF9" w14:textId="1554FAB7" w:rsidR="004D31FA" w:rsidRPr="004D31FA" w:rsidRDefault="004D31FA" w:rsidP="002C7341">
      <w:pPr>
        <w:spacing w:line="360" w:lineRule="auto"/>
        <w:jc w:val="both"/>
        <w:rPr>
          <w:rFonts w:ascii="Times New Roman" w:hAnsi="Times New Roman" w:cs="Times New Roman"/>
          <w:sz w:val="24"/>
          <w:szCs w:val="24"/>
        </w:rPr>
      </w:pPr>
    </w:p>
    <w:p w14:paraId="40910AE9" w14:textId="384A3E35" w:rsidR="00904998" w:rsidRDefault="00A94F72" w:rsidP="00904998">
      <w:pPr>
        <w:pStyle w:val="Paragraphedeliste"/>
        <w:numPr>
          <w:ilvl w:val="0"/>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Les </w:t>
      </w:r>
      <w:r w:rsidR="004D31FA" w:rsidRPr="00A95AAA">
        <w:rPr>
          <w:rFonts w:ascii="Times New Roman" w:hAnsi="Times New Roman" w:cs="Times New Roman"/>
          <w:b/>
          <w:bCs/>
          <w:sz w:val="24"/>
          <w:szCs w:val="24"/>
        </w:rPr>
        <w:t>risques liés au crédit indirect</w:t>
      </w:r>
    </w:p>
    <w:p w14:paraId="495E3395" w14:textId="43F05771" w:rsidR="00904998" w:rsidRPr="00904998" w:rsidRDefault="00904998" w:rsidP="00904998">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Même si le crédit indirect ne nécessite pas de décaissement immédiat, il n’est pas sans danger pour la banque.</w:t>
      </w:r>
    </w:p>
    <w:p w14:paraId="308C2F29" w14:textId="77777777" w:rsidR="004D31FA" w:rsidRPr="004D31FA" w:rsidRDefault="004D31FA" w:rsidP="002C7341">
      <w:pPr>
        <w:numPr>
          <w:ilvl w:val="0"/>
          <w:numId w:val="3"/>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Risque de crédit</w:t>
      </w:r>
      <w:r w:rsidRPr="004D31FA">
        <w:rPr>
          <w:rFonts w:ascii="Times New Roman" w:hAnsi="Times New Roman" w:cs="Times New Roman"/>
          <w:sz w:val="24"/>
          <w:szCs w:val="24"/>
        </w:rPr>
        <w:t xml:space="preserve"> : Il s'agit du risque que l'emprunteur ne rembourse pas le prêt accordé. Par exemple, si une entreprise fait faillite après avoir obtenu un crédit, la banque prêteuse peut subir une perte financière. (</w:t>
      </w:r>
      <w:hyperlink r:id="rId8" w:history="1">
        <w:r w:rsidRPr="004D31FA">
          <w:rPr>
            <w:rStyle w:val="Lienhypertexte"/>
            <w:rFonts w:ascii="Times New Roman" w:hAnsi="Times New Roman" w:cs="Times New Roman"/>
            <w:sz w:val="24"/>
            <w:szCs w:val="24"/>
          </w:rPr>
          <w:t>Chapitre 10. Financement indirect et financement direct - STMG AG</w:t>
        </w:r>
      </w:hyperlink>
      <w:r w:rsidRPr="004D31FA">
        <w:rPr>
          <w:rFonts w:ascii="Times New Roman" w:hAnsi="Times New Roman" w:cs="Times New Roman"/>
          <w:sz w:val="24"/>
          <w:szCs w:val="24"/>
        </w:rPr>
        <w:t>)</w:t>
      </w:r>
    </w:p>
    <w:p w14:paraId="0CF9FA36" w14:textId="77777777" w:rsidR="004D31FA" w:rsidRPr="004D31FA" w:rsidRDefault="004D31FA" w:rsidP="002C7341">
      <w:pPr>
        <w:numPr>
          <w:ilvl w:val="0"/>
          <w:numId w:val="3"/>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Risque de liquidité</w:t>
      </w:r>
      <w:r w:rsidRPr="004D31FA">
        <w:rPr>
          <w:rFonts w:ascii="Times New Roman" w:hAnsi="Times New Roman" w:cs="Times New Roman"/>
          <w:sz w:val="24"/>
          <w:szCs w:val="24"/>
        </w:rPr>
        <w:t xml:space="preserve"> : Ce risque survient lorsque la banque prête des fonds à long terme (par exemple, sur 5 ans), mais que les déposants réclament leurs dépôts à court terme. Si la banque ne peut pas répondre à ces demandes, elle fait face à un risque de liquidité. (</w:t>
      </w:r>
      <w:hyperlink r:id="rId9" w:history="1">
        <w:r w:rsidRPr="004D31FA">
          <w:rPr>
            <w:rStyle w:val="Lienhypertexte"/>
            <w:rFonts w:ascii="Times New Roman" w:hAnsi="Times New Roman" w:cs="Times New Roman"/>
            <w:sz w:val="24"/>
            <w:szCs w:val="24"/>
          </w:rPr>
          <w:t>Chapitre 10. Financement indirect et financement direct - STMG AG</w:t>
        </w:r>
      </w:hyperlink>
      <w:r w:rsidRPr="004D31FA">
        <w:rPr>
          <w:rFonts w:ascii="Times New Roman" w:hAnsi="Times New Roman" w:cs="Times New Roman"/>
          <w:sz w:val="24"/>
          <w:szCs w:val="24"/>
        </w:rPr>
        <w:t>)</w:t>
      </w:r>
    </w:p>
    <w:p w14:paraId="6D009393" w14:textId="77777777" w:rsidR="004D31FA" w:rsidRDefault="004D31FA" w:rsidP="002C7341">
      <w:pPr>
        <w:numPr>
          <w:ilvl w:val="0"/>
          <w:numId w:val="3"/>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Risque opérationnel</w:t>
      </w:r>
      <w:r w:rsidRPr="004D31FA">
        <w:rPr>
          <w:rFonts w:ascii="Times New Roman" w:hAnsi="Times New Roman" w:cs="Times New Roman"/>
          <w:sz w:val="24"/>
          <w:szCs w:val="24"/>
        </w:rPr>
        <w:t xml:space="preserve"> : Des erreurs humaines, des défaillances de système ou des fraudes peuvent entraîner des pertes pour la banque. Par exemple, une mauvaise évaluation de la solvabilité d'un emprunteur peut conduire à l'octroi d'un crédit non remboursé.</w:t>
      </w:r>
    </w:p>
    <w:p w14:paraId="4B49613E" w14:textId="77777777" w:rsidR="00CA053B" w:rsidRPr="002C7341" w:rsidRDefault="00CA053B" w:rsidP="00CA053B">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Types de crédit indirect</w:t>
      </w:r>
    </w:p>
    <w:p w14:paraId="59246E66" w14:textId="77777777" w:rsidR="00CA053B" w:rsidRDefault="00CA053B" w:rsidP="00CA053B">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Le crédit indirect peut prendre plusieurs formes, notamment :</w:t>
      </w:r>
    </w:p>
    <w:p w14:paraId="1885A0DF" w14:textId="77378885" w:rsidR="00CA053B" w:rsidRPr="004361F5" w:rsidRDefault="00CA053B" w:rsidP="00CA053B">
      <w:pPr>
        <w:pStyle w:val="Paragraphedeliste"/>
        <w:numPr>
          <w:ilvl w:val="0"/>
          <w:numId w:val="11"/>
        </w:numPr>
        <w:spacing w:line="360" w:lineRule="auto"/>
        <w:jc w:val="both"/>
        <w:rPr>
          <w:rFonts w:ascii="Times New Roman" w:hAnsi="Times New Roman" w:cs="Times New Roman"/>
          <w:b/>
          <w:bCs/>
          <w:sz w:val="24"/>
          <w:szCs w:val="24"/>
        </w:rPr>
      </w:pPr>
      <w:r w:rsidRPr="00DB27B7">
        <w:rPr>
          <w:rFonts w:ascii="Times New Roman" w:hAnsi="Times New Roman" w:cs="Times New Roman"/>
          <w:b/>
          <w:bCs/>
          <w:sz w:val="24"/>
          <w:szCs w:val="24"/>
        </w:rPr>
        <w:t>Garantie bancaire</w:t>
      </w:r>
    </w:p>
    <w:p w14:paraId="59794DB2" w14:textId="77777777" w:rsidR="00CA053B" w:rsidRPr="00904998" w:rsidRDefault="00CA053B" w:rsidP="00CA053B">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La garantie bancaire est l’un des instruments les plus connus du crédit indirect. Dans ce mécanisme, la banque s’engage à verser une somme d’argent au bénéficiaire si son client ne respecte pas ses engagements contractuels. Cela peut concerner un fournisseur, un État ou une administration dans le cadre d’un marché public. Cette garantie rassure le bénéficiaire, qui est ainsi protégé contre les risques de non-exécution ou de non-paiement.</w:t>
      </w:r>
    </w:p>
    <w:p w14:paraId="1DA698D5" w14:textId="77777777" w:rsidR="00CA053B" w:rsidRPr="00904998" w:rsidRDefault="00CA053B" w:rsidP="00CA053B">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Il existe plusieurs types de garanties bancaires. La garantie de soumission prouve que l’entreprise qui répond à un appel d’offres est sérieuse et qu’elle respecte les conditions imposées. La garantie de bonne exécution assure que le prestataire réalisera bien les travaux ou les prestations convenues, selon les délais et les normes. Enfin, la garantie de remboursement d’acompte protège l’acheteur si le vendeur ne livre pas la marchandise après avoir reçu un paiement an</w:t>
      </w:r>
      <w:r>
        <w:rPr>
          <w:rFonts w:ascii="Times New Roman" w:hAnsi="Times New Roman" w:cs="Times New Roman"/>
          <w:sz w:val="24"/>
          <w:szCs w:val="24"/>
        </w:rPr>
        <w:t>t</w:t>
      </w:r>
      <w:r w:rsidRPr="00904998">
        <w:rPr>
          <w:rFonts w:ascii="Times New Roman" w:hAnsi="Times New Roman" w:cs="Times New Roman"/>
          <w:sz w:val="24"/>
          <w:szCs w:val="24"/>
        </w:rPr>
        <w:t>icipé.</w:t>
      </w:r>
    </w:p>
    <w:p w14:paraId="1B41DDD3" w14:textId="77777777" w:rsidR="00CA053B" w:rsidRPr="00904998" w:rsidRDefault="00CA053B" w:rsidP="00CA053B">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Ces garanties sont très utilisées dans les marchés publics, les appels d’offres internationaux, mais aussi dans les contrats privés de grande envergure.</w:t>
      </w:r>
    </w:p>
    <w:p w14:paraId="48E7B534" w14:textId="77777777" w:rsidR="00CA053B" w:rsidRPr="00DB27B7" w:rsidRDefault="00CA053B" w:rsidP="00CA053B">
      <w:pPr>
        <w:spacing w:line="360" w:lineRule="auto"/>
        <w:jc w:val="both"/>
        <w:rPr>
          <w:rFonts w:ascii="Times New Roman" w:hAnsi="Times New Roman" w:cs="Times New Roman"/>
          <w:b/>
          <w:bCs/>
          <w:sz w:val="24"/>
          <w:szCs w:val="24"/>
        </w:rPr>
      </w:pPr>
    </w:p>
    <w:p w14:paraId="73B54930" w14:textId="77777777" w:rsidR="004361F5" w:rsidRDefault="00CA053B" w:rsidP="00CA053B">
      <w:pPr>
        <w:pStyle w:val="Paragraphedeliste"/>
        <w:numPr>
          <w:ilvl w:val="0"/>
          <w:numId w:val="11"/>
        </w:numPr>
        <w:spacing w:line="360" w:lineRule="auto"/>
        <w:jc w:val="both"/>
        <w:rPr>
          <w:rFonts w:ascii="Times New Roman" w:hAnsi="Times New Roman" w:cs="Times New Roman"/>
          <w:b/>
          <w:bCs/>
          <w:sz w:val="24"/>
          <w:szCs w:val="24"/>
        </w:rPr>
      </w:pPr>
      <w:r w:rsidRPr="00DB27B7">
        <w:rPr>
          <w:rFonts w:ascii="Times New Roman" w:hAnsi="Times New Roman" w:cs="Times New Roman"/>
          <w:b/>
          <w:bCs/>
          <w:sz w:val="24"/>
          <w:szCs w:val="24"/>
        </w:rPr>
        <w:t>Lettre de crédit / Crédit documentaire</w:t>
      </w:r>
    </w:p>
    <w:p w14:paraId="5B8BA8BC" w14:textId="343516B7" w:rsidR="00CA053B" w:rsidRPr="004361F5" w:rsidRDefault="00CA053B" w:rsidP="004361F5">
      <w:pPr>
        <w:spacing w:line="360" w:lineRule="auto"/>
        <w:jc w:val="both"/>
        <w:rPr>
          <w:rFonts w:ascii="Times New Roman" w:hAnsi="Times New Roman" w:cs="Times New Roman"/>
          <w:b/>
          <w:bCs/>
          <w:sz w:val="24"/>
          <w:szCs w:val="24"/>
        </w:rPr>
      </w:pPr>
      <w:r w:rsidRPr="004361F5">
        <w:rPr>
          <w:rFonts w:ascii="Times New Roman" w:hAnsi="Times New Roman" w:cs="Times New Roman"/>
          <w:sz w:val="24"/>
          <w:szCs w:val="24"/>
        </w:rPr>
        <w:t>Le crédit documentaire, aussi appelé lettre de crédit, est une solution utilisée dans le commerce international. Elle permet de sécuriser les échanges entre deux entreprises situées dans des pays différents, où la confiance mutuelle peut être limitée. Dans ce cas, la banque de l’acheteur s’engage à payer le vendeur, à condition que celui-ci fournisse les documents contractuellement exigés (facture, bon de livraison, certificat d’origine, etc.).</w:t>
      </w:r>
    </w:p>
    <w:p w14:paraId="17D511E3" w14:textId="77777777" w:rsidR="00CA053B" w:rsidRPr="00904998" w:rsidRDefault="00CA053B" w:rsidP="00CA053B">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Cela garantit que le vendeur sera payé uniquement si toutes les conditions sont respectées, tout en assurant à l’acheteur que les marchandises seront bien expédiées. Ce mécanisme limite les risques liés à la distance, aux différences juridiques ou à l’instabilité politique. Par exemple, un importateur sénégalais de riz peut utiliser une lettre de crédit pour payer un exportateur thaïlandais, en étant certain que le paiement ne sera effectué que si les conditions sont remplies.</w:t>
      </w:r>
    </w:p>
    <w:p w14:paraId="641BDFEB" w14:textId="77777777" w:rsidR="00CA053B" w:rsidRPr="00904998" w:rsidRDefault="00CA053B" w:rsidP="00CA053B">
      <w:pPr>
        <w:spacing w:line="360" w:lineRule="auto"/>
        <w:jc w:val="both"/>
        <w:rPr>
          <w:rFonts w:ascii="Times New Roman" w:hAnsi="Times New Roman" w:cs="Times New Roman"/>
          <w:sz w:val="24"/>
          <w:szCs w:val="24"/>
        </w:rPr>
      </w:pPr>
    </w:p>
    <w:p w14:paraId="1C6A2BE4" w14:textId="77777777" w:rsidR="00CA053B" w:rsidRPr="00DB27B7" w:rsidRDefault="00CA053B" w:rsidP="00CA053B">
      <w:pPr>
        <w:pStyle w:val="Paragraphedeliste"/>
        <w:numPr>
          <w:ilvl w:val="0"/>
          <w:numId w:val="11"/>
        </w:numPr>
        <w:spacing w:line="360" w:lineRule="auto"/>
        <w:jc w:val="both"/>
        <w:rPr>
          <w:rFonts w:ascii="Times New Roman" w:hAnsi="Times New Roman" w:cs="Times New Roman"/>
          <w:b/>
          <w:bCs/>
          <w:sz w:val="24"/>
          <w:szCs w:val="24"/>
        </w:rPr>
      </w:pPr>
      <w:r w:rsidRPr="00DB27B7">
        <w:rPr>
          <w:rFonts w:ascii="Times New Roman" w:hAnsi="Times New Roman" w:cs="Times New Roman"/>
          <w:b/>
          <w:bCs/>
          <w:sz w:val="24"/>
          <w:szCs w:val="24"/>
        </w:rPr>
        <w:t>Aval bancaire</w:t>
      </w:r>
    </w:p>
    <w:p w14:paraId="3022846C" w14:textId="77777777" w:rsidR="00CA053B" w:rsidRPr="00904998" w:rsidRDefault="00CA053B" w:rsidP="00CA053B">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L’aval bancaire est une forme de garantie donnée par une banque sur un effet de commerce, comme une traite ou un billet à ordre. En cas de défaut de paiement de la part du débiteur principal, c’est la banque qui s’engage à payer. Cela donne une grande sécurité au créancier, qui est ainsi assuré de recevoir les fonds, même en cas de défaillance du client.</w:t>
      </w:r>
    </w:p>
    <w:p w14:paraId="373EFEB9" w14:textId="77777777" w:rsidR="00CA053B" w:rsidRPr="004D31FA" w:rsidRDefault="00CA053B" w:rsidP="00CA053B">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L’aval est particulièrement utilisé dans les transactions commerciales où les paiements sont différés. Il peut aussi intervenir dans des montages financiers complexes. Par exemple, une entreprise peut vendre un produit à crédit, et demander à sa banque d’avaliser la traite signée par son client. Cela renforce sa position en cas de litige.</w:t>
      </w:r>
    </w:p>
    <w:p w14:paraId="0ED22991" w14:textId="77777777" w:rsidR="004979E7" w:rsidRPr="004D31FA" w:rsidRDefault="004979E7" w:rsidP="004979E7">
      <w:pPr>
        <w:spacing w:line="360" w:lineRule="auto"/>
        <w:jc w:val="both"/>
        <w:rPr>
          <w:rFonts w:ascii="Times New Roman" w:hAnsi="Times New Roman" w:cs="Times New Roman"/>
          <w:sz w:val="24"/>
          <w:szCs w:val="24"/>
        </w:rPr>
      </w:pPr>
    </w:p>
    <w:p w14:paraId="574414AD" w14:textId="08482FD8" w:rsidR="004D31FA" w:rsidRPr="002C7341" w:rsidRDefault="004D31FA" w:rsidP="002C7341">
      <w:pPr>
        <w:pStyle w:val="Paragraphedeliste"/>
        <w:numPr>
          <w:ilvl w:val="0"/>
          <w:numId w:val="6"/>
        </w:numPr>
        <w:spacing w:line="360" w:lineRule="auto"/>
        <w:jc w:val="both"/>
        <w:rPr>
          <w:rFonts w:ascii="Times New Roman" w:hAnsi="Times New Roman" w:cs="Times New Roman"/>
          <w:sz w:val="24"/>
          <w:szCs w:val="24"/>
        </w:rPr>
      </w:pPr>
      <w:r w:rsidRPr="002C7341">
        <w:rPr>
          <w:rFonts w:ascii="Times New Roman" w:hAnsi="Times New Roman" w:cs="Times New Roman"/>
          <w:b/>
          <w:bCs/>
          <w:sz w:val="24"/>
          <w:szCs w:val="24"/>
        </w:rPr>
        <w:t>Cadre juridique du crédit indirect au Sénégal</w:t>
      </w:r>
    </w:p>
    <w:p w14:paraId="69DA2330"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Au Sénégal, le crédit indirect est encadré par plusieurs textes législatifs et réglementaires, notamment :</w:t>
      </w:r>
    </w:p>
    <w:p w14:paraId="7084C951" w14:textId="5EF2630D" w:rsidR="004D31FA" w:rsidRPr="004D31FA" w:rsidRDefault="004D31FA" w:rsidP="002C7341">
      <w:pPr>
        <w:numPr>
          <w:ilvl w:val="0"/>
          <w:numId w:val="4"/>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Loi uniforme sur la réglementation bancaire</w:t>
      </w:r>
      <w:r w:rsidRPr="004D31FA">
        <w:rPr>
          <w:rFonts w:ascii="Times New Roman" w:hAnsi="Times New Roman" w:cs="Times New Roman"/>
          <w:sz w:val="24"/>
          <w:szCs w:val="24"/>
        </w:rPr>
        <w:t xml:space="preserve"> : Cette loi interdit aux banques d'accorder des crédits, directement ou indirectement, à des personnes impliquées dans leur direction ou administration au-delà d'un certain pourcentage de leurs fonds propres. (</w:t>
      </w:r>
      <w:hyperlink r:id="rId10" w:history="1">
        <w:r w:rsidRPr="004D31FA">
          <w:rPr>
            <w:rStyle w:val="Lienhypertexte"/>
            <w:rFonts w:ascii="Times New Roman" w:hAnsi="Times New Roman" w:cs="Times New Roman"/>
            <w:sz w:val="24"/>
            <w:szCs w:val="24"/>
          </w:rPr>
          <w:t xml:space="preserve">[PDF] loi-cadre portant </w:t>
        </w:r>
        <w:r w:rsidRPr="002C7341">
          <w:rPr>
            <w:rStyle w:val="Lienhypertexte"/>
            <w:rFonts w:ascii="Times New Roman" w:hAnsi="Times New Roman" w:cs="Times New Roman"/>
            <w:sz w:val="24"/>
            <w:szCs w:val="24"/>
          </w:rPr>
          <w:t>règlementation</w:t>
        </w:r>
        <w:r w:rsidRPr="004D31FA">
          <w:rPr>
            <w:rStyle w:val="Lienhypertexte"/>
            <w:rFonts w:ascii="Times New Roman" w:hAnsi="Times New Roman" w:cs="Times New Roman"/>
            <w:sz w:val="24"/>
            <w:szCs w:val="24"/>
          </w:rPr>
          <w:t xml:space="preserve"> bancaire - BCEAO</w:t>
        </w:r>
      </w:hyperlink>
      <w:r w:rsidRPr="004D31FA">
        <w:rPr>
          <w:rFonts w:ascii="Times New Roman" w:hAnsi="Times New Roman" w:cs="Times New Roman"/>
          <w:sz w:val="24"/>
          <w:szCs w:val="24"/>
        </w:rPr>
        <w:t>)</w:t>
      </w:r>
    </w:p>
    <w:p w14:paraId="312C234F" w14:textId="77777777" w:rsidR="004D31FA" w:rsidRPr="004D31FA" w:rsidRDefault="004D31FA" w:rsidP="002C7341">
      <w:pPr>
        <w:numPr>
          <w:ilvl w:val="0"/>
          <w:numId w:val="4"/>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Loi n°2014-02 du 06 janvier 2014</w:t>
      </w:r>
      <w:r w:rsidRPr="004D31FA">
        <w:rPr>
          <w:rFonts w:ascii="Times New Roman" w:hAnsi="Times New Roman" w:cs="Times New Roman"/>
          <w:sz w:val="24"/>
          <w:szCs w:val="24"/>
        </w:rPr>
        <w:t xml:space="preserve"> : Elle régit les Bureaux d'Information sur le Crédit (BIC) dans les États membres de l'Union Monétaire Ouest Africaine (UMOA), y compris le Sénégal. Ces bureaux collectent et diffusent des informations sur la solvabilité des emprunteurs, aidant ainsi les banques à évaluer les risques de crédit. (</w:t>
      </w:r>
      <w:hyperlink r:id="rId11" w:history="1">
        <w:r w:rsidRPr="004D31FA">
          <w:rPr>
            <w:rStyle w:val="Lienhypertexte"/>
            <w:rFonts w:ascii="Times New Roman" w:hAnsi="Times New Roman" w:cs="Times New Roman"/>
            <w:sz w:val="24"/>
            <w:szCs w:val="24"/>
          </w:rPr>
          <w:t>LE BUREAU D'INFORMATION SUR LE CREDIT - LinkedIn</w:t>
        </w:r>
      </w:hyperlink>
      <w:r w:rsidRPr="004D31FA">
        <w:rPr>
          <w:rFonts w:ascii="Times New Roman" w:hAnsi="Times New Roman" w:cs="Times New Roman"/>
          <w:sz w:val="24"/>
          <w:szCs w:val="24"/>
        </w:rPr>
        <w:t>)</w:t>
      </w:r>
    </w:p>
    <w:p w14:paraId="05536359" w14:textId="01CBF37A" w:rsidR="004D31FA" w:rsidRPr="004D31FA" w:rsidRDefault="004D31FA" w:rsidP="002C7341">
      <w:pPr>
        <w:numPr>
          <w:ilvl w:val="0"/>
          <w:numId w:val="4"/>
        </w:numPr>
        <w:spacing w:line="360" w:lineRule="auto"/>
        <w:jc w:val="both"/>
        <w:rPr>
          <w:rFonts w:ascii="Times New Roman" w:hAnsi="Times New Roman" w:cs="Times New Roman"/>
          <w:sz w:val="24"/>
          <w:szCs w:val="24"/>
        </w:rPr>
      </w:pPr>
      <w:r w:rsidRPr="004D31FA">
        <w:rPr>
          <w:rFonts w:ascii="Times New Roman" w:hAnsi="Times New Roman" w:cs="Times New Roman"/>
          <w:b/>
          <w:bCs/>
          <w:sz w:val="24"/>
          <w:szCs w:val="24"/>
        </w:rPr>
        <w:t>Supervision par la Commission Bancaire de l'UMOA</w:t>
      </w:r>
      <w:r w:rsidRPr="004D31FA">
        <w:rPr>
          <w:rFonts w:ascii="Times New Roman" w:hAnsi="Times New Roman" w:cs="Times New Roman"/>
          <w:sz w:val="24"/>
          <w:szCs w:val="24"/>
        </w:rPr>
        <w:t xml:space="preserve"> : Les établissements de crédit doivent se conformer aux décisions du Conseil des Ministres de l'UMOA, de la Banque Centrale et de la Commission Bancaire, qui fixent le cadre légal et réglementaire applicable à l'activité de crédit. (</w:t>
      </w:r>
      <w:hyperlink r:id="rId12" w:history="1">
        <w:r w:rsidRPr="004D31FA">
          <w:rPr>
            <w:rStyle w:val="Lienhypertexte"/>
            <w:rFonts w:ascii="Times New Roman" w:hAnsi="Times New Roman" w:cs="Times New Roman"/>
            <w:sz w:val="24"/>
            <w:szCs w:val="24"/>
          </w:rPr>
          <w:t>[PDF</w:t>
        </w:r>
        <w:r w:rsidRPr="002C7341">
          <w:rPr>
            <w:rStyle w:val="Lienhypertexte"/>
            <w:rFonts w:ascii="Times New Roman" w:hAnsi="Times New Roman" w:cs="Times New Roman"/>
            <w:sz w:val="24"/>
            <w:szCs w:val="24"/>
          </w:rPr>
          <w:t>].</w:t>
        </w:r>
        <w:r w:rsidRPr="004D31FA">
          <w:rPr>
            <w:rStyle w:val="Lienhypertexte"/>
            <w:rFonts w:ascii="Times New Roman" w:hAnsi="Times New Roman" w:cs="Times New Roman"/>
            <w:sz w:val="24"/>
            <w:szCs w:val="24"/>
          </w:rPr>
          <w:t xml:space="preserve"> République du Sénégal</w:t>
        </w:r>
      </w:hyperlink>
      <w:r w:rsidRPr="004D31FA">
        <w:rPr>
          <w:rFonts w:ascii="Times New Roman" w:hAnsi="Times New Roman" w:cs="Times New Roman"/>
          <w:sz w:val="24"/>
          <w:szCs w:val="24"/>
        </w:rPr>
        <w:t>)</w:t>
      </w:r>
    </w:p>
    <w:p w14:paraId="6B16F20B" w14:textId="4B943CAB" w:rsidR="004D31FA" w:rsidRDefault="00904998" w:rsidP="00904998">
      <w:pPr>
        <w:pStyle w:val="Paragraphedeliste"/>
        <w:numPr>
          <w:ilvl w:val="0"/>
          <w:numId w:val="6"/>
        </w:numPr>
        <w:spacing w:line="360" w:lineRule="auto"/>
        <w:jc w:val="both"/>
        <w:rPr>
          <w:rFonts w:ascii="Times New Roman" w:hAnsi="Times New Roman" w:cs="Times New Roman"/>
          <w:b/>
          <w:bCs/>
          <w:sz w:val="24"/>
          <w:szCs w:val="24"/>
        </w:rPr>
      </w:pPr>
      <w:r w:rsidRPr="00904998">
        <w:rPr>
          <w:rFonts w:ascii="Times New Roman" w:hAnsi="Times New Roman" w:cs="Times New Roman"/>
          <w:b/>
          <w:bCs/>
          <w:sz w:val="24"/>
          <w:szCs w:val="24"/>
        </w:rPr>
        <w:t>Avantages et inconvénients pour le client</w:t>
      </w:r>
    </w:p>
    <w:p w14:paraId="7311E0AF" w14:textId="4340C981" w:rsidR="00CD4F7C" w:rsidRPr="00CD4F7C" w:rsidRDefault="00CD4F7C" w:rsidP="00CD4F7C">
      <w:pPr>
        <w:pStyle w:val="Paragraphedeliste"/>
        <w:numPr>
          <w:ilvl w:val="0"/>
          <w:numId w:val="13"/>
        </w:numPr>
        <w:spacing w:line="360" w:lineRule="auto"/>
        <w:jc w:val="both"/>
        <w:rPr>
          <w:rFonts w:ascii="Times New Roman" w:hAnsi="Times New Roman" w:cs="Times New Roman"/>
          <w:b/>
          <w:bCs/>
          <w:sz w:val="24"/>
          <w:szCs w:val="24"/>
        </w:rPr>
      </w:pPr>
      <w:r w:rsidRPr="00CD4F7C">
        <w:rPr>
          <w:rFonts w:ascii="Times New Roman" w:hAnsi="Times New Roman" w:cs="Times New Roman"/>
          <w:b/>
          <w:bCs/>
          <w:sz w:val="24"/>
          <w:szCs w:val="24"/>
        </w:rPr>
        <w:t>Avantages</w:t>
      </w:r>
    </w:p>
    <w:p w14:paraId="2FF660AE" w14:textId="1DEEF3F6" w:rsidR="00904998" w:rsidRPr="00904998" w:rsidRDefault="00904998" w:rsidP="00904998">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Le crédit indirect offre plusieurs avantages importants pour les entreprises. Tout d’abord, il permet de renforcer la crédibilité du client face à ses partenaires commerciaux ou institutionnels. Grâce à une garantie bancaire, par exemple, une entreprise peut prouver son sérieux et son engagement, ce qui facilite l’accès aux marchés publics ou internationaux. Ensuite, le crédit indirect évite de mobiliser de la trésorerie : l’entreprise n’a pas besoin de verser une caution en argent, la banque le fait pour elle si nécessaire.</w:t>
      </w:r>
    </w:p>
    <w:p w14:paraId="19E7CD1C" w14:textId="77777777" w:rsidR="00904998" w:rsidRPr="00904998" w:rsidRDefault="00904998" w:rsidP="00904998">
      <w:pPr>
        <w:spacing w:line="360" w:lineRule="auto"/>
        <w:jc w:val="both"/>
        <w:rPr>
          <w:rFonts w:ascii="Times New Roman" w:hAnsi="Times New Roman" w:cs="Times New Roman"/>
          <w:sz w:val="24"/>
          <w:szCs w:val="24"/>
        </w:rPr>
      </w:pPr>
    </w:p>
    <w:p w14:paraId="6CB46550" w14:textId="77777777" w:rsidR="00904998" w:rsidRPr="00904998" w:rsidRDefault="00904998" w:rsidP="00904998">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Cela libère des ressources financières qui peuvent être utilisées pour d’autres projets. De plus, ces mécanismes peuvent ouvrir des portes à des marchés ou des contrats qui exigent des garanties spécifiques. C’est notamment le cas dans les appels d’offres publics, où la présentation d’une garantie de bonne exécution est souvent obligatoire. Enfin, l’entreprise peut aussi bénéficier d’une meilleure gestion des risques, car c’est la banque qui assume une partie de la responsabilité en cas de défaillance.</w:t>
      </w:r>
    </w:p>
    <w:p w14:paraId="5F9FAC77" w14:textId="77777777" w:rsidR="00904998" w:rsidRPr="00904998" w:rsidRDefault="00904998" w:rsidP="00904998">
      <w:pPr>
        <w:spacing w:line="360" w:lineRule="auto"/>
        <w:jc w:val="both"/>
        <w:rPr>
          <w:rFonts w:ascii="Times New Roman" w:hAnsi="Times New Roman" w:cs="Times New Roman"/>
          <w:sz w:val="24"/>
          <w:szCs w:val="24"/>
        </w:rPr>
      </w:pPr>
    </w:p>
    <w:p w14:paraId="0BA83B8F" w14:textId="05081F14" w:rsidR="00904998" w:rsidRPr="00CD4F7C" w:rsidRDefault="00904998" w:rsidP="00CD4F7C">
      <w:pPr>
        <w:pStyle w:val="Paragraphedeliste"/>
        <w:numPr>
          <w:ilvl w:val="0"/>
          <w:numId w:val="13"/>
        </w:numPr>
        <w:spacing w:line="360" w:lineRule="auto"/>
        <w:jc w:val="both"/>
        <w:rPr>
          <w:rFonts w:ascii="Times New Roman" w:hAnsi="Times New Roman" w:cs="Times New Roman"/>
          <w:b/>
          <w:bCs/>
          <w:sz w:val="24"/>
          <w:szCs w:val="24"/>
        </w:rPr>
      </w:pPr>
      <w:r w:rsidRPr="00CD4F7C">
        <w:rPr>
          <w:rFonts w:ascii="Times New Roman" w:hAnsi="Times New Roman" w:cs="Times New Roman"/>
          <w:b/>
          <w:bCs/>
          <w:sz w:val="24"/>
          <w:szCs w:val="24"/>
        </w:rPr>
        <w:t>Inconvénients</w:t>
      </w:r>
    </w:p>
    <w:p w14:paraId="500186C2" w14:textId="77777777" w:rsidR="00904998" w:rsidRPr="00904998" w:rsidRDefault="00904998" w:rsidP="00904998">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Malgré ses avantages, le crédit indirect comporte aussi des inconvénients pour le client. Le premier est son coût élevé. En plus des frais de dossier, la banque facture des commissions qui peuvent s’accumuler sur la durée du contrat. Parfois, une assurance est également exigée, ce qui alourdit encore la facture. Deuxièmement, l’entreprise devient dépendante des conditions imposées par la banque. Si celle-ci estime que le risque est trop grand, elle peut refuser de s’engager, ou exiger des garanties supplémentaires.</w:t>
      </w:r>
    </w:p>
    <w:p w14:paraId="659BA7F3" w14:textId="77777777" w:rsidR="00904998" w:rsidRPr="00904998" w:rsidRDefault="00904998" w:rsidP="00904998">
      <w:pPr>
        <w:spacing w:line="360" w:lineRule="auto"/>
        <w:jc w:val="both"/>
        <w:rPr>
          <w:rFonts w:ascii="Times New Roman" w:hAnsi="Times New Roman" w:cs="Times New Roman"/>
          <w:sz w:val="24"/>
          <w:szCs w:val="24"/>
        </w:rPr>
      </w:pPr>
    </w:p>
    <w:p w14:paraId="1F870F90" w14:textId="77777777" w:rsidR="00904998" w:rsidRPr="00904998" w:rsidRDefault="00904998" w:rsidP="00904998">
      <w:pPr>
        <w:spacing w:line="360" w:lineRule="auto"/>
        <w:jc w:val="both"/>
        <w:rPr>
          <w:rFonts w:ascii="Times New Roman" w:hAnsi="Times New Roman" w:cs="Times New Roman"/>
          <w:sz w:val="24"/>
          <w:szCs w:val="24"/>
        </w:rPr>
      </w:pPr>
      <w:r w:rsidRPr="00904998">
        <w:rPr>
          <w:rFonts w:ascii="Times New Roman" w:hAnsi="Times New Roman" w:cs="Times New Roman"/>
          <w:sz w:val="24"/>
          <w:szCs w:val="24"/>
        </w:rPr>
        <w:t>Un autre inconvénient est la complexité administrative. Obtenir une garantie bancaire, une lettre de crédit ou un aval nécessite souvent de fournir de nombreux documents (bilans financiers, contrats, attestations diverses) et de respecter des délais stricts. Cela peut ralentir certaines démarches et représenter une lourde charge de travail pour les petites structures. Enfin, si le client ne respecte pas ses obligations, la banque peut se retourner contre lui, ce qui peut dégrader la relation bancaire ou entacher sa réputation.</w:t>
      </w:r>
    </w:p>
    <w:p w14:paraId="7738658F" w14:textId="77777777" w:rsidR="00904998" w:rsidRPr="00904998" w:rsidRDefault="00904998" w:rsidP="00904998">
      <w:pPr>
        <w:spacing w:line="360" w:lineRule="auto"/>
        <w:jc w:val="both"/>
        <w:rPr>
          <w:rFonts w:ascii="Times New Roman" w:hAnsi="Times New Roman" w:cs="Times New Roman"/>
          <w:b/>
          <w:bCs/>
          <w:sz w:val="24"/>
          <w:szCs w:val="24"/>
        </w:rPr>
      </w:pPr>
    </w:p>
    <w:p w14:paraId="6A509059" w14:textId="372F2E4D" w:rsidR="004D31FA" w:rsidRPr="002C7341" w:rsidRDefault="004D31FA" w:rsidP="002C7341">
      <w:pPr>
        <w:pStyle w:val="Paragraphedeliste"/>
        <w:numPr>
          <w:ilvl w:val="0"/>
          <w:numId w:val="6"/>
        </w:numPr>
        <w:spacing w:line="360" w:lineRule="auto"/>
        <w:jc w:val="both"/>
        <w:rPr>
          <w:rFonts w:ascii="Times New Roman" w:hAnsi="Times New Roman" w:cs="Times New Roman"/>
          <w:b/>
          <w:bCs/>
          <w:sz w:val="24"/>
          <w:szCs w:val="24"/>
        </w:rPr>
      </w:pPr>
      <w:r w:rsidRPr="002C7341">
        <w:rPr>
          <w:rFonts w:ascii="Times New Roman" w:hAnsi="Times New Roman" w:cs="Times New Roman"/>
          <w:b/>
          <w:bCs/>
          <w:sz w:val="24"/>
          <w:szCs w:val="24"/>
        </w:rPr>
        <w:t>Impact économique du crédit indirect au Sénégal : cas de la microfinance</w:t>
      </w:r>
    </w:p>
    <w:p w14:paraId="2FBE8604"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La microfinance, forme de crédit indirect, joue un rôle significatif dans l'économie sénégalaise. Une étude portant sur la période 1980-2011 a révélé que, à court terme, l'encours de crédit des institutions de microfinance (IMF) avait une influence négative sur le taux de croissance du PIB. Cependant, à long terme, cet encours de crédit contribue positivement à la masse monétaire (M2) de l'année suivante, ce qui peut stimuler la croissance économique. (</w:t>
      </w:r>
      <w:hyperlink r:id="rId13" w:history="1">
        <w:r w:rsidRPr="004D31FA">
          <w:rPr>
            <w:rStyle w:val="Lienhypertexte"/>
            <w:rFonts w:ascii="Times New Roman" w:hAnsi="Times New Roman" w:cs="Times New Roman"/>
            <w:sz w:val="24"/>
            <w:szCs w:val="24"/>
          </w:rPr>
          <w:t>Impact de la microfinance sur la croissance économique au Sénégal</w:t>
        </w:r>
      </w:hyperlink>
      <w:r w:rsidRPr="004D31FA">
        <w:rPr>
          <w:rFonts w:ascii="Times New Roman" w:hAnsi="Times New Roman" w:cs="Times New Roman"/>
          <w:sz w:val="24"/>
          <w:szCs w:val="24"/>
        </w:rPr>
        <w:t xml:space="preserve">, </w:t>
      </w:r>
      <w:hyperlink r:id="rId14" w:history="1">
        <w:r w:rsidRPr="004D31FA">
          <w:rPr>
            <w:rStyle w:val="Lienhypertexte"/>
            <w:rFonts w:ascii="Times New Roman" w:hAnsi="Times New Roman" w:cs="Times New Roman"/>
            <w:sz w:val="24"/>
            <w:szCs w:val="24"/>
          </w:rPr>
          <w:t>Impact de la microfinance sur la croissance économique au Sénégal</w:t>
        </w:r>
      </w:hyperlink>
      <w:r w:rsidRPr="004D31FA">
        <w:rPr>
          <w:rFonts w:ascii="Times New Roman" w:hAnsi="Times New Roman" w:cs="Times New Roman"/>
          <w:sz w:val="24"/>
          <w:szCs w:val="24"/>
        </w:rPr>
        <w:t>)</w:t>
      </w:r>
    </w:p>
    <w:p w14:paraId="3B281F92" w14:textId="77777777" w:rsidR="004D31FA" w:rsidRPr="004D31FA" w:rsidRDefault="004D31FA" w:rsidP="002C7341">
      <w:pPr>
        <w:spacing w:line="360" w:lineRule="auto"/>
        <w:jc w:val="both"/>
        <w:rPr>
          <w:rFonts w:ascii="Times New Roman" w:hAnsi="Times New Roman" w:cs="Times New Roman"/>
          <w:sz w:val="24"/>
          <w:szCs w:val="24"/>
        </w:rPr>
      </w:pPr>
      <w:r w:rsidRPr="004D31FA">
        <w:rPr>
          <w:rFonts w:ascii="Times New Roman" w:hAnsi="Times New Roman" w:cs="Times New Roman"/>
          <w:sz w:val="24"/>
          <w:szCs w:val="24"/>
        </w:rPr>
        <w:t>Ce cas illustre l'importance du crédit indirect dans le développement économique du Sénégal, tout en soulignant la nécessité d'une gestion prudente des risques associés.</w:t>
      </w:r>
    </w:p>
    <w:p w14:paraId="0D4FEEE5" w14:textId="0DC0A678" w:rsidR="004D31FA" w:rsidRPr="004D31FA" w:rsidRDefault="004D31FA" w:rsidP="002C7341">
      <w:pPr>
        <w:spacing w:line="360" w:lineRule="auto"/>
        <w:jc w:val="both"/>
        <w:rPr>
          <w:rFonts w:ascii="Times New Roman" w:hAnsi="Times New Roman" w:cs="Times New Roman"/>
          <w:sz w:val="24"/>
          <w:szCs w:val="24"/>
        </w:rPr>
      </w:pPr>
    </w:p>
    <w:p w14:paraId="4E8C8C46" w14:textId="1655AAC5" w:rsidR="004D31FA" w:rsidRPr="007E72EB" w:rsidRDefault="004D31FA" w:rsidP="007E72EB">
      <w:pPr>
        <w:spacing w:line="360" w:lineRule="auto"/>
        <w:jc w:val="center"/>
        <w:rPr>
          <w:rFonts w:ascii="Times New Roman" w:hAnsi="Times New Roman" w:cs="Times New Roman"/>
          <w:b/>
          <w:bCs/>
          <w:sz w:val="24"/>
          <w:szCs w:val="24"/>
          <w:u w:val="single"/>
        </w:rPr>
      </w:pPr>
      <w:r w:rsidRPr="004D31FA">
        <w:rPr>
          <w:rFonts w:ascii="Times New Roman" w:hAnsi="Times New Roman" w:cs="Times New Roman"/>
          <w:b/>
          <w:bCs/>
          <w:sz w:val="24"/>
          <w:szCs w:val="24"/>
          <w:u w:val="single"/>
        </w:rPr>
        <w:t>Conclusion</w:t>
      </w:r>
    </w:p>
    <w:p w14:paraId="0B97427A" w14:textId="77777777" w:rsidR="007E72EB" w:rsidRPr="007E72EB" w:rsidRDefault="007E72EB" w:rsidP="007E72EB">
      <w:pPr>
        <w:spacing w:line="360" w:lineRule="auto"/>
        <w:jc w:val="both"/>
        <w:rPr>
          <w:rFonts w:ascii="Times New Roman" w:hAnsi="Times New Roman" w:cs="Times New Roman"/>
          <w:sz w:val="24"/>
          <w:szCs w:val="24"/>
        </w:rPr>
      </w:pPr>
      <w:r w:rsidRPr="007E72EB">
        <w:rPr>
          <w:rFonts w:ascii="Times New Roman" w:hAnsi="Times New Roman" w:cs="Times New Roman"/>
          <w:sz w:val="24"/>
          <w:szCs w:val="24"/>
        </w:rPr>
        <w:t>Le crédit indirect est un outil discret mais fondamental du système financier moderne. Il permet aux entreprises et aux particuliers d’accéder à des contrats ou des marchés sans avoir à avancer des fonds immédiatement. Grâce à des instruments comme les garanties bancaires, les lettres de crédit ou les avals, il sécurise les relations commerciales et renforce la confiance entre les partenaires économiques, tant au niveau national qu’international.</w:t>
      </w:r>
    </w:p>
    <w:p w14:paraId="44DE0528" w14:textId="77777777" w:rsidR="007E72EB" w:rsidRPr="007E72EB" w:rsidRDefault="007E72EB" w:rsidP="007E72EB">
      <w:pPr>
        <w:spacing w:line="360" w:lineRule="auto"/>
        <w:jc w:val="both"/>
        <w:rPr>
          <w:rFonts w:ascii="Times New Roman" w:hAnsi="Times New Roman" w:cs="Times New Roman"/>
          <w:sz w:val="24"/>
          <w:szCs w:val="24"/>
        </w:rPr>
      </w:pPr>
    </w:p>
    <w:p w14:paraId="1478AA46" w14:textId="77777777" w:rsidR="007E72EB" w:rsidRPr="007E72EB" w:rsidRDefault="007E72EB" w:rsidP="007E72EB">
      <w:pPr>
        <w:spacing w:line="360" w:lineRule="auto"/>
        <w:jc w:val="both"/>
        <w:rPr>
          <w:rFonts w:ascii="Times New Roman" w:hAnsi="Times New Roman" w:cs="Times New Roman"/>
          <w:sz w:val="24"/>
          <w:szCs w:val="24"/>
        </w:rPr>
      </w:pPr>
      <w:r w:rsidRPr="007E72EB">
        <w:rPr>
          <w:rFonts w:ascii="Times New Roman" w:hAnsi="Times New Roman" w:cs="Times New Roman"/>
          <w:sz w:val="24"/>
          <w:szCs w:val="24"/>
        </w:rPr>
        <w:t>Toutefois, cette forme de crédit repose sur un équilibre délicat. Les banques doivent être prudentes dans leur évaluation des risques, et les clients doivent bien comprendre les implications juridiques et financières de ce type d’engagement. Une mauvaise gestion peut entraîner des pertes importantes ou des conflits juridiques. Il ne s’agit donc pas d’un simple « service annexe », mais bien d’un levier stratégique qui, utilisé intelligemment, peut favoriser le développement économique.</w:t>
      </w:r>
    </w:p>
    <w:p w14:paraId="7428F1A1" w14:textId="77777777" w:rsidR="007E72EB" w:rsidRPr="007E72EB" w:rsidRDefault="007E72EB" w:rsidP="007E72EB">
      <w:pPr>
        <w:spacing w:line="360" w:lineRule="auto"/>
        <w:jc w:val="both"/>
        <w:rPr>
          <w:rFonts w:ascii="Times New Roman" w:hAnsi="Times New Roman" w:cs="Times New Roman"/>
          <w:sz w:val="24"/>
          <w:szCs w:val="24"/>
        </w:rPr>
      </w:pPr>
    </w:p>
    <w:p w14:paraId="23AB8A19" w14:textId="61CAA226" w:rsidR="00627A17" w:rsidRPr="002C7341" w:rsidRDefault="007E72EB" w:rsidP="007E72EB">
      <w:pPr>
        <w:spacing w:line="360" w:lineRule="auto"/>
        <w:jc w:val="both"/>
        <w:rPr>
          <w:rFonts w:ascii="Times New Roman" w:hAnsi="Times New Roman" w:cs="Times New Roman"/>
          <w:sz w:val="24"/>
          <w:szCs w:val="24"/>
        </w:rPr>
      </w:pPr>
      <w:r w:rsidRPr="007E72EB">
        <w:rPr>
          <w:rFonts w:ascii="Times New Roman" w:hAnsi="Times New Roman" w:cs="Times New Roman"/>
          <w:sz w:val="24"/>
          <w:szCs w:val="24"/>
        </w:rPr>
        <w:t>En conclusion, le crédit indirect est un mécanisme fondé sur la confiance, la solidité contractuelle, et une gestion rigoureuse des engagements. Il est aujourd’hui indispensable dans des secteurs clés de l’économie, et mérite d’être mieux connu et compris par les acteurs économiques, les étudiants en gestion, et les décideurs publics.</w:t>
      </w:r>
    </w:p>
    <w:sectPr w:rsidR="00627A17" w:rsidRPr="002C7341" w:rsidSect="002C7341">
      <w:footerReference w:type="default" r:id="rId15"/>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E61BD" w14:textId="77777777" w:rsidR="002C7341" w:rsidRDefault="002C7341" w:rsidP="002C7341">
      <w:pPr>
        <w:spacing w:after="0" w:line="240" w:lineRule="auto"/>
      </w:pPr>
      <w:r>
        <w:separator/>
      </w:r>
    </w:p>
  </w:endnote>
  <w:endnote w:type="continuationSeparator" w:id="0">
    <w:p w14:paraId="6A19542D" w14:textId="77777777" w:rsidR="002C7341" w:rsidRDefault="002C7341" w:rsidP="002C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879137"/>
      <w:docPartObj>
        <w:docPartGallery w:val="Page Numbers (Bottom of Page)"/>
        <w:docPartUnique/>
      </w:docPartObj>
    </w:sdtPr>
    <w:sdtEndPr/>
    <w:sdtContent>
      <w:p w14:paraId="09575659" w14:textId="43975FF8" w:rsidR="002C7341" w:rsidRDefault="002C7341">
        <w:pPr>
          <w:pStyle w:val="Pieddepage"/>
          <w:jc w:val="right"/>
        </w:pPr>
        <w:r>
          <w:fldChar w:fldCharType="begin"/>
        </w:r>
        <w:r>
          <w:instrText>PAGE   \* MERGEFORMAT</w:instrText>
        </w:r>
        <w:r>
          <w:fldChar w:fldCharType="separate"/>
        </w:r>
        <w:r>
          <w:t>2</w:t>
        </w:r>
        <w:r>
          <w:fldChar w:fldCharType="end"/>
        </w:r>
      </w:p>
    </w:sdtContent>
  </w:sdt>
  <w:p w14:paraId="345DFEA1" w14:textId="77777777" w:rsidR="002C7341" w:rsidRDefault="002C73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829B" w14:textId="77777777" w:rsidR="002C7341" w:rsidRDefault="002C7341" w:rsidP="002C7341">
      <w:pPr>
        <w:spacing w:after="0" w:line="240" w:lineRule="auto"/>
      </w:pPr>
      <w:r>
        <w:separator/>
      </w:r>
    </w:p>
  </w:footnote>
  <w:footnote w:type="continuationSeparator" w:id="0">
    <w:p w14:paraId="0E03D035" w14:textId="77777777" w:rsidR="002C7341" w:rsidRDefault="002C7341" w:rsidP="002C7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3BF"/>
    <w:multiLevelType w:val="multilevel"/>
    <w:tmpl w:val="33BC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D1880"/>
    <w:multiLevelType w:val="hybridMultilevel"/>
    <w:tmpl w:val="35B248C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8F5054"/>
    <w:multiLevelType w:val="hybridMultilevel"/>
    <w:tmpl w:val="24181986"/>
    <w:lvl w:ilvl="0" w:tplc="57920B94">
      <w:start w:val="1"/>
      <w:numFmt w:val="upperRoman"/>
      <w:lvlText w:val="%1."/>
      <w:lvlJc w:val="righ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23CE1"/>
    <w:multiLevelType w:val="multilevel"/>
    <w:tmpl w:val="763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5939"/>
    <w:multiLevelType w:val="hybridMultilevel"/>
    <w:tmpl w:val="5F8CF76E"/>
    <w:lvl w:ilvl="0" w:tplc="56D49770">
      <w:start w:val="6"/>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E055F3A"/>
    <w:multiLevelType w:val="hybridMultilevel"/>
    <w:tmpl w:val="4FC4A5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56E1313"/>
    <w:multiLevelType w:val="multilevel"/>
    <w:tmpl w:val="C7F0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06D40"/>
    <w:multiLevelType w:val="multilevel"/>
    <w:tmpl w:val="E5D0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D5E6A"/>
    <w:multiLevelType w:val="hybridMultilevel"/>
    <w:tmpl w:val="9B1ABC4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B496FCA"/>
    <w:multiLevelType w:val="hybridMultilevel"/>
    <w:tmpl w:val="C94C0D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C6A384C"/>
    <w:multiLevelType w:val="hybridMultilevel"/>
    <w:tmpl w:val="01D6B27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C801020"/>
    <w:multiLevelType w:val="hybridMultilevel"/>
    <w:tmpl w:val="D6063D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EAF4607"/>
    <w:multiLevelType w:val="hybridMultilevel"/>
    <w:tmpl w:val="84DE9A6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652633897">
    <w:abstractNumId w:val="0"/>
  </w:num>
  <w:num w:numId="2" w16cid:durableId="413820171">
    <w:abstractNumId w:val="3"/>
  </w:num>
  <w:num w:numId="3" w16cid:durableId="1816295854">
    <w:abstractNumId w:val="6"/>
  </w:num>
  <w:num w:numId="4" w16cid:durableId="1160468059">
    <w:abstractNumId w:val="7"/>
  </w:num>
  <w:num w:numId="5" w16cid:durableId="735787101">
    <w:abstractNumId w:val="12"/>
  </w:num>
  <w:num w:numId="6" w16cid:durableId="1818764153">
    <w:abstractNumId w:val="2"/>
  </w:num>
  <w:num w:numId="7" w16cid:durableId="1114861041">
    <w:abstractNumId w:val="10"/>
  </w:num>
  <w:num w:numId="8" w16cid:durableId="1804106769">
    <w:abstractNumId w:val="9"/>
  </w:num>
  <w:num w:numId="9" w16cid:durableId="48114072">
    <w:abstractNumId w:val="8"/>
  </w:num>
  <w:num w:numId="10" w16cid:durableId="402409297">
    <w:abstractNumId w:val="4"/>
  </w:num>
  <w:num w:numId="11" w16cid:durableId="1815370644">
    <w:abstractNumId w:val="11"/>
  </w:num>
  <w:num w:numId="12" w16cid:durableId="1188757593">
    <w:abstractNumId w:val="1"/>
  </w:num>
  <w:num w:numId="13" w16cid:durableId="224533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FA"/>
    <w:rsid w:val="000B3128"/>
    <w:rsid w:val="001426CB"/>
    <w:rsid w:val="00191480"/>
    <w:rsid w:val="00297C45"/>
    <w:rsid w:val="002B66F7"/>
    <w:rsid w:val="002C7341"/>
    <w:rsid w:val="00352347"/>
    <w:rsid w:val="00391BC6"/>
    <w:rsid w:val="003E5C8C"/>
    <w:rsid w:val="004361F5"/>
    <w:rsid w:val="004979E7"/>
    <w:rsid w:val="004A550C"/>
    <w:rsid w:val="004D31FA"/>
    <w:rsid w:val="00577B49"/>
    <w:rsid w:val="00627A17"/>
    <w:rsid w:val="006841E5"/>
    <w:rsid w:val="006B61AB"/>
    <w:rsid w:val="007A16C2"/>
    <w:rsid w:val="007A2C2B"/>
    <w:rsid w:val="007E72EB"/>
    <w:rsid w:val="007E7A42"/>
    <w:rsid w:val="00900093"/>
    <w:rsid w:val="00904998"/>
    <w:rsid w:val="009107BF"/>
    <w:rsid w:val="00914DB4"/>
    <w:rsid w:val="00A40403"/>
    <w:rsid w:val="00A94F72"/>
    <w:rsid w:val="00A95AAA"/>
    <w:rsid w:val="00B74B74"/>
    <w:rsid w:val="00BA3EBC"/>
    <w:rsid w:val="00C42059"/>
    <w:rsid w:val="00CA053B"/>
    <w:rsid w:val="00CD4F7C"/>
    <w:rsid w:val="00DB27B7"/>
    <w:rsid w:val="00E1239E"/>
    <w:rsid w:val="00F07808"/>
    <w:rsid w:val="00F5691E"/>
    <w:rsid w:val="00F755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99BE"/>
  <w15:chartTrackingRefBased/>
  <w15:docId w15:val="{132CA2C7-AD9A-4E10-ACAE-1EF9EFB0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3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D3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D31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D31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D31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D31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31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31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31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31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D31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D31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D31F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D31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D31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31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31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31FA"/>
    <w:rPr>
      <w:rFonts w:eastAsiaTheme="majorEastAsia" w:cstheme="majorBidi"/>
      <w:color w:val="272727" w:themeColor="text1" w:themeTint="D8"/>
    </w:rPr>
  </w:style>
  <w:style w:type="paragraph" w:styleId="Titre">
    <w:name w:val="Title"/>
    <w:basedOn w:val="Normal"/>
    <w:next w:val="Normal"/>
    <w:link w:val="TitreCar"/>
    <w:uiPriority w:val="10"/>
    <w:qFormat/>
    <w:rsid w:val="004D3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31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31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31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31FA"/>
    <w:pPr>
      <w:spacing w:before="160"/>
      <w:jc w:val="center"/>
    </w:pPr>
    <w:rPr>
      <w:i/>
      <w:iCs/>
      <w:color w:val="404040" w:themeColor="text1" w:themeTint="BF"/>
    </w:rPr>
  </w:style>
  <w:style w:type="character" w:customStyle="1" w:styleId="CitationCar">
    <w:name w:val="Citation Car"/>
    <w:basedOn w:val="Policepardfaut"/>
    <w:link w:val="Citation"/>
    <w:uiPriority w:val="29"/>
    <w:rsid w:val="004D31FA"/>
    <w:rPr>
      <w:i/>
      <w:iCs/>
      <w:color w:val="404040" w:themeColor="text1" w:themeTint="BF"/>
    </w:rPr>
  </w:style>
  <w:style w:type="paragraph" w:styleId="Paragraphedeliste">
    <w:name w:val="List Paragraph"/>
    <w:basedOn w:val="Normal"/>
    <w:uiPriority w:val="34"/>
    <w:qFormat/>
    <w:rsid w:val="004D31FA"/>
    <w:pPr>
      <w:ind w:left="720"/>
      <w:contextualSpacing/>
    </w:pPr>
  </w:style>
  <w:style w:type="character" w:styleId="Accentuationintense">
    <w:name w:val="Intense Emphasis"/>
    <w:basedOn w:val="Policepardfaut"/>
    <w:uiPriority w:val="21"/>
    <w:qFormat/>
    <w:rsid w:val="004D31FA"/>
    <w:rPr>
      <w:i/>
      <w:iCs/>
      <w:color w:val="2F5496" w:themeColor="accent1" w:themeShade="BF"/>
    </w:rPr>
  </w:style>
  <w:style w:type="paragraph" w:styleId="Citationintense">
    <w:name w:val="Intense Quote"/>
    <w:basedOn w:val="Normal"/>
    <w:next w:val="Normal"/>
    <w:link w:val="CitationintenseCar"/>
    <w:uiPriority w:val="30"/>
    <w:qFormat/>
    <w:rsid w:val="004D3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D31FA"/>
    <w:rPr>
      <w:i/>
      <w:iCs/>
      <w:color w:val="2F5496" w:themeColor="accent1" w:themeShade="BF"/>
    </w:rPr>
  </w:style>
  <w:style w:type="character" w:styleId="Rfrenceintense">
    <w:name w:val="Intense Reference"/>
    <w:basedOn w:val="Policepardfaut"/>
    <w:uiPriority w:val="32"/>
    <w:qFormat/>
    <w:rsid w:val="004D31FA"/>
    <w:rPr>
      <w:b/>
      <w:bCs/>
      <w:smallCaps/>
      <w:color w:val="2F5496" w:themeColor="accent1" w:themeShade="BF"/>
      <w:spacing w:val="5"/>
    </w:rPr>
  </w:style>
  <w:style w:type="paragraph" w:styleId="Sansinterligne">
    <w:name w:val="No Spacing"/>
    <w:link w:val="SansinterligneCar"/>
    <w:uiPriority w:val="1"/>
    <w:qFormat/>
    <w:rsid w:val="004D31F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4D31FA"/>
    <w:rPr>
      <w:rFonts w:eastAsiaTheme="minorEastAsia"/>
      <w:lang w:eastAsia="fr-FR"/>
    </w:rPr>
  </w:style>
  <w:style w:type="character" w:styleId="Lienhypertexte">
    <w:name w:val="Hyperlink"/>
    <w:basedOn w:val="Policepardfaut"/>
    <w:uiPriority w:val="99"/>
    <w:unhideWhenUsed/>
    <w:rsid w:val="004D31FA"/>
    <w:rPr>
      <w:color w:val="0563C1" w:themeColor="hyperlink"/>
      <w:u w:val="single"/>
    </w:rPr>
  </w:style>
  <w:style w:type="character" w:styleId="Mentionnonrsolue">
    <w:name w:val="Unresolved Mention"/>
    <w:basedOn w:val="Policepardfaut"/>
    <w:uiPriority w:val="99"/>
    <w:semiHidden/>
    <w:unhideWhenUsed/>
    <w:rsid w:val="004D31FA"/>
    <w:rPr>
      <w:color w:val="605E5C"/>
      <w:shd w:val="clear" w:color="auto" w:fill="E1DFDD"/>
    </w:rPr>
  </w:style>
  <w:style w:type="paragraph" w:styleId="En-tte">
    <w:name w:val="header"/>
    <w:basedOn w:val="Normal"/>
    <w:link w:val="En-tteCar"/>
    <w:uiPriority w:val="99"/>
    <w:unhideWhenUsed/>
    <w:rsid w:val="002C7341"/>
    <w:pPr>
      <w:tabs>
        <w:tab w:val="center" w:pos="4536"/>
        <w:tab w:val="right" w:pos="9072"/>
      </w:tabs>
      <w:spacing w:after="0" w:line="240" w:lineRule="auto"/>
    </w:pPr>
  </w:style>
  <w:style w:type="character" w:customStyle="1" w:styleId="En-tteCar">
    <w:name w:val="En-tête Car"/>
    <w:basedOn w:val="Policepardfaut"/>
    <w:link w:val="En-tte"/>
    <w:uiPriority w:val="99"/>
    <w:rsid w:val="002C7341"/>
  </w:style>
  <w:style w:type="paragraph" w:styleId="Pieddepage">
    <w:name w:val="footer"/>
    <w:basedOn w:val="Normal"/>
    <w:link w:val="PieddepageCar"/>
    <w:uiPriority w:val="99"/>
    <w:unhideWhenUsed/>
    <w:rsid w:val="002C73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7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41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mgag.wordpress.com/2017/03/28/chapitre-10-financement-indirect-et-financement-direct/?utm_source=chatgpt.com" TargetMode="External"/><Relationship Id="rId13" Type="http://schemas.openxmlformats.org/officeDocument/2006/relationships/hyperlink" Target="https://www.researchgate.net/publication/389488061_Impact_de_la_microfinance_sur_la_croissance_economique_au_Senegal?utm_source=chatgpt.com" TargetMode="Externa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www.dri.gouv.sn/sites/default/files/an-documents/LOI%20N%202008%2027%20DU%2027%20JUILLET%202008%20AUTORISANT%20LE%20PRESIDENT.pdf?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linkedin.com/pulse/le-bureau-dinformation-sur-credit-a%C3%AFda-ndiaye-gflrf?utm_source=chatgpt.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bceao.int/sites/default/files/2018-03/loi.pdf?utm_source=chatgpt.com" TargetMode="External"/><Relationship Id="rId4" Type="http://schemas.openxmlformats.org/officeDocument/2006/relationships/webSettings" Target="webSettings.xml"/><Relationship Id="rId9" Type="http://schemas.openxmlformats.org/officeDocument/2006/relationships/hyperlink" Target="https://stmgag.wordpress.com/2017/03/28/chapitre-10-financement-indirect-et-financement-direct/?utm_source=chatgpt.com" TargetMode="External"/><Relationship Id="rId14" Type="http://schemas.openxmlformats.org/officeDocument/2006/relationships/hyperlink" Target="https://retanet.org/lire_article.php?num_art=Vol8-n1-art1&amp;semester=1&amp;vol=8&amp;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2430</Words>
  <Characters>13371</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Crédit indirect</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Crédit indirect</dc:title>
  <dc:subject>Technique Bancaire</dc:subject>
  <dc:creator>GROUPE 5 :</dc:creator>
  <cp:keywords/>
  <dc:description/>
  <cp:lastModifiedBy>Limamoulaye Faye</cp:lastModifiedBy>
  <cp:revision>2</cp:revision>
  <dcterms:created xsi:type="dcterms:W3CDTF">2025-04-29T21:57:00Z</dcterms:created>
  <dcterms:modified xsi:type="dcterms:W3CDTF">2025-04-29T21:57:00Z</dcterms:modified>
</cp:coreProperties>
</file>