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4A8D" w14:textId="642D9AE2" w:rsidR="00BC0CA0" w:rsidRPr="00BC0CA0" w:rsidRDefault="00BC0CA0" w:rsidP="00BC0CA0">
      <w:pPr>
        <w:snapToGrid w:val="0"/>
        <w:spacing w:line="180" w:lineRule="atLeast"/>
        <w:jc w:val="center"/>
        <w:rPr>
          <w:rFonts w:ascii="Times" w:hAnsi="Times"/>
          <w:b/>
          <w:bCs/>
        </w:rPr>
      </w:pPr>
      <w:r w:rsidRPr="00BC0CA0">
        <w:rPr>
          <w:rFonts w:ascii="Times" w:hAnsi="Times"/>
          <w:b/>
          <w:bCs/>
        </w:rPr>
        <w:t>Externally</w:t>
      </w:r>
      <w:r w:rsidR="00B6023C">
        <w:rPr>
          <w:rFonts w:ascii="Times" w:hAnsi="Times"/>
          <w:b/>
          <w:bCs/>
        </w:rPr>
        <w:t xml:space="preserve"> </w:t>
      </w:r>
      <w:r w:rsidRPr="00BC0CA0">
        <w:rPr>
          <w:rFonts w:ascii="Times" w:hAnsi="Times"/>
          <w:b/>
          <w:bCs/>
        </w:rPr>
        <w:t>Driven Inflow Effect on Current Sheet Dynamics</w:t>
      </w:r>
    </w:p>
    <w:p w14:paraId="022FBDFC" w14:textId="1B8ACA7B" w:rsidR="00FC743C" w:rsidRPr="00E13AEF" w:rsidRDefault="00BC0CA0" w:rsidP="00BC0CA0">
      <w:pPr>
        <w:snapToGrid w:val="0"/>
        <w:spacing w:line="180" w:lineRule="atLeast"/>
        <w:jc w:val="center"/>
        <w:rPr>
          <w:rFonts w:ascii="Times" w:hAnsi="Times"/>
          <w:b/>
          <w:bCs/>
        </w:rPr>
      </w:pPr>
      <w:r w:rsidRPr="00BC0CA0">
        <w:rPr>
          <w:rFonts w:ascii="Times" w:hAnsi="Times"/>
          <w:b/>
          <w:bCs/>
        </w:rPr>
        <w:t>in TS-6 Tokamak Merging Experiment</w:t>
      </w:r>
      <w:r w:rsidRPr="00BC0CA0">
        <w:rPr>
          <w:rFonts w:ascii="Times" w:hAnsi="Times"/>
          <w:b/>
          <w:bCs/>
        </w:rPr>
        <w:cr/>
      </w:r>
    </w:p>
    <w:p w14:paraId="7C981D9F" w14:textId="77777777" w:rsidR="00FC743C" w:rsidRPr="00052EDD" w:rsidRDefault="00FC743C" w:rsidP="00FC743C">
      <w:pPr>
        <w:snapToGrid w:val="0"/>
        <w:spacing w:line="180" w:lineRule="atLeast"/>
        <w:jc w:val="center"/>
        <w:rPr>
          <w:rFonts w:ascii="Times" w:hAnsi="Times"/>
        </w:rPr>
      </w:pPr>
      <w:r>
        <w:rPr>
          <w:rFonts w:ascii="Times" w:hAnsi="Times"/>
        </w:rPr>
        <w:t>Y. Doke</w:t>
      </w:r>
      <w:r w:rsidRPr="00052EDD">
        <w:rPr>
          <w:rFonts w:ascii="Times" w:hAnsi="Times"/>
          <w:vertAlign w:val="superscript"/>
        </w:rPr>
        <w:t>1</w:t>
      </w:r>
      <w:r w:rsidRPr="00052EDD">
        <w:rPr>
          <w:rFonts w:ascii="Times" w:hAnsi="Times"/>
        </w:rPr>
        <w:t xml:space="preserve">, </w:t>
      </w:r>
      <w:r>
        <w:rPr>
          <w:rFonts w:ascii="Times" w:hAnsi="Times"/>
        </w:rPr>
        <w:t>K. Doi</w:t>
      </w:r>
      <w:r w:rsidRPr="00052EDD">
        <w:rPr>
          <w:rFonts w:ascii="Times" w:hAnsi="Times"/>
          <w:vertAlign w:val="superscript"/>
        </w:rPr>
        <w:t>1</w:t>
      </w:r>
      <w:r>
        <w:rPr>
          <w:rFonts w:ascii="Times" w:hAnsi="Times"/>
        </w:rPr>
        <w:t xml:space="preserve"> and M. Akimitu</w:t>
      </w:r>
      <w:r>
        <w:rPr>
          <w:rFonts w:ascii="Times" w:hAnsi="Times"/>
          <w:vertAlign w:val="superscript"/>
        </w:rPr>
        <w:t>2</w:t>
      </w:r>
      <w:r w:rsidRPr="00052EDD">
        <w:rPr>
          <w:rFonts w:ascii="Times" w:hAnsi="Times"/>
        </w:rPr>
        <w:t>,</w:t>
      </w:r>
      <w:r>
        <w:rPr>
          <w:rFonts w:ascii="Times" w:hAnsi="Times"/>
        </w:rPr>
        <w:t xml:space="preserve"> and Y. Ono</w:t>
      </w:r>
      <w:r w:rsidRPr="00052EDD">
        <w:rPr>
          <w:rFonts w:ascii="Times" w:hAnsi="Times"/>
          <w:vertAlign w:val="superscript"/>
        </w:rPr>
        <w:t>1</w:t>
      </w:r>
    </w:p>
    <w:p w14:paraId="72B55BFD" w14:textId="77777777" w:rsidR="00FC743C" w:rsidRDefault="00FC743C" w:rsidP="00FC743C">
      <w:pPr>
        <w:widowControl/>
        <w:jc w:val="center"/>
        <w:rPr>
          <w:rFonts w:ascii="Times" w:hAnsi="Times"/>
        </w:rPr>
      </w:pPr>
      <w:r w:rsidRPr="00052EDD">
        <w:rPr>
          <w:rFonts w:ascii="Times" w:hAnsi="Times"/>
          <w:vertAlign w:val="superscript"/>
        </w:rPr>
        <w:t>1</w:t>
      </w:r>
      <w:r w:rsidRPr="00052EDD">
        <w:rPr>
          <w:rFonts w:ascii="Times" w:hAnsi="Times"/>
        </w:rPr>
        <w:t xml:space="preserve"> The University of Tokyo,</w:t>
      </w:r>
    </w:p>
    <w:p w14:paraId="3296FA2A" w14:textId="77777777" w:rsidR="00FC743C" w:rsidRPr="00052EDD" w:rsidRDefault="00FC743C" w:rsidP="00FC743C">
      <w:pPr>
        <w:widowControl/>
        <w:jc w:val="center"/>
      </w:pPr>
      <w:r>
        <w:rPr>
          <w:rFonts w:ascii="Times" w:hAnsi="Times"/>
        </w:rPr>
        <w:t xml:space="preserve"> </w:t>
      </w:r>
      <w:r>
        <w:rPr>
          <w:rFonts w:ascii="Times" w:hAnsi="Times"/>
          <w:vertAlign w:val="superscript"/>
        </w:rPr>
        <w:t>2</w:t>
      </w:r>
      <w:r w:rsidRPr="00052EDD">
        <w:rPr>
          <w:rFonts w:ascii="Times" w:hAnsi="Times"/>
        </w:rPr>
        <w:t xml:space="preserve"> </w:t>
      </w:r>
      <w:r w:rsidRPr="00673422">
        <w:rPr>
          <w:rFonts w:ascii="Times" w:hAnsi="Times"/>
        </w:rPr>
        <w:t>National Institutes for Quantum Science and Technology (QST)</w:t>
      </w:r>
    </w:p>
    <w:p w14:paraId="6507DD78" w14:textId="77777777" w:rsidR="00FC743C" w:rsidRDefault="00FC743C" w:rsidP="00FC743C">
      <w:pPr>
        <w:snapToGrid w:val="0"/>
        <w:spacing w:line="180" w:lineRule="atLeast"/>
        <w:jc w:val="center"/>
        <w:rPr>
          <w:rFonts w:ascii="Times" w:hAnsi="Times"/>
        </w:rPr>
      </w:pPr>
      <w:r>
        <w:rPr>
          <w:rFonts w:ascii="Times" w:hAnsi="Times"/>
        </w:rPr>
        <w:t xml:space="preserve">e-mail (speaker): </w:t>
      </w:r>
      <w:r>
        <w:rPr>
          <w:rFonts w:ascii="Times" w:hAnsi="Times" w:hint="eastAsia"/>
        </w:rPr>
        <w:t>d</w:t>
      </w:r>
      <w:r>
        <w:rPr>
          <w:rFonts w:ascii="Times" w:hAnsi="Times"/>
        </w:rPr>
        <w:t>okeyuka@g.ecc.u-tokyo.ac.jp</w:t>
      </w:r>
    </w:p>
    <w:p w14:paraId="33A1A599" w14:textId="42A4FFFC" w:rsidR="00943777" w:rsidRPr="00C60F22" w:rsidRDefault="00943777" w:rsidP="005F7F4A">
      <w:pPr>
        <w:snapToGrid w:val="0"/>
        <w:spacing w:line="180" w:lineRule="atLeast"/>
        <w:rPr>
          <w:rFonts w:ascii="Times" w:hAnsi="Times"/>
        </w:rPr>
      </w:pPr>
    </w:p>
    <w:p w14:paraId="760871D0" w14:textId="1E0EA679" w:rsidR="00FC743C" w:rsidRPr="00943777" w:rsidRDefault="00FC743C" w:rsidP="00FC743C">
      <w:pPr>
        <w:snapToGrid w:val="0"/>
        <w:spacing w:line="180" w:lineRule="atLeast"/>
        <w:jc w:val="center"/>
        <w:rPr>
          <w:rFonts w:ascii="Times" w:hAnsi="Times"/>
        </w:rPr>
      </w:pPr>
    </w:p>
    <w:p w14:paraId="3D0340C8" w14:textId="77777777" w:rsidR="00FC743C" w:rsidRPr="00C60F22" w:rsidRDefault="00FC743C" w:rsidP="00FC743C">
      <w:pPr>
        <w:snapToGrid w:val="0"/>
        <w:spacing w:line="180" w:lineRule="atLeast"/>
        <w:rPr>
          <w:rFonts w:ascii="Times" w:hAnsi="Times"/>
        </w:rPr>
        <w:sectPr w:rsidR="00FC743C" w:rsidRPr="00C60F22" w:rsidSect="00FC743C">
          <w:headerReference w:type="default" r:id="rId7"/>
          <w:type w:val="continuous"/>
          <w:pgSz w:w="11900" w:h="16840"/>
          <w:pgMar w:top="1418" w:right="1134" w:bottom="1134" w:left="1134" w:header="851" w:footer="992" w:gutter="0"/>
          <w:cols w:space="425"/>
          <w:docGrid w:type="lines" w:linePitch="400"/>
        </w:sectPr>
      </w:pPr>
    </w:p>
    <w:p w14:paraId="1D0B2B21" w14:textId="50C0E4ED" w:rsidR="009B6C4C" w:rsidRPr="009B6C4C" w:rsidRDefault="009B6C4C" w:rsidP="00CC3F04">
      <w:pPr>
        <w:adjustRightInd w:val="0"/>
        <w:snapToGrid w:val="0"/>
        <w:spacing w:line="200" w:lineRule="atLeast"/>
        <w:ind w:firstLineChars="150" w:firstLine="330"/>
        <w:rPr>
          <w:rFonts w:ascii="Times" w:hAnsi="Times"/>
          <w:sz w:val="22"/>
          <w:szCs w:val="22"/>
        </w:rPr>
      </w:pPr>
      <w:r w:rsidRPr="009B6C4C">
        <w:rPr>
          <w:rFonts w:ascii="Times" w:hAnsi="Times"/>
          <w:sz w:val="22"/>
          <w:szCs w:val="22"/>
        </w:rPr>
        <w:t xml:space="preserve">We </w:t>
      </w:r>
      <w:r w:rsidR="00B6023C">
        <w:rPr>
          <w:rFonts w:ascii="Times" w:hAnsi="Times"/>
          <w:sz w:val="22"/>
          <w:szCs w:val="22"/>
        </w:rPr>
        <w:t xml:space="preserve">have </w:t>
      </w:r>
      <w:r w:rsidRPr="009B6C4C">
        <w:rPr>
          <w:rFonts w:ascii="Times" w:hAnsi="Times"/>
          <w:sz w:val="22"/>
          <w:szCs w:val="22"/>
        </w:rPr>
        <w:t xml:space="preserve">found the current sheet structure, especially its blob structure, depends on the </w:t>
      </w:r>
      <w:r w:rsidR="00B6023C">
        <w:rPr>
          <w:rFonts w:ascii="Times" w:hAnsi="Times"/>
          <w:sz w:val="22"/>
          <w:szCs w:val="22"/>
        </w:rPr>
        <w:t xml:space="preserve">flow condition of </w:t>
      </w:r>
      <w:r w:rsidRPr="009B6C4C">
        <w:rPr>
          <w:rFonts w:ascii="Times" w:hAnsi="Times"/>
          <w:sz w:val="22"/>
          <w:szCs w:val="22"/>
        </w:rPr>
        <w:t>externally</w:t>
      </w:r>
      <w:r w:rsidR="00B6023C">
        <w:rPr>
          <w:rFonts w:ascii="Times" w:hAnsi="Times"/>
          <w:sz w:val="22"/>
          <w:szCs w:val="22"/>
        </w:rPr>
        <w:t xml:space="preserve"> </w:t>
      </w:r>
      <w:r w:rsidRPr="009B6C4C">
        <w:rPr>
          <w:rFonts w:ascii="Times" w:hAnsi="Times"/>
          <w:sz w:val="22"/>
          <w:szCs w:val="22"/>
        </w:rPr>
        <w:t xml:space="preserve">driven plasma. As shown in Fig. 1, we used a pair of poloidal </w:t>
      </w:r>
      <w:proofErr w:type="gramStart"/>
      <w:r w:rsidRPr="009B6C4C">
        <w:rPr>
          <w:rFonts w:ascii="Times" w:hAnsi="Times"/>
          <w:sz w:val="22"/>
          <w:szCs w:val="22"/>
        </w:rPr>
        <w:t>field</w:t>
      </w:r>
      <w:proofErr w:type="gramEnd"/>
      <w:r w:rsidRPr="009B6C4C">
        <w:rPr>
          <w:rFonts w:ascii="Times" w:hAnsi="Times"/>
          <w:sz w:val="22"/>
          <w:szCs w:val="22"/>
        </w:rPr>
        <w:t xml:space="preserve"> (PF) coils to form two tokamak plasmas and to compress them together in TS-6, the tokamak plasma merging </w:t>
      </w:r>
      <w:r w:rsidR="00CC3F04">
        <w:rPr>
          <w:rFonts w:ascii="Times" w:hAnsi="Times"/>
          <w:sz w:val="22"/>
          <w:szCs w:val="22"/>
        </w:rPr>
        <w:t>device</w:t>
      </w:r>
      <w:r w:rsidRPr="009B6C4C">
        <w:rPr>
          <w:rFonts w:ascii="Times" w:hAnsi="Times"/>
          <w:sz w:val="22"/>
          <w:szCs w:val="22"/>
        </w:rPr>
        <w:t xml:space="preserve">. </w:t>
      </w:r>
      <w:r w:rsidR="008D5481">
        <w:rPr>
          <w:rFonts w:ascii="Times" w:hAnsi="Times"/>
          <w:sz w:val="22"/>
          <w:szCs w:val="22"/>
        </w:rPr>
        <w:t>Setting</w:t>
      </w:r>
      <w:r w:rsidRPr="009B6C4C">
        <w:rPr>
          <w:rFonts w:ascii="Times" w:hAnsi="Times"/>
          <w:sz w:val="22"/>
          <w:szCs w:val="22"/>
        </w:rPr>
        <w:t xml:space="preserve"> three positions of PF coils, we varied the inflow speed/sheet compression to study its effect on the current sheet structure. We </w:t>
      </w:r>
      <w:r w:rsidR="000B6D90">
        <w:rPr>
          <w:rFonts w:ascii="Times" w:hAnsi="Times"/>
          <w:sz w:val="22"/>
          <w:szCs w:val="22"/>
        </w:rPr>
        <w:t>measured</w:t>
      </w:r>
      <w:r w:rsidRPr="009B6C4C">
        <w:rPr>
          <w:rFonts w:ascii="Times" w:hAnsi="Times"/>
          <w:sz w:val="22"/>
          <w:szCs w:val="22"/>
        </w:rPr>
        <w:t xml:space="preserve"> the detailed 2D structure of the current sheet: contours of poloidal flux, the current sheet density, and effective resistivity at X point</w:t>
      </w:r>
      <w:r w:rsidR="000B6D90">
        <w:rPr>
          <w:rFonts w:ascii="Times" w:hAnsi="Times"/>
          <w:sz w:val="22"/>
          <w:szCs w:val="22"/>
        </w:rPr>
        <w:t xml:space="preserve"> using </w:t>
      </w:r>
      <w:r w:rsidR="000B6D90" w:rsidRPr="009B6C4C">
        <w:rPr>
          <w:rFonts w:ascii="Times" w:hAnsi="Times"/>
          <w:sz w:val="22"/>
          <w:szCs w:val="22"/>
        </w:rPr>
        <w:t>the newly developed printed</w:t>
      </w:r>
      <w:r w:rsidR="00802606">
        <w:rPr>
          <w:rFonts w:ascii="Times" w:hAnsi="Times"/>
          <w:sz w:val="22"/>
          <w:szCs w:val="22"/>
        </w:rPr>
        <w:t>-</w:t>
      </w:r>
      <w:r w:rsidR="000B6D90" w:rsidRPr="009B6C4C">
        <w:rPr>
          <w:rFonts w:ascii="Times" w:hAnsi="Times"/>
          <w:sz w:val="22"/>
          <w:szCs w:val="22"/>
        </w:rPr>
        <w:t>circuit</w:t>
      </w:r>
      <w:r w:rsidR="008D5481">
        <w:rPr>
          <w:rFonts w:ascii="Times" w:hAnsi="Times"/>
          <w:sz w:val="22"/>
          <w:szCs w:val="22"/>
        </w:rPr>
        <w:t xml:space="preserve"> </w:t>
      </w:r>
      <w:r w:rsidR="000B6D90" w:rsidRPr="009B6C4C">
        <w:rPr>
          <w:rFonts w:ascii="Times" w:hAnsi="Times"/>
          <w:sz w:val="22"/>
          <w:szCs w:val="22"/>
        </w:rPr>
        <w:t>board</w:t>
      </w:r>
      <w:r w:rsidR="00802606">
        <w:rPr>
          <w:rFonts w:ascii="Times" w:hAnsi="Times"/>
          <w:sz w:val="22"/>
          <w:szCs w:val="22"/>
        </w:rPr>
        <w:t xml:space="preserve"> (PCB) </w:t>
      </w:r>
      <w:r w:rsidR="000B6D90" w:rsidRPr="009B6C4C">
        <w:rPr>
          <w:rFonts w:ascii="Times" w:hAnsi="Times"/>
          <w:sz w:val="22"/>
          <w:szCs w:val="22"/>
        </w:rPr>
        <w:t xml:space="preserve">type magnetic probe array whose </w:t>
      </w:r>
      <w:r w:rsidR="000B6D90">
        <w:rPr>
          <w:rFonts w:ascii="Times" w:hAnsi="Times"/>
          <w:sz w:val="22"/>
          <w:szCs w:val="22"/>
        </w:rPr>
        <w:t xml:space="preserve">spatial </w:t>
      </w:r>
      <w:r w:rsidR="000B6D90" w:rsidRPr="009B6C4C">
        <w:rPr>
          <w:rFonts w:ascii="Times" w:hAnsi="Times"/>
          <w:sz w:val="22"/>
          <w:szCs w:val="22"/>
        </w:rPr>
        <w:t>resolution is as high as 5 mm</w:t>
      </w:r>
      <w:r w:rsidR="000B6D90">
        <w:rPr>
          <w:rFonts w:ascii="Times" w:hAnsi="Times"/>
          <w:sz w:val="22"/>
          <w:szCs w:val="22"/>
        </w:rPr>
        <w:t>.</w:t>
      </w:r>
      <w:r w:rsidRPr="009B6C4C">
        <w:rPr>
          <w:rFonts w:ascii="Times" w:hAnsi="Times"/>
          <w:sz w:val="22"/>
          <w:szCs w:val="22"/>
        </w:rPr>
        <w:t xml:space="preserve"> Our 2D magnetic probe measurements reveal the current sheet structure is determined by the following three effects:</w:t>
      </w:r>
    </w:p>
    <w:p w14:paraId="3A3CF1A8" w14:textId="443ED7D1" w:rsidR="009B6C4C" w:rsidRPr="00535CF3" w:rsidRDefault="009B6C4C" w:rsidP="009B6C4C">
      <w:pPr>
        <w:adjustRightInd w:val="0"/>
        <w:snapToGrid w:val="0"/>
        <w:spacing w:line="200" w:lineRule="atLeast"/>
        <w:rPr>
          <w:rFonts w:ascii="Times" w:hAnsi="Times"/>
          <w:sz w:val="22"/>
          <w:szCs w:val="22"/>
        </w:rPr>
      </w:pPr>
      <w:r w:rsidRPr="00535CF3">
        <w:rPr>
          <w:rFonts w:ascii="Times" w:hAnsi="Times"/>
          <w:sz w:val="22"/>
          <w:szCs w:val="22"/>
        </w:rPr>
        <w:t xml:space="preserve">(a) </w:t>
      </w:r>
      <w:r>
        <w:rPr>
          <w:rFonts w:ascii="Times" w:hAnsi="Times"/>
          <w:sz w:val="22"/>
          <w:szCs w:val="22"/>
        </w:rPr>
        <w:t>a</w:t>
      </w:r>
      <w:r w:rsidRPr="00535CF3">
        <w:rPr>
          <w:rFonts w:ascii="Times" w:hAnsi="Times"/>
          <w:sz w:val="22"/>
          <w:szCs w:val="22"/>
        </w:rPr>
        <w:t xml:space="preserve">nomalous resistivity when </w:t>
      </w:r>
      <w:r>
        <w:rPr>
          <w:rFonts w:ascii="Times" w:hAnsi="Times"/>
          <w:sz w:val="22"/>
          <w:szCs w:val="22"/>
        </w:rPr>
        <w:t xml:space="preserve">the current </w:t>
      </w:r>
      <w:r w:rsidRPr="00535CF3">
        <w:rPr>
          <w:rFonts w:ascii="Times" w:hAnsi="Times"/>
          <w:sz w:val="22"/>
          <w:szCs w:val="22"/>
        </w:rPr>
        <w:t xml:space="preserve">sheet is compressed to the order of ion </w:t>
      </w:r>
      <w:r w:rsidR="00CC3F04" w:rsidRPr="00535CF3">
        <w:rPr>
          <w:rFonts w:ascii="Times" w:hAnsi="Times"/>
          <w:sz w:val="22"/>
          <w:szCs w:val="22"/>
        </w:rPr>
        <w:t>gyro radius</w:t>
      </w:r>
      <w:r w:rsidRPr="00535CF3">
        <w:rPr>
          <w:rFonts w:ascii="Times" w:hAnsi="Times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535CF3">
        <w:rPr>
          <w:rFonts w:ascii="Times" w:hAnsi="Times"/>
          <w:sz w:val="22"/>
          <w:szCs w:val="22"/>
        </w:rPr>
        <w:t>,</w:t>
      </w:r>
      <w:r w:rsidRPr="00535CF3">
        <w:rPr>
          <w:rFonts w:ascii="Times New Roman" w:hAnsi="Times New Roman" w:cs="Times New Roman"/>
          <w:sz w:val="22"/>
          <w:szCs w:val="22"/>
          <w:shd w:val="clear" w:color="auto" w:fill="FFFFFF"/>
          <w:vertAlign w:val="superscript"/>
        </w:rPr>
        <w:t>[1], [2]</w:t>
      </w:r>
    </w:p>
    <w:p w14:paraId="4F0F9957" w14:textId="3CACD913" w:rsidR="009B6C4C" w:rsidRPr="00535CF3" w:rsidRDefault="009B6C4C" w:rsidP="009B6C4C">
      <w:pPr>
        <w:adjustRightInd w:val="0"/>
        <w:snapToGrid w:val="0"/>
        <w:spacing w:line="200" w:lineRule="atLeast"/>
        <w:jc w:val="left"/>
        <w:rPr>
          <w:rFonts w:ascii="Times" w:hAnsi="Times"/>
          <w:sz w:val="22"/>
          <w:szCs w:val="22"/>
        </w:rPr>
      </w:pPr>
      <w:r w:rsidRPr="00535CF3">
        <w:rPr>
          <w:rFonts w:ascii="Times" w:hAnsi="Times"/>
          <w:sz w:val="22"/>
          <w:szCs w:val="22"/>
        </w:rPr>
        <w:t>(b)</w:t>
      </w:r>
      <w:r w:rsidR="00CC3F04"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sz w:val="22"/>
          <w:szCs w:val="22"/>
        </w:rPr>
        <w:t>p</w:t>
      </w:r>
      <w:r w:rsidRPr="00535CF3">
        <w:rPr>
          <w:rFonts w:ascii="Times" w:hAnsi="Times"/>
          <w:sz w:val="22"/>
          <w:szCs w:val="22"/>
        </w:rPr>
        <w:t>lasmoid</w:t>
      </w:r>
      <w:proofErr w:type="spellEnd"/>
      <w:r w:rsidRPr="00535CF3">
        <w:rPr>
          <w:rFonts w:ascii="Times" w:hAnsi="Times"/>
          <w:sz w:val="22"/>
          <w:szCs w:val="22"/>
        </w:rPr>
        <w:t xml:space="preserve"> generation and diffusion area expansion, </w:t>
      </w:r>
      <w:r w:rsidRPr="00535CF3">
        <w:rPr>
          <w:rFonts w:ascii="Times New Roman" w:hAnsi="Times New Roman" w:cs="Times New Roman"/>
          <w:sz w:val="22"/>
          <w:szCs w:val="22"/>
          <w:shd w:val="clear" w:color="auto" w:fill="FFFFFF"/>
          <w:vertAlign w:val="superscript"/>
        </w:rPr>
        <w:t>[2]</w:t>
      </w:r>
    </w:p>
    <w:p w14:paraId="247A7A3F" w14:textId="3CE8598E" w:rsidR="009B6C4C" w:rsidRPr="00535CF3" w:rsidRDefault="009B6C4C" w:rsidP="009B6C4C">
      <w:pPr>
        <w:adjustRightInd w:val="0"/>
        <w:snapToGrid w:val="0"/>
        <w:spacing w:line="200" w:lineRule="atLeast"/>
        <w:rPr>
          <w:rFonts w:ascii="Times New Roman" w:hAnsi="Times New Roman" w:cs="Times New Roman" w:hint="eastAsia"/>
          <w:sz w:val="22"/>
          <w:szCs w:val="22"/>
          <w:shd w:val="clear" w:color="auto" w:fill="FFFFFF"/>
          <w:vertAlign w:val="superscript"/>
        </w:rPr>
      </w:pPr>
      <w:r w:rsidRPr="00535CF3">
        <w:rPr>
          <w:rFonts w:ascii="Times" w:hAnsi="Times"/>
          <w:sz w:val="22"/>
          <w:szCs w:val="22"/>
        </w:rPr>
        <w:t>(c)</w:t>
      </w:r>
      <w:r w:rsidR="00643F5B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p</w:t>
      </w:r>
      <w:r w:rsidRPr="00535CF3">
        <w:rPr>
          <w:rFonts w:ascii="Times" w:hAnsi="Times"/>
          <w:sz w:val="22"/>
          <w:szCs w:val="22"/>
        </w:rPr>
        <w:t xml:space="preserve">lasma blobs ejection. </w:t>
      </w:r>
      <w:r w:rsidRPr="00535CF3">
        <w:rPr>
          <w:rFonts w:ascii="Times New Roman" w:hAnsi="Times New Roman" w:cs="Times New Roman"/>
          <w:sz w:val="22"/>
          <w:szCs w:val="22"/>
          <w:shd w:val="clear" w:color="auto" w:fill="FFFFFF"/>
          <w:vertAlign w:val="superscript"/>
        </w:rPr>
        <w:t>[3]</w:t>
      </w:r>
    </w:p>
    <w:p w14:paraId="4CACBB3F" w14:textId="72880344" w:rsidR="009B6C4C" w:rsidRPr="009B6C4C" w:rsidRDefault="009B6C4C" w:rsidP="000B6D90">
      <w:pPr>
        <w:adjustRightInd w:val="0"/>
        <w:snapToGrid w:val="0"/>
        <w:spacing w:line="200" w:lineRule="atLeast"/>
        <w:ind w:firstLineChars="150" w:firstLine="330"/>
        <w:rPr>
          <w:rFonts w:ascii="Times" w:hAnsi="Times"/>
          <w:sz w:val="22"/>
          <w:szCs w:val="22"/>
        </w:rPr>
      </w:pPr>
      <w:r w:rsidRPr="009B6C4C">
        <w:rPr>
          <w:rFonts w:ascii="Times" w:hAnsi="Times"/>
          <w:sz w:val="22"/>
          <w:szCs w:val="22"/>
        </w:rPr>
        <w:t xml:space="preserve">Under the low external inflow condition </w:t>
      </w:r>
      <w:r w:rsidR="00B6023C">
        <w:rPr>
          <w:rFonts w:ascii="Times" w:hAnsi="Times"/>
          <w:sz w:val="22"/>
          <w:szCs w:val="22"/>
        </w:rPr>
        <w:t>with</w:t>
      </w:r>
      <w:r w:rsidRPr="009B6C4C">
        <w:rPr>
          <w:rFonts w:ascii="Times" w:hAnsi="Times"/>
          <w:sz w:val="22"/>
          <w:szCs w:val="22"/>
        </w:rPr>
        <w:t xml:space="preserve"> coil separation length</w:t>
      </w:r>
      <w:r w:rsidR="00B6023C">
        <w:rPr>
          <w:rFonts w:ascii="Times" w:hAnsi="Times"/>
          <w:sz w:val="22"/>
          <w:szCs w:val="22"/>
        </w:rPr>
        <w:t xml:space="preserve"> </w:t>
      </w:r>
      <w:r w:rsidRPr="009B6C4C">
        <w:rPr>
          <w:rFonts w:ascii="Times" w:hAnsi="Times"/>
          <w:sz w:val="22"/>
          <w:szCs w:val="22"/>
        </w:rPr>
        <w:t>L=700mm,</w:t>
      </w:r>
      <w:r w:rsidR="00AA7675">
        <w:rPr>
          <w:rFonts w:ascii="Times" w:hAnsi="Times"/>
          <w:sz w:val="22"/>
          <w:szCs w:val="22"/>
        </w:rPr>
        <w:t xml:space="preserve"> </w:t>
      </w:r>
      <w:r w:rsidRPr="009B6C4C">
        <w:rPr>
          <w:rFonts w:ascii="Times" w:hAnsi="Times"/>
          <w:sz w:val="22"/>
          <w:szCs w:val="22"/>
        </w:rPr>
        <w:t>the sheet</w:t>
      </w:r>
      <w:r w:rsidR="005E3DD2">
        <w:rPr>
          <w:rFonts w:ascii="Times" w:hAnsi="Times"/>
          <w:sz w:val="22"/>
          <w:szCs w:val="22"/>
        </w:rPr>
        <w:t xml:space="preserve"> transforms</w:t>
      </w:r>
      <w:r w:rsidRPr="009B6C4C">
        <w:rPr>
          <w:rFonts w:ascii="Times" w:hAnsi="Times"/>
          <w:sz w:val="22"/>
          <w:szCs w:val="22"/>
        </w:rPr>
        <w:t xml:space="preserve"> into a large single </w:t>
      </w:r>
      <w:proofErr w:type="spellStart"/>
      <w:r w:rsidRPr="009B6C4C">
        <w:rPr>
          <w:rFonts w:ascii="Times" w:hAnsi="Times"/>
          <w:sz w:val="22"/>
          <w:szCs w:val="22"/>
        </w:rPr>
        <w:t>plasmoid</w:t>
      </w:r>
      <w:proofErr w:type="spellEnd"/>
      <w:r w:rsidRPr="009B6C4C">
        <w:rPr>
          <w:rFonts w:ascii="Times" w:hAnsi="Times"/>
          <w:sz w:val="22"/>
          <w:szCs w:val="22"/>
        </w:rPr>
        <w:t>,</w:t>
      </w:r>
      <w:r w:rsidR="005E3DD2">
        <w:rPr>
          <w:rFonts w:ascii="Times" w:hAnsi="Times"/>
          <w:sz w:val="22"/>
          <w:szCs w:val="22"/>
        </w:rPr>
        <w:t xml:space="preserve"> and the reconnection speed increases</w:t>
      </w:r>
      <w:r w:rsidRPr="009B6C4C">
        <w:rPr>
          <w:rFonts w:ascii="Times" w:hAnsi="Times"/>
          <w:sz w:val="22"/>
          <w:szCs w:val="22"/>
        </w:rPr>
        <w:t xml:space="preserve">, probably due to the expansion of the diffusion area. Under the medium inflow condition </w:t>
      </w:r>
      <w:r w:rsidR="005E3DD2">
        <w:rPr>
          <w:rFonts w:ascii="Times" w:hAnsi="Times"/>
          <w:sz w:val="22"/>
          <w:szCs w:val="22"/>
        </w:rPr>
        <w:t>with</w:t>
      </w:r>
      <w:r w:rsidRPr="009B6C4C">
        <w:rPr>
          <w:rFonts w:ascii="Times" w:hAnsi="Times"/>
          <w:sz w:val="22"/>
          <w:szCs w:val="22"/>
        </w:rPr>
        <w:t xml:space="preserve"> L=600mm, the reconnection speed/electric field increase</w:t>
      </w:r>
      <w:r w:rsidR="005E3DD2">
        <w:rPr>
          <w:rFonts w:ascii="Times" w:hAnsi="Times"/>
          <w:sz w:val="22"/>
          <w:szCs w:val="22"/>
        </w:rPr>
        <w:t xml:space="preserve">s </w:t>
      </w:r>
      <w:r w:rsidRPr="009B6C4C">
        <w:rPr>
          <w:rFonts w:ascii="Times" w:hAnsi="Times"/>
          <w:sz w:val="22"/>
          <w:szCs w:val="22"/>
        </w:rPr>
        <w:t>right after the</w:t>
      </w:r>
      <w:r w:rsidR="00B6023C">
        <w:rPr>
          <w:rFonts w:ascii="Times" w:hAnsi="Times"/>
          <w:sz w:val="22"/>
          <w:szCs w:val="22"/>
        </w:rPr>
        <w:t xml:space="preserve"> </w:t>
      </w:r>
      <w:r w:rsidRPr="009B6C4C">
        <w:rPr>
          <w:rFonts w:ascii="Times" w:hAnsi="Times"/>
          <w:sz w:val="22"/>
          <w:szCs w:val="22"/>
        </w:rPr>
        <w:t>current sheet split</w:t>
      </w:r>
      <w:r w:rsidR="005E3DD2">
        <w:rPr>
          <w:rFonts w:ascii="Times" w:hAnsi="Times"/>
          <w:sz w:val="22"/>
          <w:szCs w:val="22"/>
        </w:rPr>
        <w:t>s</w:t>
      </w:r>
      <w:r w:rsidRPr="009B6C4C">
        <w:rPr>
          <w:rFonts w:ascii="Times" w:hAnsi="Times"/>
          <w:sz w:val="22"/>
          <w:szCs w:val="22"/>
        </w:rPr>
        <w:t xml:space="preserve"> into several blobs</w:t>
      </w:r>
      <w:r w:rsidR="005E3DD2">
        <w:rPr>
          <w:rFonts w:ascii="Times" w:hAnsi="Times"/>
          <w:sz w:val="22"/>
          <w:szCs w:val="22"/>
        </w:rPr>
        <w:t>.</w:t>
      </w:r>
      <w:r w:rsidRPr="009B6C4C">
        <w:rPr>
          <w:rFonts w:ascii="Times" w:hAnsi="Times"/>
          <w:sz w:val="22"/>
          <w:szCs w:val="22"/>
        </w:rPr>
        <w:t xml:space="preserve"> </w:t>
      </w:r>
      <w:r w:rsidR="005E3DD2">
        <w:rPr>
          <w:rFonts w:ascii="Times" w:hAnsi="Times"/>
          <w:sz w:val="22"/>
          <w:szCs w:val="22"/>
        </w:rPr>
        <w:t>A</w:t>
      </w:r>
      <w:r w:rsidRPr="009B6C4C">
        <w:rPr>
          <w:rFonts w:ascii="Times" w:hAnsi="Times"/>
          <w:sz w:val="22"/>
          <w:szCs w:val="22"/>
        </w:rPr>
        <w:t xml:space="preserve">nd </w:t>
      </w:r>
      <w:r w:rsidR="00643F5B">
        <w:rPr>
          <w:rFonts w:ascii="Times" w:hAnsi="Times"/>
          <w:sz w:val="22"/>
          <w:szCs w:val="22"/>
        </w:rPr>
        <w:t xml:space="preserve">then </w:t>
      </w:r>
      <w:r w:rsidRPr="009B6C4C">
        <w:rPr>
          <w:rFonts w:ascii="Times" w:hAnsi="Times"/>
          <w:sz w:val="22"/>
          <w:szCs w:val="22"/>
        </w:rPr>
        <w:t xml:space="preserve">the number of blobs decreases when the effective resistivity </w:t>
      </w:r>
      <w:r w:rsidR="008D5481">
        <w:rPr>
          <w:rFonts w:ascii="Times" w:hAnsi="Times"/>
          <w:sz w:val="22"/>
          <w:szCs w:val="22"/>
        </w:rPr>
        <w:t>rises</w:t>
      </w:r>
      <w:r w:rsidRPr="009B6C4C">
        <w:rPr>
          <w:rFonts w:ascii="Times" w:hAnsi="Times"/>
          <w:sz w:val="22"/>
          <w:szCs w:val="22"/>
        </w:rPr>
        <w:t xml:space="preserve"> as the current sheet </w:t>
      </w:r>
      <w:r>
        <w:rPr>
          <w:rFonts w:ascii="Times" w:hAnsi="Times"/>
          <w:sz w:val="22"/>
          <w:szCs w:val="22"/>
        </w:rPr>
        <w:t xml:space="preserve">is </w:t>
      </w:r>
      <w:r w:rsidRPr="009B6C4C">
        <w:rPr>
          <w:rFonts w:ascii="Times" w:hAnsi="Times"/>
          <w:sz w:val="22"/>
          <w:szCs w:val="22"/>
        </w:rPr>
        <w:t xml:space="preserve">compressed to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9B6C4C">
        <w:rPr>
          <w:rFonts w:ascii="Times" w:hAnsi="Times"/>
          <w:sz w:val="22"/>
          <w:szCs w:val="22"/>
        </w:rPr>
        <w:t xml:space="preserve"> a</w:t>
      </w:r>
      <w:r w:rsidR="00643F5B">
        <w:rPr>
          <w:rFonts w:ascii="Times" w:hAnsi="Times"/>
          <w:sz w:val="22"/>
          <w:szCs w:val="22"/>
        </w:rPr>
        <w:t xml:space="preserve">s </w:t>
      </w:r>
      <w:r w:rsidRPr="009B6C4C">
        <w:rPr>
          <w:rFonts w:ascii="Times" w:hAnsi="Times"/>
          <w:sz w:val="22"/>
          <w:szCs w:val="22"/>
        </w:rPr>
        <w:t>shown in Fig. 2.</w:t>
      </w:r>
      <w:r w:rsidR="00B6023C">
        <w:rPr>
          <w:rFonts w:ascii="Times" w:hAnsi="Times"/>
          <w:sz w:val="22"/>
          <w:szCs w:val="22"/>
        </w:rPr>
        <w:t xml:space="preserve"> </w:t>
      </w:r>
      <w:r w:rsidRPr="009B6C4C">
        <w:rPr>
          <w:rFonts w:ascii="Times" w:hAnsi="Times"/>
          <w:sz w:val="22"/>
          <w:szCs w:val="22"/>
        </w:rPr>
        <w:t>Under</w:t>
      </w:r>
      <w:r w:rsidR="000B6D90">
        <w:rPr>
          <w:rFonts w:ascii="Times" w:hAnsi="Times"/>
          <w:sz w:val="22"/>
          <w:szCs w:val="22"/>
        </w:rPr>
        <w:t xml:space="preserve"> the</w:t>
      </w:r>
      <w:r w:rsidRPr="009B6C4C">
        <w:rPr>
          <w:rFonts w:ascii="Times" w:hAnsi="Times"/>
          <w:sz w:val="22"/>
          <w:szCs w:val="22"/>
        </w:rPr>
        <w:t xml:space="preserve"> high inflow</w:t>
      </w:r>
      <w:r w:rsidR="00B6023C">
        <w:rPr>
          <w:rFonts w:ascii="Times" w:hAnsi="Times"/>
          <w:sz w:val="22"/>
          <w:szCs w:val="22"/>
        </w:rPr>
        <w:t xml:space="preserve"> </w:t>
      </w:r>
      <w:r w:rsidRPr="009B6C4C">
        <w:rPr>
          <w:rFonts w:ascii="Times" w:hAnsi="Times"/>
          <w:sz w:val="22"/>
          <w:szCs w:val="22"/>
        </w:rPr>
        <w:t xml:space="preserve">condition </w:t>
      </w:r>
      <w:r w:rsidR="005E3DD2">
        <w:rPr>
          <w:rFonts w:ascii="Times" w:hAnsi="Times"/>
          <w:sz w:val="22"/>
          <w:szCs w:val="22"/>
        </w:rPr>
        <w:t>with</w:t>
      </w:r>
      <w:r w:rsidRPr="009B6C4C">
        <w:rPr>
          <w:rFonts w:ascii="Times" w:hAnsi="Times"/>
          <w:sz w:val="22"/>
          <w:szCs w:val="22"/>
        </w:rPr>
        <w:t xml:space="preserve"> L=427mm, </w:t>
      </w:r>
      <w:r w:rsidR="005E3DD2" w:rsidRPr="005E3DD2">
        <w:rPr>
          <w:rFonts w:ascii="Times" w:hAnsi="Times"/>
          <w:sz w:val="22"/>
          <w:szCs w:val="22"/>
        </w:rPr>
        <w:t xml:space="preserve">the effective resistivity </w:t>
      </w:r>
      <w:r w:rsidR="000B6D90">
        <w:rPr>
          <w:rFonts w:ascii="Times" w:hAnsi="Times"/>
          <w:sz w:val="22"/>
          <w:szCs w:val="22"/>
        </w:rPr>
        <w:t>becomes larger</w:t>
      </w:r>
      <w:r w:rsidR="005E3DD2" w:rsidRPr="005E3DD2">
        <w:rPr>
          <w:rFonts w:ascii="Times" w:hAnsi="Times"/>
          <w:sz w:val="22"/>
          <w:szCs w:val="22"/>
        </w:rPr>
        <w:t xml:space="preserve"> in the early stage of</w:t>
      </w:r>
      <w:r w:rsidR="000B6D90">
        <w:rPr>
          <w:rFonts w:ascii="Times" w:hAnsi="Times"/>
          <w:sz w:val="22"/>
          <w:szCs w:val="22"/>
        </w:rPr>
        <w:t xml:space="preserve"> the</w:t>
      </w:r>
      <w:r w:rsidR="005E3DD2" w:rsidRPr="005E3DD2">
        <w:rPr>
          <w:rFonts w:ascii="Times" w:hAnsi="Times"/>
          <w:sz w:val="22"/>
          <w:szCs w:val="22"/>
        </w:rPr>
        <w:t xml:space="preserve"> reconnection by compressing the sheet</w:t>
      </w:r>
      <w:r w:rsidR="005E3DD2">
        <w:rPr>
          <w:rFonts w:ascii="Times" w:hAnsi="Times"/>
          <w:sz w:val="22"/>
          <w:szCs w:val="22"/>
        </w:rPr>
        <w:t xml:space="preserve"> </w:t>
      </w:r>
      <w:r w:rsidRPr="009B6C4C">
        <w:rPr>
          <w:rFonts w:ascii="Times" w:hAnsi="Times"/>
          <w:sz w:val="22"/>
          <w:szCs w:val="22"/>
        </w:rPr>
        <w:t>to</w:t>
      </w:r>
      <w:r w:rsidR="00AA7675">
        <w:rPr>
          <w:rFonts w:ascii="Times" w:hAnsi="Times"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5E3DD2">
        <w:rPr>
          <w:rFonts w:ascii="Times" w:hAnsi="Times"/>
          <w:sz w:val="22"/>
          <w:szCs w:val="22"/>
        </w:rPr>
        <w:t>,</w:t>
      </w:r>
      <w:r w:rsidRPr="009B6C4C">
        <w:rPr>
          <w:rFonts w:ascii="Times" w:hAnsi="Times"/>
          <w:sz w:val="22"/>
          <w:szCs w:val="22"/>
        </w:rPr>
        <w:t xml:space="preserve"> increasing reconnection speed without </w:t>
      </w:r>
      <w:r w:rsidR="005E3DD2">
        <w:rPr>
          <w:rFonts w:ascii="Times" w:hAnsi="Times"/>
          <w:sz w:val="22"/>
          <w:szCs w:val="22"/>
        </w:rPr>
        <w:t xml:space="preserve">forming a </w:t>
      </w:r>
      <w:r w:rsidRPr="009B6C4C">
        <w:rPr>
          <w:rFonts w:ascii="Times" w:hAnsi="Times"/>
          <w:sz w:val="22"/>
          <w:szCs w:val="22"/>
        </w:rPr>
        <w:t>plasma blob. We</w:t>
      </w:r>
      <w:r w:rsidR="00B6023C">
        <w:rPr>
          <w:rFonts w:ascii="Times" w:hAnsi="Times"/>
          <w:sz w:val="22"/>
          <w:szCs w:val="22"/>
        </w:rPr>
        <w:t xml:space="preserve"> </w:t>
      </w:r>
      <w:r w:rsidRPr="009B6C4C">
        <w:rPr>
          <w:rFonts w:ascii="Times" w:hAnsi="Times"/>
          <w:sz w:val="22"/>
          <w:szCs w:val="22"/>
        </w:rPr>
        <w:t>also found the further increase in external inflow causes the</w:t>
      </w:r>
      <w:r w:rsidR="005E3DD2">
        <w:rPr>
          <w:rFonts w:ascii="Times" w:hAnsi="Times"/>
          <w:sz w:val="22"/>
          <w:szCs w:val="22"/>
        </w:rPr>
        <w:t xml:space="preserve"> current sheet to</w:t>
      </w:r>
      <w:r w:rsidRPr="009B6C4C">
        <w:rPr>
          <w:rFonts w:ascii="Times" w:hAnsi="Times"/>
          <w:sz w:val="22"/>
          <w:szCs w:val="22"/>
        </w:rPr>
        <w:t xml:space="preserve"> split</w:t>
      </w:r>
      <w:r w:rsidR="00AA7675">
        <w:rPr>
          <w:rFonts w:ascii="Times" w:hAnsi="Times"/>
          <w:sz w:val="22"/>
          <w:szCs w:val="22"/>
        </w:rPr>
        <w:t xml:space="preserve"> </w:t>
      </w:r>
      <w:r w:rsidRPr="009B6C4C">
        <w:rPr>
          <w:rFonts w:ascii="Times" w:hAnsi="Times"/>
          <w:sz w:val="22"/>
          <w:szCs w:val="22"/>
        </w:rPr>
        <w:t>and eject,</w:t>
      </w:r>
      <w:r w:rsidR="005E3DD2">
        <w:rPr>
          <w:rFonts w:ascii="Times" w:hAnsi="Times"/>
          <w:sz w:val="22"/>
          <w:szCs w:val="22"/>
        </w:rPr>
        <w:t xml:space="preserve"> </w:t>
      </w:r>
      <w:r w:rsidR="00282791">
        <w:rPr>
          <w:rFonts w:ascii="Times" w:hAnsi="Times"/>
          <w:sz w:val="22"/>
          <w:szCs w:val="22"/>
        </w:rPr>
        <w:t>accelerating</w:t>
      </w:r>
      <w:r w:rsidRPr="009B6C4C">
        <w:rPr>
          <w:rFonts w:ascii="Times" w:hAnsi="Times"/>
          <w:sz w:val="22"/>
          <w:szCs w:val="22"/>
        </w:rPr>
        <w:t xml:space="preserve"> the reconnectio</w:t>
      </w:r>
      <w:r w:rsidR="005E3DD2">
        <w:rPr>
          <w:rFonts w:ascii="Times" w:hAnsi="Times"/>
          <w:sz w:val="22"/>
          <w:szCs w:val="22"/>
        </w:rPr>
        <w:t>n</w:t>
      </w:r>
      <w:r w:rsidRPr="009B6C4C">
        <w:rPr>
          <w:rFonts w:ascii="Times" w:hAnsi="Times"/>
          <w:sz w:val="22"/>
          <w:szCs w:val="22"/>
        </w:rPr>
        <w:t xml:space="preserve"> due to </w:t>
      </w:r>
      <w:r w:rsidR="00643F5B">
        <w:rPr>
          <w:rFonts w:ascii="Times" w:hAnsi="Times"/>
          <w:sz w:val="22"/>
          <w:szCs w:val="22"/>
        </w:rPr>
        <w:t xml:space="preserve">the </w:t>
      </w:r>
      <w:r w:rsidRPr="009B6C4C">
        <w:rPr>
          <w:rFonts w:ascii="Times" w:hAnsi="Times"/>
          <w:sz w:val="22"/>
          <w:szCs w:val="22"/>
        </w:rPr>
        <w:t>effective mass ejection from the X-point area.</w:t>
      </w:r>
    </w:p>
    <w:p w14:paraId="5FDDCBCD" w14:textId="5AE064CB" w:rsidR="00AA7675" w:rsidRPr="00AA7675" w:rsidRDefault="00535CF3" w:rsidP="00611D25">
      <w:pPr>
        <w:adjustRightInd w:val="0"/>
        <w:snapToGrid w:val="0"/>
        <w:spacing w:line="200" w:lineRule="atLeast"/>
        <w:jc w:val="left"/>
        <w:rPr>
          <w:rFonts w:ascii="Times" w:hAnsi="Times" w:cs="Times" w:hint="eastAsia"/>
          <w:color w:val="000000"/>
        </w:rPr>
      </w:pPr>
      <w:r>
        <w:rPr>
          <w:rFonts w:ascii="Times" w:hAnsi="Times" w:cs="Times"/>
          <w:color w:val="000000"/>
        </w:rPr>
        <w:t xml:space="preserve">  </w:t>
      </w:r>
      <w:r w:rsidR="00D80AD6" w:rsidRPr="00D97B40">
        <w:rPr>
          <w:rFonts w:ascii="Times" w:hAnsi="Times"/>
          <w:noProof/>
        </w:rPr>
        <w:drawing>
          <wp:inline distT="0" distB="0" distL="0" distR="0" wp14:anchorId="29060753" wp14:editId="7EAB15FA">
            <wp:extent cx="2386293" cy="1669312"/>
            <wp:effectExtent l="0" t="0" r="0" b="762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941" cy="171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A55F" w14:textId="77777777" w:rsidR="00AA7675" w:rsidRDefault="00D80AD6" w:rsidP="005E3DD2">
      <w:pPr>
        <w:adjustRightInd w:val="0"/>
        <w:snapToGrid w:val="0"/>
        <w:spacing w:line="2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565497">
        <w:rPr>
          <w:rFonts w:ascii="Times" w:hAnsi="Times" w:hint="eastAsia"/>
          <w:sz w:val="20"/>
          <w:szCs w:val="20"/>
        </w:rPr>
        <w:t>F</w:t>
      </w:r>
      <w:r w:rsidRPr="00565497">
        <w:rPr>
          <w:rFonts w:ascii="Times" w:hAnsi="Times"/>
          <w:sz w:val="20"/>
          <w:szCs w:val="20"/>
        </w:rPr>
        <w:t>ig.1</w:t>
      </w:r>
      <w:r w:rsidR="00AA7675">
        <w:rPr>
          <w:rFonts w:ascii="Times" w:hAnsi="Times" w:cs="Times"/>
          <w:color w:val="000000"/>
          <w:sz w:val="20"/>
          <w:szCs w:val="20"/>
        </w:rPr>
        <w:t xml:space="preserve"> </w:t>
      </w:r>
      <w:r w:rsidR="00AA7675">
        <w:rPr>
          <w:rFonts w:ascii="Times New Roman" w:hAnsi="Times New Roman" w:cs="Times New Roman"/>
          <w:color w:val="000000"/>
          <w:sz w:val="20"/>
          <w:szCs w:val="20"/>
        </w:rPr>
        <w:t xml:space="preserve">Vertical cross-section of TS-6 </w:t>
      </w:r>
      <w:r w:rsidR="00AA7675">
        <w:rPr>
          <w:rFonts w:ascii="Times" w:hAnsi="Times" w:cs="Times"/>
          <w:color w:val="000000"/>
          <w:sz w:val="20"/>
          <w:szCs w:val="20"/>
        </w:rPr>
        <w:t>tokamak</w:t>
      </w:r>
      <w:r w:rsidR="00AA7675">
        <w:rPr>
          <w:rFonts w:ascii="Times" w:hAnsi="Times" w:cs="Times"/>
          <w:color w:val="000000"/>
          <w:sz w:val="20"/>
          <w:szCs w:val="20"/>
        </w:rPr>
        <w:t xml:space="preserve"> </w:t>
      </w:r>
      <w:r w:rsidR="00AA7675">
        <w:rPr>
          <w:rFonts w:ascii="Times" w:hAnsi="Times" w:cs="Times"/>
          <w:color w:val="000000"/>
          <w:sz w:val="20"/>
          <w:szCs w:val="20"/>
        </w:rPr>
        <w:t>plasma</w:t>
      </w:r>
      <w:r w:rsidR="00AA7675">
        <w:rPr>
          <w:rFonts w:ascii="Times" w:hAnsi="Times" w:cs="Times"/>
          <w:color w:val="000000"/>
          <w:sz w:val="20"/>
          <w:szCs w:val="20"/>
        </w:rPr>
        <w:t xml:space="preserve"> </w:t>
      </w:r>
      <w:r w:rsidR="00AA7675">
        <w:rPr>
          <w:rFonts w:ascii="Times" w:hAnsi="Times" w:cs="Times"/>
          <w:color w:val="000000"/>
          <w:sz w:val="20"/>
          <w:szCs w:val="20"/>
        </w:rPr>
        <w:t xml:space="preserve">merging device </w:t>
      </w:r>
      <w:r w:rsidR="00AA7675">
        <w:rPr>
          <w:rFonts w:ascii="Times New Roman" w:hAnsi="Times New Roman" w:cs="Times New Roman"/>
          <w:color w:val="000000"/>
          <w:sz w:val="20"/>
          <w:szCs w:val="20"/>
        </w:rPr>
        <w:t>with three PF coil positions</w:t>
      </w:r>
    </w:p>
    <w:p w14:paraId="7D070AE9" w14:textId="1C0ED1CF" w:rsidR="00D80AD6" w:rsidRDefault="007F52E6" w:rsidP="00AA7675">
      <w:pPr>
        <w:adjustRightInd w:val="0"/>
        <w:snapToGrid w:val="0"/>
        <w:spacing w:line="200" w:lineRule="atLeast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                                                                            </w:t>
      </w:r>
    </w:p>
    <w:p w14:paraId="67C4DA69" w14:textId="436B20C0" w:rsidR="00D80AD6" w:rsidRPr="00565497" w:rsidRDefault="007F3C78" w:rsidP="00FC743C">
      <w:pPr>
        <w:adjustRightInd w:val="0"/>
        <w:snapToGrid w:val="0"/>
        <w:spacing w:line="200" w:lineRule="atLeast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7D4CBDB" wp14:editId="19AAA1C4">
            <wp:extent cx="3142625" cy="2152015"/>
            <wp:effectExtent l="0" t="0" r="635" b="635"/>
            <wp:docPr id="190193472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03" cy="215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DB40" w14:textId="30349877" w:rsidR="00477524" w:rsidRDefault="00AA7675" w:rsidP="005E3DD2">
      <w:pPr>
        <w:adjustRightInd w:val="0"/>
        <w:snapToGrid w:val="0"/>
        <w:spacing w:line="200" w:lineRule="atLeas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 xml:space="preserve">Fig.2 The time evolution of the merging ratio of two tokamak plasmas (upper left),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toroidal </w:t>
      </w:r>
      <w:r>
        <w:rPr>
          <w:rFonts w:ascii="Times" w:hAnsi="Times" w:cs="Times"/>
          <w:color w:val="000000"/>
          <w:sz w:val="20"/>
          <w:szCs w:val="20"/>
        </w:rPr>
        <w:t xml:space="preserve">current density (middle left),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effective </w:t>
      </w:r>
      <w:r>
        <w:rPr>
          <w:rFonts w:ascii="Times" w:hAnsi="Times" w:cs="Times"/>
          <w:color w:val="000000"/>
          <w:sz w:val="20"/>
          <w:szCs w:val="20"/>
        </w:rPr>
        <w:t xml:space="preserve">resistivity (lower left) at the X point, and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2D profiles </w:t>
      </w:r>
      <w:r>
        <w:rPr>
          <w:rFonts w:ascii="Times" w:hAnsi="Times" w:cs="Times"/>
          <w:color w:val="000000"/>
          <w:sz w:val="20"/>
          <w:szCs w:val="20"/>
        </w:rPr>
        <w:t xml:space="preserve">of the poloidal flux (black line) and current density (color contour) </w:t>
      </w:r>
      <w:r>
        <w:rPr>
          <w:rFonts w:ascii="Times New Roman" w:hAnsi="Times New Roman" w:cs="Times New Roman"/>
          <w:color w:val="000000"/>
          <w:sz w:val="20"/>
          <w:szCs w:val="20"/>
        </w:rPr>
        <w:t>(right) under </w:t>
      </w:r>
      <w:r>
        <w:rPr>
          <w:rFonts w:ascii="Times New Roman" w:hAnsi="Times New Roman" w:cs="Times New Roman"/>
          <w:color w:val="000000"/>
          <w:sz w:val="20"/>
          <w:szCs w:val="20"/>
        </w:rPr>
        <w:t>medium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inflow</w:t>
      </w:r>
    </w:p>
    <w:p w14:paraId="09A14AE9" w14:textId="77777777" w:rsidR="00AA7675" w:rsidRPr="00AA7675" w:rsidRDefault="00AA7675" w:rsidP="00C60F22">
      <w:pPr>
        <w:adjustRightInd w:val="0"/>
        <w:snapToGrid w:val="0"/>
        <w:spacing w:line="200" w:lineRule="atLeast"/>
        <w:jc w:val="left"/>
        <w:rPr>
          <w:rFonts w:ascii="Times" w:hAnsi="Times"/>
        </w:rPr>
      </w:pPr>
    </w:p>
    <w:p w14:paraId="18A5EEAA" w14:textId="77777777" w:rsidR="00FC743C" w:rsidRPr="00535CF3" w:rsidRDefault="00FC743C" w:rsidP="00FC743C">
      <w:pPr>
        <w:adjustRightInd w:val="0"/>
        <w:snapToGrid w:val="0"/>
        <w:spacing w:line="200" w:lineRule="atLeast"/>
        <w:rPr>
          <w:rFonts w:ascii="Times" w:hAnsi="Times"/>
          <w:sz w:val="22"/>
          <w:szCs w:val="22"/>
        </w:rPr>
      </w:pPr>
      <w:r w:rsidRPr="00535CF3">
        <w:rPr>
          <w:rFonts w:ascii="Times" w:hAnsi="Times"/>
          <w:sz w:val="22"/>
          <w:szCs w:val="22"/>
        </w:rPr>
        <w:t>References</w:t>
      </w:r>
    </w:p>
    <w:p w14:paraId="6E8BD593" w14:textId="0C40ECF2" w:rsidR="00DC50C6" w:rsidRPr="00535CF3" w:rsidRDefault="00DC50C6" w:rsidP="00FC743C">
      <w:pPr>
        <w:adjustRightInd w:val="0"/>
        <w:snapToGrid w:val="0"/>
        <w:spacing w:line="200" w:lineRule="atLeast"/>
        <w:rPr>
          <w:rFonts w:ascii="Times" w:hAnsi="Times"/>
          <w:sz w:val="22"/>
          <w:szCs w:val="22"/>
        </w:rPr>
      </w:pPr>
      <w:r w:rsidRPr="00535CF3">
        <w:rPr>
          <w:rFonts w:ascii="Times" w:eastAsia="ＭＳ Ｐゴシック" w:hAnsi="Times" w:cs="ＭＳ Ｐゴシック" w:hint="eastAsia"/>
          <w:kern w:val="0"/>
          <w:sz w:val="22"/>
          <w:szCs w:val="22"/>
        </w:rPr>
        <w:t>[</w:t>
      </w:r>
      <w:r w:rsidR="000C5539" w:rsidRPr="00535CF3">
        <w:rPr>
          <w:rFonts w:ascii="Times" w:eastAsia="ＭＳ Ｐゴシック" w:hAnsi="Times" w:cs="ＭＳ Ｐゴシック"/>
          <w:kern w:val="0"/>
          <w:sz w:val="22"/>
          <w:szCs w:val="22"/>
        </w:rPr>
        <w:t>1</w:t>
      </w:r>
      <w:r w:rsidRPr="00535CF3">
        <w:rPr>
          <w:rFonts w:ascii="Times" w:eastAsia="ＭＳ Ｐゴシック" w:hAnsi="Times" w:cs="ＭＳ Ｐゴシック"/>
          <w:kern w:val="0"/>
          <w:sz w:val="22"/>
          <w:szCs w:val="22"/>
        </w:rPr>
        <w:t>]</w:t>
      </w:r>
      <w:r w:rsidRPr="00535CF3">
        <w:rPr>
          <w:rFonts w:ascii="Times" w:eastAsia="ＭＳ Ｐゴシック" w:hAnsi="Times" w:cs="ＭＳ Ｐゴシック" w:hint="eastAsia"/>
          <w:kern w:val="0"/>
          <w:sz w:val="22"/>
          <w:szCs w:val="22"/>
        </w:rPr>
        <w:t xml:space="preserve"> </w:t>
      </w:r>
      <w:r w:rsidRPr="00535CF3">
        <w:rPr>
          <w:rFonts w:ascii="Times" w:eastAsia="ＭＳ Ｐゴシック" w:hAnsi="Times" w:cs="ＭＳ Ｐゴシック"/>
          <w:kern w:val="0"/>
          <w:sz w:val="22"/>
          <w:szCs w:val="22"/>
        </w:rPr>
        <w:t>Y. Ono et al., Physics of Plasmas, Vol. 4, No. 5, pp. 1953–1963, 1997.</w:t>
      </w:r>
    </w:p>
    <w:p w14:paraId="6FDCD3E1" w14:textId="600A28EA" w:rsidR="00FC743C" w:rsidRPr="00535CF3" w:rsidRDefault="00FC743C" w:rsidP="00711C6E">
      <w:pPr>
        <w:adjustRightInd w:val="0"/>
        <w:snapToGrid w:val="0"/>
        <w:spacing w:line="200" w:lineRule="atLeast"/>
        <w:rPr>
          <w:rFonts w:ascii="Times" w:hAnsi="Times"/>
          <w:sz w:val="22"/>
          <w:szCs w:val="22"/>
        </w:rPr>
      </w:pPr>
      <w:r w:rsidRPr="00535CF3">
        <w:rPr>
          <w:rFonts w:ascii="Times" w:hAnsi="Times" w:hint="eastAsia"/>
          <w:sz w:val="22"/>
          <w:szCs w:val="22"/>
        </w:rPr>
        <w:t>[</w:t>
      </w:r>
      <w:r w:rsidR="000C5539" w:rsidRPr="00535CF3">
        <w:rPr>
          <w:rFonts w:ascii="Times" w:hAnsi="Times"/>
          <w:sz w:val="22"/>
          <w:szCs w:val="22"/>
        </w:rPr>
        <w:t>2</w:t>
      </w:r>
      <w:r w:rsidRPr="00535CF3">
        <w:rPr>
          <w:rFonts w:ascii="Times" w:hAnsi="Times"/>
          <w:sz w:val="22"/>
          <w:szCs w:val="22"/>
        </w:rPr>
        <w:t>] M. Yamada et al., Physics of Plasmas, Vol. 13,</w:t>
      </w:r>
      <w:r w:rsidRPr="00535CF3">
        <w:rPr>
          <w:rFonts w:ascii="Times" w:hAnsi="Times" w:hint="eastAsia"/>
          <w:sz w:val="22"/>
          <w:szCs w:val="22"/>
        </w:rPr>
        <w:t xml:space="preserve"> </w:t>
      </w:r>
      <w:r w:rsidRPr="00535CF3">
        <w:rPr>
          <w:rFonts w:ascii="Times" w:hAnsi="Times"/>
          <w:sz w:val="22"/>
          <w:szCs w:val="22"/>
        </w:rPr>
        <w:t>No. 5, p. 052119, 2006.</w:t>
      </w:r>
    </w:p>
    <w:p w14:paraId="0073553A" w14:textId="0961AC58" w:rsidR="00FC743C" w:rsidRPr="00535CF3" w:rsidRDefault="00FC743C" w:rsidP="00FC743C">
      <w:pPr>
        <w:adjustRightInd w:val="0"/>
        <w:snapToGrid w:val="0"/>
        <w:spacing w:line="200" w:lineRule="atLeast"/>
        <w:rPr>
          <w:rFonts w:ascii="Times" w:hAnsi="Times"/>
          <w:color w:val="000000" w:themeColor="text1"/>
          <w:sz w:val="22"/>
          <w:szCs w:val="22"/>
        </w:rPr>
      </w:pPr>
      <w:r w:rsidRPr="00535CF3">
        <w:rPr>
          <w:rFonts w:ascii="Times" w:eastAsia="ＭＳ Ｐゴシック" w:hAnsi="Times" w:cs="ＭＳ Ｐゴシック" w:hint="eastAsia"/>
          <w:kern w:val="0"/>
          <w:sz w:val="22"/>
          <w:szCs w:val="22"/>
        </w:rPr>
        <w:t>[</w:t>
      </w:r>
      <w:r w:rsidR="000C5539" w:rsidRPr="00535CF3">
        <w:rPr>
          <w:rFonts w:ascii="Times" w:eastAsia="ＭＳ Ｐゴシック" w:hAnsi="Times" w:cs="ＭＳ Ｐゴシック"/>
          <w:kern w:val="0"/>
          <w:sz w:val="22"/>
          <w:szCs w:val="22"/>
        </w:rPr>
        <w:t>3</w:t>
      </w:r>
      <w:r w:rsidRPr="00535CF3">
        <w:rPr>
          <w:rFonts w:ascii="Times" w:eastAsia="ＭＳ Ｐゴシック" w:hAnsi="Times" w:cs="ＭＳ Ｐゴシック"/>
          <w:kern w:val="0"/>
          <w:sz w:val="22"/>
          <w:szCs w:val="22"/>
        </w:rPr>
        <w:t>]</w:t>
      </w:r>
      <w:r w:rsidR="000C5539" w:rsidRPr="00535CF3">
        <w:rPr>
          <w:rFonts w:ascii="Times" w:eastAsia="ＭＳ Ｐゴシック" w:hAnsi="Times" w:cs="ＭＳ Ｐゴシック"/>
          <w:kern w:val="0"/>
          <w:sz w:val="22"/>
          <w:szCs w:val="22"/>
        </w:rPr>
        <w:t xml:space="preserve"> </w:t>
      </w:r>
      <w:r w:rsidRPr="00535CF3">
        <w:rPr>
          <w:rFonts w:ascii="Times" w:eastAsia="ＭＳ Ｐゴシック" w:hAnsi="Times" w:cs="ＭＳ Ｐゴシック"/>
          <w:kern w:val="0"/>
          <w:sz w:val="22"/>
          <w:szCs w:val="22"/>
        </w:rPr>
        <w:t>S.</w:t>
      </w:r>
      <w:r w:rsidR="00F735D0" w:rsidRPr="00535CF3">
        <w:rPr>
          <w:rFonts w:ascii="Times" w:eastAsia="ＭＳ Ｐゴシック" w:hAnsi="Times" w:cs="ＭＳ Ｐゴシック" w:hint="eastAsia"/>
          <w:kern w:val="0"/>
          <w:sz w:val="22"/>
          <w:szCs w:val="22"/>
        </w:rPr>
        <w:t xml:space="preserve">　</w:t>
      </w:r>
      <w:proofErr w:type="spellStart"/>
      <w:r w:rsidRPr="00535CF3">
        <w:rPr>
          <w:rFonts w:ascii="Times" w:eastAsia="ＭＳ Ｐゴシック" w:hAnsi="Times" w:cs="ＭＳ Ｐゴシック"/>
          <w:kern w:val="0"/>
          <w:sz w:val="22"/>
          <w:szCs w:val="22"/>
        </w:rPr>
        <w:t>Takasao</w:t>
      </w:r>
      <w:proofErr w:type="spellEnd"/>
      <w:r w:rsidRPr="00535CF3">
        <w:rPr>
          <w:rFonts w:ascii="Times" w:eastAsia="ＭＳ Ｐゴシック" w:hAnsi="Times" w:cs="ＭＳ Ｐゴシック"/>
          <w:kern w:val="0"/>
          <w:sz w:val="22"/>
          <w:szCs w:val="22"/>
        </w:rPr>
        <w:t xml:space="preserve"> et al., The Astrophysical Journal Letters, Vol. 745, No. 1, p. L6, 2011.</w:t>
      </w:r>
    </w:p>
    <w:p w14:paraId="0A69D966" w14:textId="4D5FEAC7" w:rsidR="000C5539" w:rsidRPr="00535CF3" w:rsidRDefault="000C5539" w:rsidP="000C5539">
      <w:pPr>
        <w:adjustRightInd w:val="0"/>
        <w:snapToGrid w:val="0"/>
        <w:spacing w:line="200" w:lineRule="atLeast"/>
        <w:rPr>
          <w:rFonts w:ascii="Times" w:hAnsi="Times"/>
          <w:sz w:val="22"/>
          <w:szCs w:val="22"/>
        </w:rPr>
      </w:pPr>
      <w:r w:rsidRPr="00535CF3">
        <w:rPr>
          <w:rFonts w:ascii="Times" w:hAnsi="Times" w:hint="eastAsia"/>
          <w:sz w:val="22"/>
          <w:szCs w:val="22"/>
        </w:rPr>
        <w:t>[</w:t>
      </w:r>
      <w:r w:rsidRPr="00535CF3">
        <w:rPr>
          <w:rFonts w:ascii="Times" w:hAnsi="Times"/>
          <w:sz w:val="22"/>
          <w:szCs w:val="22"/>
        </w:rPr>
        <w:t>4] M. Akimitsu et al., Plasma Fusion Res. 13,</w:t>
      </w:r>
      <w:r w:rsidRPr="00535CF3">
        <w:rPr>
          <w:rFonts w:ascii="Times" w:hAnsi="Times" w:hint="eastAsia"/>
          <w:sz w:val="22"/>
          <w:szCs w:val="22"/>
        </w:rPr>
        <w:t xml:space="preserve"> </w:t>
      </w:r>
      <w:r w:rsidRPr="00535CF3">
        <w:rPr>
          <w:rFonts w:ascii="Times" w:hAnsi="Times"/>
          <w:sz w:val="22"/>
          <w:szCs w:val="22"/>
        </w:rPr>
        <w:t>1202108 (2018).</w:t>
      </w:r>
    </w:p>
    <w:p w14:paraId="7DEB8424" w14:textId="77777777" w:rsidR="000C5539" w:rsidRPr="00611D25" w:rsidRDefault="000C5539" w:rsidP="00FC743C">
      <w:pPr>
        <w:adjustRightInd w:val="0"/>
        <w:snapToGrid w:val="0"/>
        <w:spacing w:line="200" w:lineRule="atLeast"/>
        <w:rPr>
          <w:rFonts w:ascii="Times" w:hAnsi="Times"/>
        </w:rPr>
        <w:sectPr w:rsidR="000C5539" w:rsidRPr="00611D25" w:rsidSect="00B95C68">
          <w:type w:val="continuous"/>
          <w:pgSz w:w="11900" w:h="16840"/>
          <w:pgMar w:top="1418" w:right="1134" w:bottom="1134" w:left="1134" w:header="851" w:footer="992" w:gutter="0"/>
          <w:cols w:num="2" w:space="425"/>
          <w:docGrid w:type="lines" w:linePitch="400"/>
        </w:sectPr>
      </w:pPr>
    </w:p>
    <w:p w14:paraId="2CA912C5" w14:textId="77777777" w:rsidR="00B406B8" w:rsidRPr="00611D25" w:rsidRDefault="00B406B8"/>
    <w:sectPr w:rsidR="00B406B8" w:rsidRPr="00611D25" w:rsidSect="00B95C68">
      <w:headerReference w:type="default" r:id="rId10"/>
      <w:type w:val="continuous"/>
      <w:pgSz w:w="11900" w:h="16840"/>
      <w:pgMar w:top="1418" w:right="1134" w:bottom="1134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367A9" w14:textId="77777777" w:rsidR="002563A0" w:rsidRDefault="002563A0" w:rsidP="00817C10">
      <w:r>
        <w:separator/>
      </w:r>
    </w:p>
  </w:endnote>
  <w:endnote w:type="continuationSeparator" w:id="0">
    <w:p w14:paraId="5F022375" w14:textId="77777777" w:rsidR="002563A0" w:rsidRDefault="002563A0" w:rsidP="00817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90357" w14:textId="77777777" w:rsidR="002563A0" w:rsidRDefault="002563A0" w:rsidP="00817C10">
      <w:r>
        <w:separator/>
      </w:r>
    </w:p>
  </w:footnote>
  <w:footnote w:type="continuationSeparator" w:id="0">
    <w:p w14:paraId="7DE57CE8" w14:textId="77777777" w:rsidR="002563A0" w:rsidRDefault="002563A0" w:rsidP="00817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FD005" w14:textId="77777777" w:rsidR="00FC743C" w:rsidRPr="00052EDD" w:rsidRDefault="00FC743C">
    <w:pPr>
      <w:pStyle w:val="a3"/>
      <w:rPr>
        <w:rFonts w:ascii="Times" w:hAnsi="Times"/>
        <w:sz w:val="22"/>
        <w:szCs w:val="22"/>
      </w:rPr>
    </w:pPr>
    <w:r w:rsidRPr="00052EDD">
      <w:rPr>
        <w:rFonts w:ascii="Times" w:hAnsi="Times"/>
        <w:sz w:val="22"/>
        <w:szCs w:val="22"/>
      </w:rPr>
      <w:t xml:space="preserve">MR2023 Workshop on Magnetic Reconnection, 26-29 </w:t>
    </w:r>
    <w:proofErr w:type="gramStart"/>
    <w:r w:rsidRPr="00052EDD">
      <w:rPr>
        <w:rFonts w:ascii="Times" w:hAnsi="Times"/>
        <w:sz w:val="22"/>
        <w:szCs w:val="22"/>
      </w:rPr>
      <w:t>Jun,</w:t>
    </w:r>
    <w:proofErr w:type="gramEnd"/>
    <w:r w:rsidRPr="00052EDD">
      <w:rPr>
        <w:rFonts w:ascii="Times" w:hAnsi="Times"/>
        <w:sz w:val="22"/>
        <w:szCs w:val="22"/>
      </w:rPr>
      <w:t xml:space="preserve"> 2023</w:t>
    </w:r>
    <w:r w:rsidRPr="00052EDD">
      <w:rPr>
        <w:rFonts w:ascii="Times" w:hAnsi="Times"/>
        <w:noProof/>
        <w:sz w:val="22"/>
        <w:szCs w:val="22"/>
      </w:rPr>
      <w:t>, Ise-Shima, Mie, Japan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ED4A" w14:textId="3260D066" w:rsidR="00AA345E" w:rsidRPr="00052EDD" w:rsidRDefault="00E65EA7">
    <w:pPr>
      <w:pStyle w:val="a3"/>
      <w:rPr>
        <w:rFonts w:ascii="Times" w:hAnsi="Times"/>
        <w:sz w:val="22"/>
        <w:szCs w:val="22"/>
      </w:rPr>
    </w:pPr>
    <w:r w:rsidRPr="00052EDD">
      <w:rPr>
        <w:rFonts w:ascii="Times" w:hAnsi="Times"/>
        <w:sz w:val="22"/>
        <w:szCs w:val="22"/>
      </w:rPr>
      <w:t>MR2023</w:t>
    </w:r>
    <w:r w:rsidR="00817C10" w:rsidRPr="00052EDD">
      <w:rPr>
        <w:rFonts w:ascii="Times" w:hAnsi="Times"/>
        <w:sz w:val="22"/>
        <w:szCs w:val="22"/>
      </w:rPr>
      <w:t xml:space="preserve"> Workshop on Magnetic Reconnection, 26-29 </w:t>
    </w:r>
    <w:proofErr w:type="gramStart"/>
    <w:r w:rsidR="00817C10" w:rsidRPr="00052EDD">
      <w:rPr>
        <w:rFonts w:ascii="Times" w:hAnsi="Times"/>
        <w:sz w:val="22"/>
        <w:szCs w:val="22"/>
      </w:rPr>
      <w:t>Jun,</w:t>
    </w:r>
    <w:proofErr w:type="gramEnd"/>
    <w:r w:rsidR="00817C10" w:rsidRPr="00052EDD">
      <w:rPr>
        <w:rFonts w:ascii="Times" w:hAnsi="Times"/>
        <w:sz w:val="22"/>
        <w:szCs w:val="22"/>
      </w:rPr>
      <w:t xml:space="preserve"> 2023</w:t>
    </w:r>
    <w:r w:rsidR="00817C10" w:rsidRPr="00052EDD">
      <w:rPr>
        <w:rFonts w:ascii="Times" w:hAnsi="Times"/>
        <w:noProof/>
        <w:sz w:val="22"/>
        <w:szCs w:val="22"/>
      </w:rPr>
      <w:t>, Ise-Shima, Mie, Japan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6D1D"/>
    <w:multiLevelType w:val="hybridMultilevel"/>
    <w:tmpl w:val="133E8E1C"/>
    <w:lvl w:ilvl="0" w:tplc="3676CD72">
      <w:start w:val="1"/>
      <w:numFmt w:val="lowerLetter"/>
      <w:lvlText w:val="(%1)"/>
      <w:lvlJc w:val="left"/>
      <w:pPr>
        <w:ind w:left="360" w:hanging="360"/>
      </w:pPr>
      <w:rPr>
        <w:rFonts w:ascii="Times" w:eastAsiaTheme="minorEastAsia" w:hAnsi="Times" w:cstheme="minorBidi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E285881"/>
    <w:multiLevelType w:val="hybridMultilevel"/>
    <w:tmpl w:val="F2E2531A"/>
    <w:lvl w:ilvl="0" w:tplc="6F546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241600944">
    <w:abstractNumId w:val="0"/>
  </w:num>
  <w:num w:numId="2" w16cid:durableId="102579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10"/>
    <w:rsid w:val="000146DD"/>
    <w:rsid w:val="00052EDD"/>
    <w:rsid w:val="000B6D90"/>
    <w:rsid w:val="000C5539"/>
    <w:rsid w:val="000E5004"/>
    <w:rsid w:val="000E6C92"/>
    <w:rsid w:val="00147829"/>
    <w:rsid w:val="001F6982"/>
    <w:rsid w:val="00220AD9"/>
    <w:rsid w:val="0022349C"/>
    <w:rsid w:val="00226864"/>
    <w:rsid w:val="002319F5"/>
    <w:rsid w:val="002563A0"/>
    <w:rsid w:val="00282791"/>
    <w:rsid w:val="002F7758"/>
    <w:rsid w:val="00351996"/>
    <w:rsid w:val="0044655B"/>
    <w:rsid w:val="00477524"/>
    <w:rsid w:val="0048448C"/>
    <w:rsid w:val="004F3250"/>
    <w:rsid w:val="00514295"/>
    <w:rsid w:val="00535CF3"/>
    <w:rsid w:val="005503E0"/>
    <w:rsid w:val="005C40DA"/>
    <w:rsid w:val="005D3B97"/>
    <w:rsid w:val="005E3DD2"/>
    <w:rsid w:val="005F7F4A"/>
    <w:rsid w:val="00611D25"/>
    <w:rsid w:val="00643F5B"/>
    <w:rsid w:val="0065040D"/>
    <w:rsid w:val="00675EF4"/>
    <w:rsid w:val="006B24B0"/>
    <w:rsid w:val="00711C6E"/>
    <w:rsid w:val="0075448C"/>
    <w:rsid w:val="00763B15"/>
    <w:rsid w:val="007B17FC"/>
    <w:rsid w:val="007E2BD1"/>
    <w:rsid w:val="007F3C78"/>
    <w:rsid w:val="007F52E6"/>
    <w:rsid w:val="00802606"/>
    <w:rsid w:val="00807678"/>
    <w:rsid w:val="00817C10"/>
    <w:rsid w:val="00864AD1"/>
    <w:rsid w:val="008D5481"/>
    <w:rsid w:val="008E5A73"/>
    <w:rsid w:val="00906FAB"/>
    <w:rsid w:val="0091104C"/>
    <w:rsid w:val="009269CB"/>
    <w:rsid w:val="00943777"/>
    <w:rsid w:val="009504F7"/>
    <w:rsid w:val="0096680E"/>
    <w:rsid w:val="009A66F1"/>
    <w:rsid w:val="009B492E"/>
    <w:rsid w:val="009B6C4C"/>
    <w:rsid w:val="009D2EAC"/>
    <w:rsid w:val="00A15970"/>
    <w:rsid w:val="00A518B9"/>
    <w:rsid w:val="00A860D5"/>
    <w:rsid w:val="00AA7675"/>
    <w:rsid w:val="00AE2054"/>
    <w:rsid w:val="00B31DFA"/>
    <w:rsid w:val="00B406B8"/>
    <w:rsid w:val="00B50CD0"/>
    <w:rsid w:val="00B52FB6"/>
    <w:rsid w:val="00B6023C"/>
    <w:rsid w:val="00BB2674"/>
    <w:rsid w:val="00BC0CA0"/>
    <w:rsid w:val="00BD4EC5"/>
    <w:rsid w:val="00C24203"/>
    <w:rsid w:val="00C405F2"/>
    <w:rsid w:val="00C60F22"/>
    <w:rsid w:val="00CC3F04"/>
    <w:rsid w:val="00D66162"/>
    <w:rsid w:val="00D80AD6"/>
    <w:rsid w:val="00D82237"/>
    <w:rsid w:val="00DB0549"/>
    <w:rsid w:val="00DC50C6"/>
    <w:rsid w:val="00E65EA7"/>
    <w:rsid w:val="00EC0270"/>
    <w:rsid w:val="00EC29D5"/>
    <w:rsid w:val="00ED6904"/>
    <w:rsid w:val="00F220AD"/>
    <w:rsid w:val="00F735D0"/>
    <w:rsid w:val="00FC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9BC3DD"/>
  <w15:chartTrackingRefBased/>
  <w15:docId w15:val="{3E01C913-C0DC-5F43-89B5-7116A29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C10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1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17C10"/>
    <w:rPr>
      <w:sz w:val="24"/>
    </w:rPr>
  </w:style>
  <w:style w:type="paragraph" w:styleId="a5">
    <w:name w:val="footer"/>
    <w:basedOn w:val="a"/>
    <w:link w:val="a6"/>
    <w:uiPriority w:val="99"/>
    <w:unhideWhenUsed/>
    <w:rsid w:val="00817C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17C10"/>
    <w:rPr>
      <w:sz w:val="24"/>
    </w:rPr>
  </w:style>
  <w:style w:type="paragraph" w:styleId="a7">
    <w:name w:val="List Paragraph"/>
    <w:basedOn w:val="a"/>
    <w:uiPriority w:val="34"/>
    <w:qFormat/>
    <w:rsid w:val="00FC743C"/>
    <w:pPr>
      <w:ind w:leftChars="400" w:left="840"/>
    </w:pPr>
  </w:style>
  <w:style w:type="character" w:styleId="a8">
    <w:name w:val="Placeholder Text"/>
    <w:basedOn w:val="a0"/>
    <w:uiPriority w:val="99"/>
    <w:semiHidden/>
    <w:rsid w:val="00FC74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今田 晋亮</dc:creator>
  <cp:keywords/>
  <dc:description/>
  <cp:lastModifiedBy>友香</cp:lastModifiedBy>
  <cp:revision>42</cp:revision>
  <cp:lastPrinted>2023-05-07T08:40:00Z</cp:lastPrinted>
  <dcterms:created xsi:type="dcterms:W3CDTF">2023-03-18T07:26:00Z</dcterms:created>
  <dcterms:modified xsi:type="dcterms:W3CDTF">2023-05-07T23:15:00Z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4bddb4635bb0877683e74ee442dd66730b783924ada6fab63702c89edf914f26</vt:lpwstr>
  </property>
</Properties>
</file>