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0C37" w14:textId="061EFD72" w:rsidR="009121A3" w:rsidRPr="00470A5A" w:rsidRDefault="009121A3" w:rsidP="00470A5A">
      <w:pPr>
        <w:jc w:val="center"/>
        <w:rPr>
          <w:sz w:val="40"/>
          <w:szCs w:val="40"/>
        </w:rPr>
      </w:pPr>
      <w:r w:rsidRPr="00470A5A">
        <w:rPr>
          <w:sz w:val="40"/>
          <w:szCs w:val="40"/>
        </w:rPr>
        <w:t>Data Analytics on Kickstart Campaign</w:t>
      </w:r>
    </w:p>
    <w:p w14:paraId="6DEDAFB7" w14:textId="6F0F8658" w:rsidR="009121A3" w:rsidRPr="00F758D7" w:rsidRDefault="00820455">
      <w:pPr>
        <w:rPr>
          <w:b/>
          <w:bCs/>
          <w:sz w:val="28"/>
          <w:szCs w:val="28"/>
        </w:rPr>
      </w:pPr>
      <w:r w:rsidRPr="00F758D7">
        <w:rPr>
          <w:b/>
          <w:bCs/>
          <w:sz w:val="28"/>
          <w:szCs w:val="28"/>
        </w:rPr>
        <w:t>Plots</w:t>
      </w:r>
    </w:p>
    <w:p w14:paraId="33B55A93" w14:textId="6CD8E684" w:rsidR="00820455" w:rsidRDefault="00D3146F" w:rsidP="00E22031">
      <w:pPr>
        <w:jc w:val="center"/>
      </w:pPr>
      <w:r>
        <w:rPr>
          <w:noProof/>
        </w:rPr>
        <w:drawing>
          <wp:inline distT="0" distB="0" distL="0" distR="0" wp14:anchorId="7D56B09B" wp14:editId="01C2178F">
            <wp:extent cx="5438775" cy="3338513"/>
            <wp:effectExtent l="0" t="0" r="9525" b="1460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6DE1762-13DC-40AE-8906-038613F244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104B37" w14:textId="3C92CD03" w:rsidR="00E22031" w:rsidRPr="00E22031" w:rsidRDefault="00E22031" w:rsidP="00E22031">
      <w:pPr>
        <w:pStyle w:val="Caption"/>
        <w:jc w:val="center"/>
        <w:rPr>
          <w:sz w:val="24"/>
          <w:szCs w:val="24"/>
        </w:rPr>
      </w:pPr>
      <w:r w:rsidRPr="00E22031">
        <w:rPr>
          <w:sz w:val="24"/>
          <w:szCs w:val="24"/>
        </w:rPr>
        <w:t xml:space="preserve">Figure </w:t>
      </w:r>
      <w:r w:rsidRPr="00E22031">
        <w:rPr>
          <w:sz w:val="24"/>
          <w:szCs w:val="24"/>
        </w:rPr>
        <w:fldChar w:fldCharType="begin"/>
      </w:r>
      <w:r w:rsidRPr="00E22031">
        <w:rPr>
          <w:sz w:val="24"/>
          <w:szCs w:val="24"/>
        </w:rPr>
        <w:instrText xml:space="preserve"> SEQ Figure \* ARABIC </w:instrText>
      </w:r>
      <w:r w:rsidRPr="00E22031">
        <w:rPr>
          <w:sz w:val="24"/>
          <w:szCs w:val="24"/>
        </w:rPr>
        <w:fldChar w:fldCharType="separate"/>
      </w:r>
      <w:r w:rsidRPr="00E22031">
        <w:rPr>
          <w:noProof/>
          <w:sz w:val="24"/>
          <w:szCs w:val="24"/>
        </w:rPr>
        <w:t>1</w:t>
      </w:r>
      <w:r w:rsidRPr="00E22031">
        <w:rPr>
          <w:sz w:val="24"/>
          <w:szCs w:val="24"/>
        </w:rPr>
        <w:fldChar w:fldCharType="end"/>
      </w:r>
      <w:r w:rsidRPr="00E22031">
        <w:rPr>
          <w:sz w:val="24"/>
          <w:szCs w:val="24"/>
        </w:rPr>
        <w:t xml:space="preserve"> Campaign Outcome per Sub-Category</w:t>
      </w:r>
    </w:p>
    <w:p w14:paraId="691885FB" w14:textId="77777777" w:rsidR="00E22031" w:rsidRDefault="00E22031"/>
    <w:p w14:paraId="3AEA974A" w14:textId="60B6AE42" w:rsidR="00820455" w:rsidRDefault="00CD10C9" w:rsidP="00E22031">
      <w:pPr>
        <w:jc w:val="center"/>
      </w:pPr>
      <w:r>
        <w:rPr>
          <w:noProof/>
        </w:rPr>
        <w:lastRenderedPageBreak/>
        <w:drawing>
          <wp:inline distT="0" distB="0" distL="0" distR="0" wp14:anchorId="4E82EDFB" wp14:editId="2A41FDD8">
            <wp:extent cx="5438775" cy="406717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0DCE381-4102-467F-9ED2-C950083C79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E6912FF" w14:textId="4BC43708" w:rsidR="00E22031" w:rsidRPr="00E22031" w:rsidRDefault="00E22031" w:rsidP="00E22031">
      <w:pPr>
        <w:pStyle w:val="Caption"/>
        <w:jc w:val="center"/>
        <w:rPr>
          <w:sz w:val="24"/>
          <w:szCs w:val="24"/>
        </w:rPr>
      </w:pPr>
      <w:r w:rsidRPr="00E22031">
        <w:rPr>
          <w:sz w:val="24"/>
          <w:szCs w:val="24"/>
        </w:rPr>
        <w:t xml:space="preserve">Figure </w:t>
      </w:r>
      <w:r w:rsidRPr="00E22031">
        <w:rPr>
          <w:sz w:val="24"/>
          <w:szCs w:val="24"/>
        </w:rPr>
        <w:fldChar w:fldCharType="begin"/>
      </w:r>
      <w:r w:rsidRPr="00E22031">
        <w:rPr>
          <w:sz w:val="24"/>
          <w:szCs w:val="24"/>
        </w:rPr>
        <w:instrText xml:space="preserve"> SEQ Figure \* ARABIC </w:instrText>
      </w:r>
      <w:r w:rsidRPr="00E2203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E22031">
        <w:rPr>
          <w:sz w:val="24"/>
          <w:szCs w:val="24"/>
        </w:rPr>
        <w:fldChar w:fldCharType="end"/>
      </w:r>
      <w:r w:rsidRPr="00E22031">
        <w:rPr>
          <w:sz w:val="24"/>
          <w:szCs w:val="24"/>
        </w:rPr>
        <w:t xml:space="preserve"> Campaign Outcome per </w:t>
      </w:r>
      <w:r>
        <w:rPr>
          <w:sz w:val="24"/>
          <w:szCs w:val="24"/>
        </w:rPr>
        <w:t>Parent</w:t>
      </w:r>
      <w:r w:rsidRPr="00E22031">
        <w:rPr>
          <w:sz w:val="24"/>
          <w:szCs w:val="24"/>
        </w:rPr>
        <w:t>-Category</w:t>
      </w:r>
    </w:p>
    <w:p w14:paraId="7DC793C2" w14:textId="11C695B5" w:rsidR="009C4C19" w:rsidRDefault="00F52356" w:rsidP="00E22031">
      <w:pPr>
        <w:jc w:val="center"/>
      </w:pPr>
      <w:r>
        <w:rPr>
          <w:noProof/>
        </w:rPr>
        <w:drawing>
          <wp:inline distT="0" distB="0" distL="0" distR="0" wp14:anchorId="3DD4E6C3" wp14:editId="20525654">
            <wp:extent cx="5381625" cy="30099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50A6E17-747E-4EBB-A269-F6CE1F2883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865542B" w14:textId="1C9E324F" w:rsidR="00E22031" w:rsidRPr="00E22031" w:rsidRDefault="00E22031" w:rsidP="00E22031">
      <w:pPr>
        <w:pStyle w:val="Caption"/>
        <w:jc w:val="center"/>
        <w:rPr>
          <w:sz w:val="24"/>
          <w:szCs w:val="24"/>
        </w:rPr>
      </w:pPr>
      <w:r w:rsidRPr="00E22031">
        <w:rPr>
          <w:sz w:val="24"/>
          <w:szCs w:val="24"/>
        </w:rPr>
        <w:t xml:space="preserve">Figure </w:t>
      </w:r>
      <w:r w:rsidRPr="00E22031">
        <w:rPr>
          <w:sz w:val="24"/>
          <w:szCs w:val="24"/>
        </w:rPr>
        <w:fldChar w:fldCharType="begin"/>
      </w:r>
      <w:r w:rsidRPr="00E22031">
        <w:rPr>
          <w:sz w:val="24"/>
          <w:szCs w:val="24"/>
        </w:rPr>
        <w:instrText xml:space="preserve"> SEQ Figure \* ARABIC </w:instrText>
      </w:r>
      <w:r w:rsidRPr="00E2203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E22031">
        <w:rPr>
          <w:sz w:val="24"/>
          <w:szCs w:val="24"/>
        </w:rPr>
        <w:fldChar w:fldCharType="end"/>
      </w:r>
      <w:r w:rsidRPr="00E22031">
        <w:rPr>
          <w:sz w:val="24"/>
          <w:szCs w:val="24"/>
        </w:rPr>
        <w:t xml:space="preserve"> Campaign Outcome per </w:t>
      </w:r>
      <w:r>
        <w:rPr>
          <w:sz w:val="24"/>
          <w:szCs w:val="24"/>
        </w:rPr>
        <w:t>Month</w:t>
      </w:r>
    </w:p>
    <w:p w14:paraId="0A69F548" w14:textId="6F70EA21" w:rsidR="00E22031" w:rsidRDefault="00E22031" w:rsidP="00E22031">
      <w:pPr>
        <w:jc w:val="center"/>
      </w:pPr>
    </w:p>
    <w:p w14:paraId="59D2F131" w14:textId="0C7BD2B9" w:rsidR="00F758D7" w:rsidRDefault="00F758D7" w:rsidP="00E22031">
      <w:pPr>
        <w:jc w:val="center"/>
      </w:pPr>
    </w:p>
    <w:p w14:paraId="054FC898" w14:textId="60CF2A56" w:rsidR="00F758D7" w:rsidRDefault="00F758D7" w:rsidP="00E22031">
      <w:pPr>
        <w:jc w:val="center"/>
      </w:pPr>
    </w:p>
    <w:p w14:paraId="06980B26" w14:textId="5E956E28" w:rsidR="00F758D7" w:rsidRPr="00F758D7" w:rsidRDefault="00F758D7" w:rsidP="00F758D7">
      <w:pPr>
        <w:rPr>
          <w:b/>
          <w:bCs/>
          <w:sz w:val="28"/>
          <w:szCs w:val="28"/>
        </w:rPr>
      </w:pPr>
      <w:r w:rsidRPr="00F758D7">
        <w:rPr>
          <w:b/>
          <w:bCs/>
          <w:sz w:val="28"/>
          <w:szCs w:val="28"/>
        </w:rPr>
        <w:lastRenderedPageBreak/>
        <w:t>Question</w:t>
      </w:r>
    </w:p>
    <w:p w14:paraId="55EB5DD7" w14:textId="1D333CE5" w:rsidR="009121A3" w:rsidRDefault="009121A3" w:rsidP="009121A3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DA27A1B" w14:textId="169D6047" w:rsidR="009121A3" w:rsidRDefault="009121A3" w:rsidP="009121A3">
      <w:pPr>
        <w:pStyle w:val="ListParagraph"/>
        <w:numPr>
          <w:ilvl w:val="0"/>
          <w:numId w:val="2"/>
        </w:numPr>
      </w:pPr>
      <w:r>
        <w:t xml:space="preserve">Successful rate is higher at lower target goal. </w:t>
      </w:r>
      <w:r w:rsidR="007B6BC0">
        <w:t xml:space="preserve">The </w:t>
      </w:r>
      <w:r>
        <w:t>Higher the target goal the successful rate is dropping while the opposite is observed on the failed rate. The higher the goal the failed rate is higher</w:t>
      </w:r>
    </w:p>
    <w:p w14:paraId="067B84A1" w14:textId="55752FEF" w:rsidR="006F521F" w:rsidRDefault="006F521F" w:rsidP="009121A3">
      <w:pPr>
        <w:pStyle w:val="ListParagraph"/>
        <w:numPr>
          <w:ilvl w:val="0"/>
          <w:numId w:val="2"/>
        </w:numPr>
      </w:pPr>
      <w:r>
        <w:t xml:space="preserve">Sub-category “plays” is the </w:t>
      </w:r>
      <w:r w:rsidR="00194234">
        <w:t>most project</w:t>
      </w:r>
      <w:r>
        <w:t xml:space="preserve"> kickstart among other sub-category</w:t>
      </w:r>
    </w:p>
    <w:p w14:paraId="07D4E4D4" w14:textId="7BF3CCA8" w:rsidR="009121A3" w:rsidRDefault="00C004BF" w:rsidP="009121A3">
      <w:pPr>
        <w:pStyle w:val="ListParagraph"/>
        <w:numPr>
          <w:ilvl w:val="0"/>
          <w:numId w:val="2"/>
        </w:numPr>
      </w:pPr>
      <w:r>
        <w:t>The successful rate every month is higher than failed or cance</w:t>
      </w:r>
      <w:r w:rsidR="00C34029">
        <w:t>l</w:t>
      </w:r>
      <w:r>
        <w:t>led</w:t>
      </w:r>
      <w:r w:rsidR="00526EE0">
        <w:t xml:space="preserve">. The </w:t>
      </w:r>
      <w:r w:rsidR="00B603F7">
        <w:t>cancelled</w:t>
      </w:r>
      <w:r w:rsidR="00E1404A">
        <w:t xml:space="preserve"> project</w:t>
      </w:r>
      <w:r w:rsidR="00526EE0">
        <w:t xml:space="preserve"> outcome</w:t>
      </w:r>
      <w:r w:rsidR="00DE12B3">
        <w:t xml:space="preserve"> rate is similar for every month.</w:t>
      </w:r>
    </w:p>
    <w:p w14:paraId="6EF427FD" w14:textId="0A9F1C59" w:rsidR="006F521F" w:rsidRDefault="006F521F" w:rsidP="009121A3">
      <w:pPr>
        <w:pStyle w:val="ListParagraph"/>
        <w:numPr>
          <w:ilvl w:val="0"/>
          <w:numId w:val="2"/>
        </w:numPr>
      </w:pPr>
      <w:r>
        <w:t>In average the total campaign per month is 342.</w:t>
      </w:r>
    </w:p>
    <w:p w14:paraId="417BF578" w14:textId="4D86DC3B" w:rsidR="009121A3" w:rsidRDefault="009121A3" w:rsidP="009121A3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49BBACDC" w14:textId="6E1D875E" w:rsidR="00D155D6" w:rsidRDefault="00D155D6" w:rsidP="00D155D6">
      <w:pPr>
        <w:pStyle w:val="ListParagraph"/>
        <w:numPr>
          <w:ilvl w:val="0"/>
          <w:numId w:val="2"/>
        </w:numPr>
      </w:pPr>
      <w:r>
        <w:t xml:space="preserve">Data is </w:t>
      </w:r>
      <w:r w:rsidR="009A11A8">
        <w:t>limited up to 2017</w:t>
      </w:r>
    </w:p>
    <w:p w14:paraId="7DDF2039" w14:textId="095995E4" w:rsidR="00CC7F80" w:rsidRDefault="00CC7F80" w:rsidP="00D155D6">
      <w:pPr>
        <w:pStyle w:val="ListParagraph"/>
        <w:numPr>
          <w:ilvl w:val="0"/>
          <w:numId w:val="2"/>
        </w:numPr>
      </w:pPr>
      <w:r>
        <w:t xml:space="preserve">The duration of the campaign is various which make it not apple-to-apple </w:t>
      </w:r>
      <w:r w:rsidR="00A8524F">
        <w:t>to compare</w:t>
      </w:r>
      <w:r w:rsidR="00CF343A">
        <w:t xml:space="preserve"> the </w:t>
      </w:r>
      <w:r w:rsidR="005F3025">
        <w:t xml:space="preserve">project </w:t>
      </w:r>
      <w:r w:rsidR="00CF343A">
        <w:t>campaign</w:t>
      </w:r>
    </w:p>
    <w:p w14:paraId="18113628" w14:textId="35685F51" w:rsidR="009A11A8" w:rsidRDefault="00BE3D06" w:rsidP="00D155D6">
      <w:pPr>
        <w:pStyle w:val="ListParagraph"/>
        <w:numPr>
          <w:ilvl w:val="0"/>
          <w:numId w:val="2"/>
        </w:numPr>
      </w:pPr>
      <w:r>
        <w:t xml:space="preserve">There is “Spotlight” column seems to categorize if campaign is successful = TRUE otherwise it will mark as </w:t>
      </w:r>
      <w:r w:rsidR="00621224">
        <w:t>FALSE. Which kind of double dip with the “state” column</w:t>
      </w:r>
    </w:p>
    <w:p w14:paraId="001D7B40" w14:textId="35F2C337" w:rsidR="00915EEB" w:rsidRDefault="00915EEB" w:rsidP="00D155D6">
      <w:pPr>
        <w:pStyle w:val="ListParagraph"/>
        <w:numPr>
          <w:ilvl w:val="0"/>
          <w:numId w:val="2"/>
        </w:numPr>
      </w:pPr>
      <w:r>
        <w:t xml:space="preserve">The </w:t>
      </w:r>
      <w:r w:rsidR="00414648">
        <w:t>cu</w:t>
      </w:r>
      <w:r w:rsidR="009A75A6">
        <w:t xml:space="preserve">rrency of the data is various. On the instruction it is not clear that we should convert them into the same unit before proceeding. </w:t>
      </w:r>
    </w:p>
    <w:p w14:paraId="3E834A07" w14:textId="797B3357" w:rsidR="009121A3" w:rsidRDefault="009121A3" w:rsidP="009121A3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066D9A1A" w14:textId="24CF23F9" w:rsidR="00C004BF" w:rsidRDefault="005E5A98" w:rsidP="00C004BF">
      <w:pPr>
        <w:pStyle w:val="ListParagraph"/>
        <w:numPr>
          <w:ilvl w:val="0"/>
          <w:numId w:val="2"/>
        </w:numPr>
      </w:pPr>
      <w:r>
        <w:t>Histogram of number successful</w:t>
      </w:r>
      <w:r w:rsidR="003F4761">
        <w:t>/failed</w:t>
      </w:r>
      <w:r>
        <w:t xml:space="preserve"> campaign </w:t>
      </w:r>
      <w:r w:rsidR="003F4761">
        <w:t>vs no. of backers</w:t>
      </w:r>
    </w:p>
    <w:p w14:paraId="39A3D35C" w14:textId="0703EE27" w:rsidR="003F4761" w:rsidRDefault="003F4761" w:rsidP="00C004BF">
      <w:pPr>
        <w:pStyle w:val="ListParagraph"/>
        <w:numPr>
          <w:ilvl w:val="0"/>
          <w:numId w:val="2"/>
        </w:numPr>
      </w:pPr>
      <w:r>
        <w:t>Whisker and box plot to see the spread of the no. of backers data on successful/failed campaign</w:t>
      </w:r>
    </w:p>
    <w:p w14:paraId="3CD3F402" w14:textId="125E3169" w:rsidR="003F4761" w:rsidRDefault="003F4761" w:rsidP="00C77B9E"/>
    <w:p w14:paraId="429A4A68" w14:textId="309C1648" w:rsidR="00D17EB7" w:rsidRPr="00D17EB7" w:rsidRDefault="00D17EB7" w:rsidP="00C77B9E">
      <w:pPr>
        <w:rPr>
          <w:b/>
          <w:bCs/>
        </w:rPr>
      </w:pPr>
      <w:r w:rsidRPr="00D17EB7">
        <w:rPr>
          <w:b/>
          <w:bCs/>
        </w:rPr>
        <w:t>Bonus</w:t>
      </w:r>
    </w:p>
    <w:p w14:paraId="17ECA499" w14:textId="02C4D0EC" w:rsidR="00D17EB7" w:rsidRDefault="00744A8F" w:rsidP="00367833">
      <w:pPr>
        <w:jc w:val="center"/>
      </w:pPr>
      <w:r>
        <w:rPr>
          <w:noProof/>
        </w:rPr>
        <w:drawing>
          <wp:inline distT="0" distB="0" distL="0" distR="0" wp14:anchorId="6A17124D" wp14:editId="13865DC1">
            <wp:extent cx="5731510" cy="3028950"/>
            <wp:effectExtent l="0" t="0" r="254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FE26AB1-81E4-4BE1-8219-E4AE67CDB5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8D7BE67" w14:textId="21E04145" w:rsidR="00367833" w:rsidRPr="00E22031" w:rsidRDefault="00367833" w:rsidP="00367833">
      <w:pPr>
        <w:pStyle w:val="Caption"/>
        <w:jc w:val="center"/>
        <w:rPr>
          <w:sz w:val="24"/>
          <w:szCs w:val="24"/>
        </w:rPr>
      </w:pPr>
      <w:r w:rsidRPr="00E22031">
        <w:rPr>
          <w:sz w:val="24"/>
          <w:szCs w:val="24"/>
        </w:rPr>
        <w:t xml:space="preserve">Figure </w:t>
      </w:r>
      <w:r w:rsidRPr="00E22031">
        <w:rPr>
          <w:sz w:val="24"/>
          <w:szCs w:val="24"/>
        </w:rPr>
        <w:fldChar w:fldCharType="begin"/>
      </w:r>
      <w:r w:rsidRPr="00E22031">
        <w:rPr>
          <w:sz w:val="24"/>
          <w:szCs w:val="24"/>
        </w:rPr>
        <w:instrText xml:space="preserve"> SEQ Figure \* ARABIC </w:instrText>
      </w:r>
      <w:r w:rsidRPr="00E2203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E22031">
        <w:rPr>
          <w:sz w:val="24"/>
          <w:szCs w:val="24"/>
        </w:rPr>
        <w:fldChar w:fldCharType="end"/>
      </w:r>
      <w:r w:rsidRPr="00E22031">
        <w:rPr>
          <w:sz w:val="24"/>
          <w:szCs w:val="24"/>
        </w:rPr>
        <w:t xml:space="preserve"> </w:t>
      </w:r>
      <w:r>
        <w:rPr>
          <w:sz w:val="24"/>
          <w:szCs w:val="24"/>
        </w:rPr>
        <w:t>Percentage Rate</w:t>
      </w:r>
      <w:r w:rsidRPr="00E22031">
        <w:rPr>
          <w:sz w:val="24"/>
          <w:szCs w:val="24"/>
        </w:rPr>
        <w:t xml:space="preserve"> Outcome </w:t>
      </w:r>
      <w:r>
        <w:rPr>
          <w:sz w:val="24"/>
          <w:szCs w:val="24"/>
        </w:rPr>
        <w:t>vs Target Goal</w:t>
      </w:r>
    </w:p>
    <w:p w14:paraId="538FA5C8" w14:textId="77777777" w:rsidR="00367833" w:rsidRDefault="00367833" w:rsidP="00367833">
      <w:pPr>
        <w:jc w:val="center"/>
      </w:pPr>
    </w:p>
    <w:p w14:paraId="067DA598" w14:textId="77777777" w:rsidR="00F758D7" w:rsidRDefault="00F758D7">
      <w:r>
        <w:br w:type="page"/>
      </w:r>
    </w:p>
    <w:p w14:paraId="726FC089" w14:textId="4A35A166" w:rsidR="00C77B9E" w:rsidRPr="00F758D7" w:rsidRDefault="00C77B9E" w:rsidP="00C77B9E">
      <w:pPr>
        <w:rPr>
          <w:b/>
          <w:bCs/>
          <w:sz w:val="28"/>
          <w:szCs w:val="28"/>
        </w:rPr>
      </w:pPr>
      <w:r w:rsidRPr="00F758D7">
        <w:rPr>
          <w:b/>
          <w:bCs/>
          <w:sz w:val="28"/>
          <w:szCs w:val="28"/>
        </w:rPr>
        <w:lastRenderedPageBreak/>
        <w:t>Bonus Statistical</w:t>
      </w:r>
    </w:p>
    <w:p w14:paraId="7E854F3A" w14:textId="7AEDD1D3" w:rsidR="00726C51" w:rsidRDefault="00726C51" w:rsidP="00C77B9E">
      <w:r>
        <w:t>Statistical Parameter of Number of Backers vs Successful/Failed Kickstart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1273"/>
        <w:gridCol w:w="859"/>
      </w:tblGrid>
      <w:tr w:rsidR="00045A33" w14:paraId="446B5E28" w14:textId="77777777" w:rsidTr="00AC5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EC38DC6" w14:textId="32CC9CB5" w:rsidR="00045A33" w:rsidRPr="004247EB" w:rsidRDefault="0050512B" w:rsidP="00045A33">
            <w:pPr>
              <w:rPr>
                <w:b/>
                <w:bCs/>
              </w:rPr>
            </w:pPr>
            <w:r w:rsidRPr="004247EB">
              <w:rPr>
                <w:b/>
                <w:bCs/>
              </w:rPr>
              <w:t>Statistical Parameter</w:t>
            </w:r>
          </w:p>
        </w:tc>
        <w:tc>
          <w:tcPr>
            <w:tcW w:w="1243" w:type="dxa"/>
          </w:tcPr>
          <w:p w14:paraId="5F22E295" w14:textId="48C27C27" w:rsidR="00045A33" w:rsidRPr="004247EB" w:rsidRDefault="0050512B" w:rsidP="00045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7EB">
              <w:rPr>
                <w:b/>
                <w:bCs/>
              </w:rPr>
              <w:t>Successful</w:t>
            </w:r>
          </w:p>
        </w:tc>
        <w:tc>
          <w:tcPr>
            <w:tcW w:w="859" w:type="dxa"/>
          </w:tcPr>
          <w:p w14:paraId="585B5F7F" w14:textId="13182BF4" w:rsidR="00045A33" w:rsidRPr="004247EB" w:rsidRDefault="0050512B" w:rsidP="00045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247EB">
              <w:rPr>
                <w:b/>
                <w:bCs/>
              </w:rPr>
              <w:t>Failed</w:t>
            </w:r>
          </w:p>
        </w:tc>
      </w:tr>
      <w:tr w:rsidR="00726C51" w14:paraId="53675043" w14:textId="77777777" w:rsidTr="00AC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1D003" w14:textId="3577CE9D" w:rsidR="00726C51" w:rsidRDefault="00726C51" w:rsidP="00726C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243" w:type="dxa"/>
          </w:tcPr>
          <w:p w14:paraId="3DB5E65F" w14:textId="6315B29F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</w:t>
            </w:r>
          </w:p>
        </w:tc>
        <w:tc>
          <w:tcPr>
            <w:tcW w:w="859" w:type="dxa"/>
          </w:tcPr>
          <w:p w14:paraId="0653AED8" w14:textId="11C9C02B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726C51" w14:paraId="62B5C638" w14:textId="77777777" w:rsidTr="00AC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080842" w14:textId="0C8FAF50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243" w:type="dxa"/>
          </w:tcPr>
          <w:p w14:paraId="5D31C31C" w14:textId="0AF5D9D3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859" w:type="dxa"/>
          </w:tcPr>
          <w:p w14:paraId="59170208" w14:textId="03DDEEEB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726C51" w14:paraId="4AB245CA" w14:textId="77777777" w:rsidTr="00AC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823FF6" w14:textId="22A3CF9F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</w:t>
            </w:r>
          </w:p>
        </w:tc>
        <w:tc>
          <w:tcPr>
            <w:tcW w:w="1243" w:type="dxa"/>
          </w:tcPr>
          <w:p w14:paraId="09DCB69C" w14:textId="10353E71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859" w:type="dxa"/>
          </w:tcPr>
          <w:p w14:paraId="7356240F" w14:textId="742350CF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26C51" w14:paraId="084FC82F" w14:textId="77777777" w:rsidTr="00AC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42C376A" w14:textId="795F2A9A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43" w:type="dxa"/>
          </w:tcPr>
          <w:p w14:paraId="1F56BFF7" w14:textId="260E8E82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26457</w:t>
            </w:r>
          </w:p>
        </w:tc>
        <w:tc>
          <w:tcPr>
            <w:tcW w:w="859" w:type="dxa"/>
          </w:tcPr>
          <w:p w14:paraId="5E0F3421" w14:textId="09E0122F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1293</w:t>
            </w:r>
          </w:p>
        </w:tc>
      </w:tr>
      <w:tr w:rsidR="00726C51" w14:paraId="27D85171" w14:textId="77777777" w:rsidTr="00AC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F5FA7" w14:textId="3436603B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243" w:type="dxa"/>
          </w:tcPr>
          <w:p w14:paraId="03C58CCC" w14:textId="53B887F8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59" w:type="dxa"/>
          </w:tcPr>
          <w:p w14:paraId="4CB71CCA" w14:textId="742647A6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26C51" w14:paraId="2FF37ADC" w14:textId="77777777" w:rsidTr="00AC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B930A5" w14:textId="0CBF22D4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Varian</w:t>
            </w:r>
            <w:r w:rsidR="006C392D"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1243" w:type="dxa"/>
          </w:tcPr>
          <w:p w14:paraId="4B8C068D" w14:textId="1AA8297F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713167</w:t>
            </w:r>
          </w:p>
        </w:tc>
        <w:tc>
          <w:tcPr>
            <w:tcW w:w="859" w:type="dxa"/>
          </w:tcPr>
          <w:p w14:paraId="55E43C8B" w14:textId="7B979C71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3776</w:t>
            </w:r>
          </w:p>
        </w:tc>
      </w:tr>
      <w:tr w:rsidR="00726C51" w14:paraId="7079AC7D" w14:textId="77777777" w:rsidTr="00AC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BD2603" w14:textId="7B11565F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Std. Dev</w:t>
            </w:r>
          </w:p>
        </w:tc>
        <w:tc>
          <w:tcPr>
            <w:tcW w:w="1243" w:type="dxa"/>
          </w:tcPr>
          <w:p w14:paraId="3567FDA2" w14:textId="59C295CA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844</w:t>
            </w:r>
          </w:p>
        </w:tc>
        <w:tc>
          <w:tcPr>
            <w:tcW w:w="859" w:type="dxa"/>
          </w:tcPr>
          <w:p w14:paraId="717A00B2" w14:textId="0259A60C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</w:tr>
      <w:tr w:rsidR="00726C51" w14:paraId="16B29765" w14:textId="77777777" w:rsidTr="00AC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DB331F" w14:textId="16770B93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243" w:type="dxa"/>
          </w:tcPr>
          <w:p w14:paraId="2244DB8B" w14:textId="2D0A9D6A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859" w:type="dxa"/>
          </w:tcPr>
          <w:p w14:paraId="46A72E93" w14:textId="4443CBBD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726C51" w14:paraId="05AAD6D1" w14:textId="77777777" w:rsidTr="00AC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EBE688" w14:textId="5BBC4A5D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Q3</w:t>
            </w:r>
          </w:p>
        </w:tc>
        <w:tc>
          <w:tcPr>
            <w:tcW w:w="1243" w:type="dxa"/>
          </w:tcPr>
          <w:p w14:paraId="2EF7AE33" w14:textId="0DD08318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859" w:type="dxa"/>
          </w:tcPr>
          <w:p w14:paraId="6EE2963F" w14:textId="77EBE009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726C51" w14:paraId="467BC85D" w14:textId="77777777" w:rsidTr="00AC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2F7E20" w14:textId="2F22144C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IQT</w:t>
            </w:r>
          </w:p>
        </w:tc>
        <w:tc>
          <w:tcPr>
            <w:tcW w:w="1243" w:type="dxa"/>
          </w:tcPr>
          <w:p w14:paraId="62065AFA" w14:textId="63D22E85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859" w:type="dxa"/>
          </w:tcPr>
          <w:p w14:paraId="28DD225B" w14:textId="2EFEA9F7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726C51" w14:paraId="4088BD31" w14:textId="77777777" w:rsidTr="00AC5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C214E3" w14:textId="1E751902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Lower Bound</w:t>
            </w:r>
          </w:p>
        </w:tc>
        <w:tc>
          <w:tcPr>
            <w:tcW w:w="1243" w:type="dxa"/>
          </w:tcPr>
          <w:p w14:paraId="28A81C16" w14:textId="3636A1B3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-139</w:t>
            </w:r>
          </w:p>
        </w:tc>
        <w:tc>
          <w:tcPr>
            <w:tcW w:w="859" w:type="dxa"/>
          </w:tcPr>
          <w:p w14:paraId="544A46BE" w14:textId="7ACB2365" w:rsidR="00726C51" w:rsidRDefault="00726C51" w:rsidP="00726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-16</w:t>
            </w:r>
          </w:p>
        </w:tc>
      </w:tr>
      <w:tr w:rsidR="00726C51" w14:paraId="4E2C194D" w14:textId="77777777" w:rsidTr="00AC5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2E9750B" w14:textId="64FED1D9" w:rsidR="00726C51" w:rsidRDefault="00726C51" w:rsidP="00726C51">
            <w:r>
              <w:rPr>
                <w:rFonts w:ascii="Calibri" w:hAnsi="Calibri" w:cs="Calibri"/>
                <w:color w:val="000000"/>
                <w:sz w:val="22"/>
                <w:szCs w:val="22"/>
              </w:rPr>
              <w:t>Upper Bound</w:t>
            </w:r>
          </w:p>
        </w:tc>
        <w:tc>
          <w:tcPr>
            <w:tcW w:w="1243" w:type="dxa"/>
          </w:tcPr>
          <w:p w14:paraId="613BFF2F" w14:textId="5D4924B4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859" w:type="dxa"/>
          </w:tcPr>
          <w:p w14:paraId="55B9A642" w14:textId="5E19E282" w:rsidR="00726C51" w:rsidRDefault="00726C51" w:rsidP="00726C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</w:tbl>
    <w:p w14:paraId="50EC8E22" w14:textId="109783EA" w:rsidR="009121A3" w:rsidRDefault="009121A3"/>
    <w:p w14:paraId="23DDA64E" w14:textId="5C1FF99C" w:rsidR="001502B2" w:rsidRDefault="001502B2" w:rsidP="001502B2">
      <w:r>
        <w:t>* Use your data to determine whether the mean or the median summarizes the data more meaningfully.</w:t>
      </w:r>
    </w:p>
    <w:p w14:paraId="51B7BFB2" w14:textId="426B8F7D" w:rsidR="001502B2" w:rsidRDefault="00F91DDE" w:rsidP="001502B2">
      <w:r>
        <w:t xml:space="preserve">I would think that median is more useful on this current dataset. As the data spread is very wide, one can see from the median where the </w:t>
      </w:r>
      <w:r w:rsidR="006328B8">
        <w:t>dataset gravitate toward.</w:t>
      </w:r>
      <w:r w:rsidR="007B2499">
        <w:t xml:space="preserve"> Further investigation with histogram can be seen that </w:t>
      </w:r>
      <w:r w:rsidR="00313449">
        <w:t xml:space="preserve">on </w:t>
      </w:r>
      <w:r w:rsidR="001B3998">
        <w:t>the higher range</w:t>
      </w:r>
      <w:r w:rsidR="00313449">
        <w:t xml:space="preserve">, </w:t>
      </w:r>
      <w:r w:rsidR="001B3998">
        <w:t>the frequency is less</w:t>
      </w:r>
      <w:r w:rsidR="00313449">
        <w:t>er and lesser</w:t>
      </w:r>
      <w:r w:rsidR="001B3998">
        <w:t xml:space="preserve">. </w:t>
      </w:r>
      <w:r w:rsidR="005603E6">
        <w:t xml:space="preserve">There is significant difference between the first </w:t>
      </w:r>
      <w:r w:rsidR="00331FAA">
        <w:t xml:space="preserve">two </w:t>
      </w:r>
      <w:r w:rsidR="005603E6">
        <w:t>range</w:t>
      </w:r>
      <w:r w:rsidR="00331FAA">
        <w:t>s</w:t>
      </w:r>
      <w:r w:rsidR="005603E6">
        <w:t xml:space="preserve"> to the next, </w:t>
      </w:r>
      <w:r w:rsidR="001B3998">
        <w:t xml:space="preserve">This show that </w:t>
      </w:r>
      <w:r w:rsidR="005603E6">
        <w:t xml:space="preserve">most of the data is laying in the first </w:t>
      </w:r>
      <w:r w:rsidR="003807F6">
        <w:t xml:space="preserve">two </w:t>
      </w:r>
      <w:r w:rsidR="005603E6">
        <w:t>range.</w:t>
      </w:r>
      <w:r w:rsidR="003807F6">
        <w:t xml:space="preserve"> The remaining range</w:t>
      </w:r>
      <w:r w:rsidR="00615B9B">
        <w:t>s</w:t>
      </w:r>
      <w:r w:rsidR="003807F6">
        <w:t xml:space="preserve"> </w:t>
      </w:r>
      <w:r w:rsidR="00C75465">
        <w:t xml:space="preserve">show the number of backers is not significant. </w:t>
      </w:r>
    </w:p>
    <w:p w14:paraId="1FAC7004" w14:textId="3EC8610B" w:rsidR="00726C51" w:rsidRDefault="001502B2" w:rsidP="001502B2">
      <w:r>
        <w:t>* Use your data to determine if there is more variability with successful or unsuccessful campaigns. Does this make sense? Why or why not?</w:t>
      </w:r>
    </w:p>
    <w:p w14:paraId="283FAEC0" w14:textId="70E116C7" w:rsidR="00097188" w:rsidRDefault="00097188" w:rsidP="004E167C">
      <w:pPr>
        <w:jc w:val="center"/>
      </w:pPr>
      <w:r>
        <w:rPr>
          <w:noProof/>
        </w:rPr>
        <w:drawing>
          <wp:inline distT="0" distB="0" distL="0" distR="0" wp14:anchorId="58F96A09" wp14:editId="4BB7D9F8">
            <wp:extent cx="5172075" cy="3362325"/>
            <wp:effectExtent l="0" t="0" r="9525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E762959-04D1-4966-BC09-AAFD33BC43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73DF4" w14:textId="77777777" w:rsidR="004E167C" w:rsidRDefault="004E167C" w:rsidP="004E167C">
      <w:pPr>
        <w:pStyle w:val="Caption"/>
        <w:jc w:val="center"/>
        <w:rPr>
          <w:sz w:val="24"/>
          <w:szCs w:val="24"/>
        </w:rPr>
      </w:pPr>
      <w:r w:rsidRPr="00E22031">
        <w:rPr>
          <w:sz w:val="24"/>
          <w:szCs w:val="24"/>
        </w:rPr>
        <w:t xml:space="preserve">Figure </w:t>
      </w:r>
      <w:r w:rsidRPr="00E22031">
        <w:rPr>
          <w:sz w:val="24"/>
          <w:szCs w:val="24"/>
        </w:rPr>
        <w:fldChar w:fldCharType="begin"/>
      </w:r>
      <w:r w:rsidRPr="00E22031">
        <w:rPr>
          <w:sz w:val="24"/>
          <w:szCs w:val="24"/>
        </w:rPr>
        <w:instrText xml:space="preserve"> SEQ Figure \* ARABIC </w:instrText>
      </w:r>
      <w:r w:rsidRPr="00E2203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E22031">
        <w:rPr>
          <w:sz w:val="24"/>
          <w:szCs w:val="24"/>
        </w:rPr>
        <w:fldChar w:fldCharType="end"/>
      </w:r>
      <w:r w:rsidRPr="00E22031">
        <w:rPr>
          <w:sz w:val="24"/>
          <w:szCs w:val="24"/>
        </w:rPr>
        <w:t xml:space="preserve"> </w:t>
      </w:r>
      <w:r>
        <w:rPr>
          <w:sz w:val="24"/>
          <w:szCs w:val="24"/>
        </w:rPr>
        <w:t>Histogram of Successful Backers</w:t>
      </w:r>
    </w:p>
    <w:p w14:paraId="0633C795" w14:textId="77777777" w:rsidR="004E167C" w:rsidRDefault="004E167C" w:rsidP="004E167C">
      <w:pPr>
        <w:jc w:val="center"/>
      </w:pPr>
    </w:p>
    <w:p w14:paraId="4706F9AE" w14:textId="20A5E125" w:rsidR="00434D03" w:rsidRDefault="006272EA" w:rsidP="001502B2">
      <w:r>
        <w:t>The va</w:t>
      </w:r>
      <w:r w:rsidR="00646B75">
        <w:t xml:space="preserve">riance/data spread is larger on the successful campaign </w:t>
      </w:r>
      <w:r w:rsidR="0098494F">
        <w:t>which is make sense.</w:t>
      </w:r>
      <w:r w:rsidR="005214C1">
        <w:t xml:space="preserve"> Some </w:t>
      </w:r>
      <w:r w:rsidR="00002066">
        <w:t>K</w:t>
      </w:r>
      <w:r w:rsidR="005214C1">
        <w:t>ickstarter project</w:t>
      </w:r>
      <w:r w:rsidR="00002066">
        <w:t>s are</w:t>
      </w:r>
      <w:r w:rsidR="005214C1">
        <w:t xml:space="preserve"> more interesting than others</w:t>
      </w:r>
      <w:r w:rsidR="00826214">
        <w:t xml:space="preserve">. The most attractive project will indeed attract more backers. </w:t>
      </w:r>
      <w:r w:rsidR="00DB5096">
        <w:t xml:space="preserve">If people are interested, it does not really matter whether </w:t>
      </w:r>
      <w:r w:rsidR="00825DEF">
        <w:t>target goal has been achieved. People will keep sign</w:t>
      </w:r>
      <w:r w:rsidR="00434D03">
        <w:t>ing up to be involved in the project</w:t>
      </w:r>
      <w:r w:rsidR="00AA1DAD">
        <w:t xml:space="preserve">. </w:t>
      </w:r>
      <w:r w:rsidR="003161B9">
        <w:t xml:space="preserve">Hence why </w:t>
      </w:r>
      <w:r w:rsidR="00097188">
        <w:t>some of project have backers that is offchart.</w:t>
      </w:r>
    </w:p>
    <w:p w14:paraId="78BFBC3D" w14:textId="11294D68" w:rsidR="003261A6" w:rsidRPr="003261A6" w:rsidRDefault="003261A6" w:rsidP="003261A6">
      <w:pPr>
        <w:jc w:val="center"/>
      </w:pPr>
      <w:r>
        <w:rPr>
          <w:noProof/>
        </w:rPr>
        <w:drawing>
          <wp:inline distT="0" distB="0" distL="0" distR="0" wp14:anchorId="788B59B5" wp14:editId="3B8545F9">
            <wp:extent cx="5372100" cy="2790825"/>
            <wp:effectExtent l="0" t="0" r="0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5B10B67-EFA9-4987-9F86-6B67621473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DDD298E" w14:textId="028A8875" w:rsidR="003261A6" w:rsidRDefault="003261A6" w:rsidP="003261A6">
      <w:pPr>
        <w:pStyle w:val="Caption"/>
        <w:jc w:val="center"/>
        <w:rPr>
          <w:sz w:val="24"/>
          <w:szCs w:val="24"/>
        </w:rPr>
      </w:pPr>
      <w:r w:rsidRPr="00E22031">
        <w:rPr>
          <w:sz w:val="24"/>
          <w:szCs w:val="24"/>
        </w:rPr>
        <w:t xml:space="preserve">Figure </w:t>
      </w:r>
      <w:r w:rsidRPr="00E22031">
        <w:rPr>
          <w:sz w:val="24"/>
          <w:szCs w:val="24"/>
        </w:rPr>
        <w:fldChar w:fldCharType="begin"/>
      </w:r>
      <w:r w:rsidRPr="00E22031">
        <w:rPr>
          <w:sz w:val="24"/>
          <w:szCs w:val="24"/>
        </w:rPr>
        <w:instrText xml:space="preserve"> SEQ Figure \* ARABIC </w:instrText>
      </w:r>
      <w:r w:rsidRPr="00E2203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E22031">
        <w:rPr>
          <w:sz w:val="24"/>
          <w:szCs w:val="24"/>
        </w:rPr>
        <w:fldChar w:fldCharType="end"/>
      </w:r>
      <w:r w:rsidRPr="00E22031">
        <w:rPr>
          <w:sz w:val="24"/>
          <w:szCs w:val="24"/>
        </w:rPr>
        <w:t xml:space="preserve"> </w:t>
      </w:r>
      <w:r>
        <w:rPr>
          <w:sz w:val="24"/>
          <w:szCs w:val="24"/>
        </w:rPr>
        <w:t>Histogram of Failed Backers</w:t>
      </w:r>
    </w:p>
    <w:p w14:paraId="4A04CA48" w14:textId="6ABF7705" w:rsidR="006272EA" w:rsidRDefault="00737B43" w:rsidP="001502B2">
      <w:r>
        <w:t>Generally, it is harder to convince people to buy ideas</w:t>
      </w:r>
      <w:r w:rsidR="00624300">
        <w:t xml:space="preserve">. Even if </w:t>
      </w:r>
      <w:r w:rsidR="00663ACD">
        <w:t>it is</w:t>
      </w:r>
      <w:r w:rsidR="00624300">
        <w:t xml:space="preserve"> </w:t>
      </w:r>
      <w:r w:rsidR="00663ACD">
        <w:t xml:space="preserve">brilliant </w:t>
      </w:r>
      <w:r w:rsidR="00624300">
        <w:t xml:space="preserve">idea, </w:t>
      </w:r>
      <w:r w:rsidR="00663ACD">
        <w:t xml:space="preserve">but the </w:t>
      </w:r>
      <w:r w:rsidR="00624300">
        <w:t xml:space="preserve">marketing is not good, </w:t>
      </w:r>
      <w:r w:rsidR="00663ACD">
        <w:t>less people will attract or back the idea</w:t>
      </w:r>
      <w:r w:rsidR="00624300">
        <w:t>.</w:t>
      </w:r>
      <w:r>
        <w:t xml:space="preserve"> </w:t>
      </w:r>
      <w:r w:rsidR="00604DB8">
        <w:t>T</w:t>
      </w:r>
      <w:r>
        <w:t xml:space="preserve">his will reflect on the </w:t>
      </w:r>
      <w:r w:rsidR="0007129B">
        <w:t xml:space="preserve">less </w:t>
      </w:r>
      <w:r>
        <w:t xml:space="preserve">variance of the failed project. </w:t>
      </w:r>
    </w:p>
    <w:sectPr w:rsidR="006272EA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EB860" w14:textId="77777777" w:rsidR="00C32884" w:rsidRDefault="00C32884" w:rsidP="00C004BF">
      <w:pPr>
        <w:spacing w:after="0" w:line="240" w:lineRule="auto"/>
      </w:pPr>
      <w:r>
        <w:separator/>
      </w:r>
    </w:p>
  </w:endnote>
  <w:endnote w:type="continuationSeparator" w:id="0">
    <w:p w14:paraId="29B83AB6" w14:textId="77777777" w:rsidR="00C32884" w:rsidRDefault="00C32884" w:rsidP="00C00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D23D2" w14:textId="77777777" w:rsidR="00C32884" w:rsidRDefault="00C32884" w:rsidP="00C004BF">
      <w:pPr>
        <w:spacing w:after="0" w:line="240" w:lineRule="auto"/>
      </w:pPr>
      <w:r>
        <w:separator/>
      </w:r>
    </w:p>
  </w:footnote>
  <w:footnote w:type="continuationSeparator" w:id="0">
    <w:p w14:paraId="566ABFF4" w14:textId="77777777" w:rsidR="00C32884" w:rsidRDefault="00C32884" w:rsidP="00C00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1CCC1" w14:textId="5D952D87" w:rsidR="00C004BF" w:rsidRDefault="00C004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0069E9" wp14:editId="7D31F352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8c01446b8adc00c8e7c8c0d7" descr="{&quot;HashCode&quot;:170875720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D75BA6" w14:textId="4AAC7548" w:rsidR="00C004BF" w:rsidRPr="00C004BF" w:rsidRDefault="00C004BF" w:rsidP="00C004B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C004BF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[Open]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069E9" id="_x0000_t202" coordsize="21600,21600" o:spt="202" path="m,l,21600r21600,l21600,xe">
              <v:stroke joinstyle="miter"/>
              <v:path gradientshapeok="t" o:connecttype="rect"/>
            </v:shapetype>
            <v:shape id="MSIPCM8c01446b8adc00c8e7c8c0d7" o:spid="_x0000_s1026" type="#_x0000_t202" alt="{&quot;HashCode&quot;:1708757200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" o:allowincell="f" filled="f" stroked="f" strokeweight=".5pt">
              <v:textbox inset="20pt,0,,0">
                <w:txbxContent>
                  <w:p w14:paraId="39D75BA6" w14:textId="4AAC7548" w:rsidR="00C004BF" w:rsidRPr="00C004BF" w:rsidRDefault="00C004BF" w:rsidP="00C004B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C004BF">
                      <w:rPr>
                        <w:rFonts w:ascii="Calibri" w:hAnsi="Calibri" w:cs="Calibri"/>
                        <w:color w:val="000000"/>
                        <w:sz w:val="24"/>
                      </w:rPr>
                      <w:t>[Open]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474FA"/>
    <w:multiLevelType w:val="hybridMultilevel"/>
    <w:tmpl w:val="9B3277B4"/>
    <w:lvl w:ilvl="0" w:tplc="53FE9B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553A42"/>
    <w:multiLevelType w:val="hybridMultilevel"/>
    <w:tmpl w:val="E2EE5D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A3"/>
    <w:rsid w:val="00002066"/>
    <w:rsid w:val="00045A33"/>
    <w:rsid w:val="0007129B"/>
    <w:rsid w:val="00097188"/>
    <w:rsid w:val="000A07D2"/>
    <w:rsid w:val="001502B2"/>
    <w:rsid w:val="00162F3C"/>
    <w:rsid w:val="00194234"/>
    <w:rsid w:val="001B3998"/>
    <w:rsid w:val="001C43AB"/>
    <w:rsid w:val="001F0558"/>
    <w:rsid w:val="002C1E86"/>
    <w:rsid w:val="00313449"/>
    <w:rsid w:val="003161B9"/>
    <w:rsid w:val="003261A6"/>
    <w:rsid w:val="00331FAA"/>
    <w:rsid w:val="00367833"/>
    <w:rsid w:val="003807F6"/>
    <w:rsid w:val="003822DB"/>
    <w:rsid w:val="003F4761"/>
    <w:rsid w:val="003F4C97"/>
    <w:rsid w:val="00414648"/>
    <w:rsid w:val="004247EB"/>
    <w:rsid w:val="00434D03"/>
    <w:rsid w:val="00470A5A"/>
    <w:rsid w:val="004E167C"/>
    <w:rsid w:val="0050512B"/>
    <w:rsid w:val="005214C1"/>
    <w:rsid w:val="00521E15"/>
    <w:rsid w:val="00526EE0"/>
    <w:rsid w:val="005603E6"/>
    <w:rsid w:val="005E5A98"/>
    <w:rsid w:val="005F3025"/>
    <w:rsid w:val="00604DB8"/>
    <w:rsid w:val="00615B9B"/>
    <w:rsid w:val="00621224"/>
    <w:rsid w:val="00624300"/>
    <w:rsid w:val="006272EA"/>
    <w:rsid w:val="006328B8"/>
    <w:rsid w:val="00646B75"/>
    <w:rsid w:val="00663ACD"/>
    <w:rsid w:val="006C392D"/>
    <w:rsid w:val="006F521F"/>
    <w:rsid w:val="00726C51"/>
    <w:rsid w:val="00737B43"/>
    <w:rsid w:val="00744A8F"/>
    <w:rsid w:val="007B2499"/>
    <w:rsid w:val="007B6BC0"/>
    <w:rsid w:val="00820455"/>
    <w:rsid w:val="00825DEF"/>
    <w:rsid w:val="00826214"/>
    <w:rsid w:val="00850455"/>
    <w:rsid w:val="00852737"/>
    <w:rsid w:val="008D3C4F"/>
    <w:rsid w:val="009121A3"/>
    <w:rsid w:val="00915EEB"/>
    <w:rsid w:val="009310D4"/>
    <w:rsid w:val="0098494F"/>
    <w:rsid w:val="009A11A8"/>
    <w:rsid w:val="009A75A6"/>
    <w:rsid w:val="009C4C19"/>
    <w:rsid w:val="00A8524F"/>
    <w:rsid w:val="00AA1DAD"/>
    <w:rsid w:val="00AC505E"/>
    <w:rsid w:val="00B603F7"/>
    <w:rsid w:val="00BA4567"/>
    <w:rsid w:val="00BE3D06"/>
    <w:rsid w:val="00C004BF"/>
    <w:rsid w:val="00C32884"/>
    <w:rsid w:val="00C34029"/>
    <w:rsid w:val="00C75465"/>
    <w:rsid w:val="00C77B9E"/>
    <w:rsid w:val="00CC7F80"/>
    <w:rsid w:val="00CD10C9"/>
    <w:rsid w:val="00CF343A"/>
    <w:rsid w:val="00D155D6"/>
    <w:rsid w:val="00D1665D"/>
    <w:rsid w:val="00D17EB7"/>
    <w:rsid w:val="00D3146F"/>
    <w:rsid w:val="00D60106"/>
    <w:rsid w:val="00DA680E"/>
    <w:rsid w:val="00DB5096"/>
    <w:rsid w:val="00DE12B3"/>
    <w:rsid w:val="00E1404A"/>
    <w:rsid w:val="00E22031"/>
    <w:rsid w:val="00F52356"/>
    <w:rsid w:val="00F758D7"/>
    <w:rsid w:val="00F9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09C2"/>
  <w15:chartTrackingRefBased/>
  <w15:docId w15:val="{33343156-F505-47D1-83DA-645431C8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A"/>
  </w:style>
  <w:style w:type="paragraph" w:styleId="Heading1">
    <w:name w:val="heading 1"/>
    <w:basedOn w:val="Normal"/>
    <w:next w:val="Normal"/>
    <w:link w:val="Heading1Char"/>
    <w:uiPriority w:val="9"/>
    <w:qFormat/>
    <w:rsid w:val="00470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4BF"/>
  </w:style>
  <w:style w:type="paragraph" w:styleId="Footer">
    <w:name w:val="footer"/>
    <w:basedOn w:val="Normal"/>
    <w:link w:val="FooterChar"/>
    <w:uiPriority w:val="99"/>
    <w:unhideWhenUsed/>
    <w:rsid w:val="00C004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4BF"/>
  </w:style>
  <w:style w:type="table" w:styleId="TableGrid">
    <w:name w:val="Table Grid"/>
    <w:basedOn w:val="TableNormal"/>
    <w:uiPriority w:val="39"/>
    <w:rsid w:val="00D6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C50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70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70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0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70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70A5A"/>
    <w:rPr>
      <w:b/>
      <w:bCs/>
    </w:rPr>
  </w:style>
  <w:style w:type="character" w:styleId="Emphasis">
    <w:name w:val="Emphasis"/>
    <w:basedOn w:val="DefaultParagraphFont"/>
    <w:uiPriority w:val="20"/>
    <w:qFormat/>
    <w:rsid w:val="00470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470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70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70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0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70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A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scbhd-my.sharepoint.com/personal/ahmadmakintha_misc_my/Documents/Makintha/7_Private/01_DataBootCamp/01_Week01/01_Homework/Excel_Challenge/StarterBook_AM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scbhd-my.sharepoint.com/personal/ahmadmakintha_misc_my/Documents/Makintha/7_Private/01_DataBootCamp/01_Week01/01_Homework/Excel_Challenge/StarterBook_AM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scbhd-my.sharepoint.com/personal/ahmadmakintha_misc_my/Documents/Makintha/7_Private/01_DataBootCamp/01_Week01/01_Homework/Excel_Challenge/StarterBook_AM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scbhd-my.sharepoint.com/personal/ahmadmakintha_misc_my/Documents/Makintha/7_Private/01_DataBootCamp/01_Week01/01_Homework/Excel_Challenge/StarterBook_AM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scbhd-my.sharepoint.com/personal/ahmadmakintha_misc_my/Documents/Makintha/7_Private/01_DataBootCamp/01_Week01/01_Homework/Excel_Challenge/StarterBook_AMB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scbhd-my.sharepoint.com/personal/ahmadmakintha_misc_my/Documents/Makintha/7_Private/01_DataBootCamp/01_Week01/01_Homework/Excel_Challenge/StarterBook_AMB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[StarterBook_AMB.xlsx]Per_Sub_Category!PivotTable3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Campaign</a:t>
            </a:r>
            <a:r>
              <a:rPr lang="en-MY" baseline="0"/>
              <a:t> Outcome per Sub-Category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Per_Sub_Category!$B$4:$B$5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Per_Sub_Category!$A$6:$A$47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Per_Sub_Category!$B$6:$B$47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BC-4C25-9FC4-8D1692D897F5}"/>
            </c:ext>
          </c:extLst>
        </c:ser>
        <c:ser>
          <c:idx val="1"/>
          <c:order val="1"/>
          <c:tx>
            <c:strRef>
              <c:f>Per_Sub_Category!$C$4:$C$5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Per_Sub_Category!$A$6:$A$47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Per_Sub_Category!$C$6:$C$47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BC-4C25-9FC4-8D1692D897F5}"/>
            </c:ext>
          </c:extLst>
        </c:ser>
        <c:ser>
          <c:idx val="2"/>
          <c:order val="2"/>
          <c:tx>
            <c:strRef>
              <c:f>Per_Sub_Category!$D$4:$D$5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Per_Sub_Category!$A$6:$A$47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Per_Sub_Category!$D$6:$D$47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8BC-4C25-9FC4-8D1692D897F5}"/>
            </c:ext>
          </c:extLst>
        </c:ser>
        <c:ser>
          <c:idx val="3"/>
          <c:order val="3"/>
          <c:tx>
            <c:strRef>
              <c:f>Per_Sub_Category!$E$4:$E$5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Per_Sub_Category!$A$6:$A$47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Per_Sub_Category!$E$6:$E$47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8BC-4C25-9FC4-8D1692D897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48594479"/>
        <c:axId val="981591935"/>
      </c:barChart>
      <c:catAx>
        <c:axId val="848594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591935"/>
        <c:crosses val="autoZero"/>
        <c:auto val="1"/>
        <c:lblAlgn val="ctr"/>
        <c:lblOffset val="100"/>
        <c:noMultiLvlLbl val="0"/>
      </c:catAx>
      <c:valAx>
        <c:axId val="98159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594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[StarterBook_AMB.xlsx]Per_Category!PivotTable4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Campaign</a:t>
            </a:r>
            <a:r>
              <a:rPr lang="en-MY" baseline="0"/>
              <a:t> Outcome per Parent-Category</a:t>
            </a:r>
            <a:endParaRPr lang="en-MY"/>
          </a:p>
        </c:rich>
      </c:tx>
      <c:layout>
        <c:manualLayout>
          <c:xMode val="edge"/>
          <c:yMode val="edge"/>
          <c:x val="0.22053717666917078"/>
          <c:y val="3.05720801293280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Per_Category!$B$3:$B$4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Per_Category!$B$5:$B$14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56-415B-8AFB-1163D5BDF8DC}"/>
            </c:ext>
          </c:extLst>
        </c:ser>
        <c:ser>
          <c:idx val="1"/>
          <c:order val="1"/>
          <c:tx>
            <c:strRef>
              <c:f>Per_Category!$C$3:$C$4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Per_Category!$A$5:$A$14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Per_Category!$C$5:$C$14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56-415B-8AFB-1163D5BDF8DC}"/>
            </c:ext>
          </c:extLst>
        </c:ser>
        <c:ser>
          <c:idx val="2"/>
          <c:order val="2"/>
          <c:tx>
            <c:strRef>
              <c:f>Per_Category!$D$3:$D$4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Per_Category!$A$5:$A$14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Per_Category!$D$5:$D$14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56-415B-8AFB-1163D5BDF8DC}"/>
            </c:ext>
          </c:extLst>
        </c:ser>
        <c:ser>
          <c:idx val="3"/>
          <c:order val="3"/>
          <c:tx>
            <c:strRef>
              <c:f>Per_Category!$E$3:$E$4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Per_Category!$A$5:$A$14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Per_Category!$E$5:$E$14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56-415B-8AFB-1163D5BDF8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7826879"/>
        <c:axId val="981603167"/>
      </c:barChart>
      <c:catAx>
        <c:axId val="957826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Parent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1603167"/>
        <c:crosses val="autoZero"/>
        <c:auto val="1"/>
        <c:lblAlgn val="ctr"/>
        <c:lblOffset val="100"/>
        <c:noMultiLvlLbl val="0"/>
      </c:catAx>
      <c:valAx>
        <c:axId val="98160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782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[StarterBook_AMB.xlsx]Per_Month_Launched!PivotTable7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Outcome Frequency</a:t>
            </a:r>
            <a:r>
              <a:rPr lang="en-MY" baseline="0"/>
              <a:t> Per Month (2009 - 2017)</a:t>
            </a:r>
            <a:endParaRPr lang="en-MY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Per_Month_Launched!$B$4:$B$5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Per_Month_Launched!$A$6:$A$18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Per_Month_Launched!$B$6:$B$18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91-4488-898D-C8C115130C90}"/>
            </c:ext>
          </c:extLst>
        </c:ser>
        <c:ser>
          <c:idx val="1"/>
          <c:order val="1"/>
          <c:tx>
            <c:strRef>
              <c:f>Per_Month_Launched!$C$4:$C$5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Per_Month_Launched!$A$6:$A$18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Per_Month_Launched!$C$6:$C$18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91-4488-898D-C8C115130C90}"/>
            </c:ext>
          </c:extLst>
        </c:ser>
        <c:ser>
          <c:idx val="2"/>
          <c:order val="2"/>
          <c:tx>
            <c:strRef>
              <c:f>Per_Month_Launched!$D$4:$D$5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Per_Month_Launched!$A$6:$A$18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Per_Month_Launched!$D$6:$D$18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91-4488-898D-C8C115130C90}"/>
            </c:ext>
          </c:extLst>
        </c:ser>
        <c:ser>
          <c:idx val="3"/>
          <c:order val="3"/>
          <c:tx>
            <c:strRef>
              <c:f>Per_Month_Launched!$E$4:$E$5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Per_Month_Launched!$A$6:$A$18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Per_Month_Launched!$E$6:$E$18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91-4488-898D-C8C115130C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23537311"/>
        <c:axId val="331884543"/>
      </c:lineChart>
      <c:catAx>
        <c:axId val="1523537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884543"/>
        <c:crosses val="autoZero"/>
        <c:auto val="1"/>
        <c:lblAlgn val="ctr"/>
        <c:lblOffset val="100"/>
        <c:noMultiLvlLbl val="0"/>
      </c:catAx>
      <c:valAx>
        <c:axId val="33188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3537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Percentage Rate of Outcome vs Target</a:t>
            </a:r>
            <a:r>
              <a:rPr lang="en-MY" baseline="0"/>
              <a:t> </a:t>
            </a:r>
            <a:r>
              <a:rPr lang="en-MY"/>
              <a:t>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Bonus!$B$1</c:f>
              <c:strCache>
                <c:ptCount val="1"/>
                <c:pt idx="0">
                  <c:v>Number of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&lt; 1000</c:v>
                </c:pt>
                <c:pt idx="1">
                  <c:v>1000 to 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≤ 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0.53426573426573432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0.40145985401459855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2D-4F70-8C2E-A8D30E4C92E6}"/>
            </c:ext>
          </c:extLst>
        </c:ser>
        <c:ser>
          <c:idx val="1"/>
          <c:order val="1"/>
          <c:tx>
            <c:strRef>
              <c:f>Bonus!$C$1</c:f>
              <c:strCache>
                <c:ptCount val="1"/>
                <c:pt idx="0">
                  <c:v>Number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&lt; 1000</c:v>
                </c:pt>
                <c:pt idx="1">
                  <c:v>1000 to 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≤ 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0.39440559440559442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0.46715328467153283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2D-4F70-8C2E-A8D30E4C92E6}"/>
            </c:ext>
          </c:extLst>
        </c:ser>
        <c:ser>
          <c:idx val="2"/>
          <c:order val="2"/>
          <c:tx>
            <c:strRef>
              <c:f>Bonus!$D$1</c:f>
              <c:strCache>
                <c:ptCount val="1"/>
                <c:pt idx="0">
                  <c:v>Number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&lt; 1000</c:v>
                </c:pt>
                <c:pt idx="1">
                  <c:v>1000 to 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≤ 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7.1328671328671323E-2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0.13138686131386862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2D-4F70-8C2E-A8D30E4C92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78118975"/>
        <c:axId val="1003075839"/>
      </c:lineChart>
      <c:catAx>
        <c:axId val="9781189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Target Goal</a:t>
                </a:r>
                <a:r>
                  <a:rPr lang="en-MY" baseline="0"/>
                  <a:t> ($)</a:t>
                </a:r>
                <a:endParaRPr lang="en-MY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075839"/>
        <c:crosses val="autoZero"/>
        <c:auto val="1"/>
        <c:lblAlgn val="ctr"/>
        <c:lblOffset val="100"/>
        <c:noMultiLvlLbl val="0"/>
      </c:catAx>
      <c:valAx>
        <c:axId val="100307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Percentage Rate</a:t>
                </a:r>
              </a:p>
            </c:rich>
          </c:tx>
          <c:layout>
            <c:manualLayout>
              <c:xMode val="edge"/>
              <c:yMode val="edge"/>
              <c:x val="1.3314310892304448E-2"/>
              <c:y val="0.295081572359871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118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Histogram of No. Successful Backers</a:t>
            </a:r>
          </a:p>
        </c:rich>
      </c:tx>
      <c:layout>
        <c:manualLayout>
          <c:xMode val="edge"/>
          <c:yMode val="edge"/>
          <c:x val="0.1446473795477011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Bonus_Statistical_Analysis!$F$2:$F$10</c:f>
              <c:strCache>
                <c:ptCount val="9"/>
                <c:pt idx="0">
                  <c:v>&lt; 50</c:v>
                </c:pt>
                <c:pt idx="1">
                  <c:v>50 to 99</c:v>
                </c:pt>
                <c:pt idx="2">
                  <c:v>100 to 149</c:v>
                </c:pt>
                <c:pt idx="3">
                  <c:v>150 to 199</c:v>
                </c:pt>
                <c:pt idx="4">
                  <c:v>200 to 249</c:v>
                </c:pt>
                <c:pt idx="5">
                  <c:v>250 to 299</c:v>
                </c:pt>
                <c:pt idx="6">
                  <c:v>300 to 349</c:v>
                </c:pt>
                <c:pt idx="7">
                  <c:v>350 to 399</c:v>
                </c:pt>
                <c:pt idx="8">
                  <c:v>400 &gt;</c:v>
                </c:pt>
              </c:strCache>
            </c:strRef>
          </c:cat>
          <c:val>
            <c:numRef>
              <c:f>Bonus_Statistical_Analysis!$G$2:$G$10</c:f>
              <c:numCache>
                <c:formatCode>General</c:formatCode>
                <c:ptCount val="9"/>
                <c:pt idx="0">
                  <c:v>924</c:v>
                </c:pt>
                <c:pt idx="1">
                  <c:v>528</c:v>
                </c:pt>
                <c:pt idx="2">
                  <c:v>219</c:v>
                </c:pt>
                <c:pt idx="3">
                  <c:v>126</c:v>
                </c:pt>
                <c:pt idx="4">
                  <c:v>75</c:v>
                </c:pt>
                <c:pt idx="5">
                  <c:v>58</c:v>
                </c:pt>
                <c:pt idx="6">
                  <c:v>41</c:v>
                </c:pt>
                <c:pt idx="7">
                  <c:v>30</c:v>
                </c:pt>
                <c:pt idx="8">
                  <c:v>184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C5-441D-BFA2-491B41D043E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4130607"/>
        <c:axId val="1542611743"/>
      </c:barChart>
      <c:catAx>
        <c:axId val="194130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No. Of Backers 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611743"/>
        <c:crosses val="autoZero"/>
        <c:auto val="1"/>
        <c:lblAlgn val="ctr"/>
        <c:lblOffset val="100"/>
        <c:noMultiLvlLbl val="0"/>
      </c:catAx>
      <c:valAx>
        <c:axId val="1542611743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Total Backers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94130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MY"/>
              <a:t>Histogram of No. Failed Backers</a:t>
            </a:r>
          </a:p>
        </c:rich>
      </c:tx>
      <c:layout>
        <c:manualLayout>
          <c:xMode val="edge"/>
          <c:yMode val="edge"/>
          <c:x val="0.14464737954770113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Bonus_Statistical_Analysis!$F$2:$F$10</c:f>
              <c:strCache>
                <c:ptCount val="9"/>
                <c:pt idx="0">
                  <c:v>&lt; 50</c:v>
                </c:pt>
                <c:pt idx="1">
                  <c:v>50 to 99</c:v>
                </c:pt>
                <c:pt idx="2">
                  <c:v>100 to 149</c:v>
                </c:pt>
                <c:pt idx="3">
                  <c:v>150 to 199</c:v>
                </c:pt>
                <c:pt idx="4">
                  <c:v>200 to 249</c:v>
                </c:pt>
                <c:pt idx="5">
                  <c:v>250 to 299</c:v>
                </c:pt>
                <c:pt idx="6">
                  <c:v>300 to 349</c:v>
                </c:pt>
                <c:pt idx="7">
                  <c:v>350 to 399</c:v>
                </c:pt>
                <c:pt idx="8">
                  <c:v>400 &gt;</c:v>
                </c:pt>
              </c:strCache>
            </c:strRef>
          </c:cat>
          <c:val>
            <c:numRef>
              <c:f>Bonus_Statistical_Analysis!$U$2:$U$10</c:f>
              <c:numCache>
                <c:formatCode>General</c:formatCode>
                <c:ptCount val="9"/>
                <c:pt idx="0">
                  <c:v>1422</c:v>
                </c:pt>
                <c:pt idx="1">
                  <c:v>53</c:v>
                </c:pt>
                <c:pt idx="2">
                  <c:v>26</c:v>
                </c:pt>
                <c:pt idx="3">
                  <c:v>11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1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3-4239-8486-F01136116EF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94130607"/>
        <c:axId val="1542611743"/>
      </c:barChart>
      <c:catAx>
        <c:axId val="194130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No. Of Backers 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611743"/>
        <c:crosses val="autoZero"/>
        <c:auto val="1"/>
        <c:lblAlgn val="ctr"/>
        <c:lblOffset val="100"/>
        <c:noMultiLvlLbl val="0"/>
      </c:catAx>
      <c:valAx>
        <c:axId val="1542611743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MY"/>
                  <a:t>Total Backers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194130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FC4F-2E00-46EA-A210-C37DAA1D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Makintha Brany</dc:creator>
  <cp:keywords/>
  <dc:description/>
  <cp:lastModifiedBy>Ahmad Makintha Brany</cp:lastModifiedBy>
  <cp:revision>83</cp:revision>
  <dcterms:created xsi:type="dcterms:W3CDTF">2021-03-14T13:44:00Z</dcterms:created>
  <dcterms:modified xsi:type="dcterms:W3CDTF">2021-03-15T10:33:00Z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e3b6e8-ab9f-44f5-a99c-38c02be7a871_Enabled">
    <vt:lpwstr>True</vt:lpwstr>
  </property>
  <property fmtid="{D5CDD505-2E9C-101B-9397-08002B2CF9AE}" pid="3" name="MSIP_Label_b8e3b6e8-ab9f-44f5-a99c-38c02be7a871_SiteId">
    <vt:lpwstr>996a7d32-3d55-4988-a05b-4472a0b840f6</vt:lpwstr>
  </property>
  <property fmtid="{D5CDD505-2E9C-101B-9397-08002B2CF9AE}" pid="4" name="MSIP_Label_b8e3b6e8-ab9f-44f5-a99c-38c02be7a871_Owner">
    <vt:lpwstr>ahmadmakintha@misc.my</vt:lpwstr>
  </property>
  <property fmtid="{D5CDD505-2E9C-101B-9397-08002B2CF9AE}" pid="5" name="MSIP_Label_b8e3b6e8-ab9f-44f5-a99c-38c02be7a871_SetDate">
    <vt:lpwstr>2021-03-14T14:18:57.9282403Z</vt:lpwstr>
  </property>
  <property fmtid="{D5CDD505-2E9C-101B-9397-08002B2CF9AE}" pid="6" name="MSIP_Label_b8e3b6e8-ab9f-44f5-a99c-38c02be7a871_Name">
    <vt:lpwstr>Open</vt:lpwstr>
  </property>
  <property fmtid="{D5CDD505-2E9C-101B-9397-08002B2CF9AE}" pid="7" name="MSIP_Label_b8e3b6e8-ab9f-44f5-a99c-38c02be7a871_Application">
    <vt:lpwstr>Microsoft Azure Information Protection</vt:lpwstr>
  </property>
  <property fmtid="{D5CDD505-2E9C-101B-9397-08002B2CF9AE}" pid="8" name="MSIP_Label_b8e3b6e8-ab9f-44f5-a99c-38c02be7a871_ActionId">
    <vt:lpwstr>8c757338-3a87-4f51-bc21-2bbf16c57753</vt:lpwstr>
  </property>
  <property fmtid="{D5CDD505-2E9C-101B-9397-08002B2CF9AE}" pid="9" name="MSIP_Label_b8e3b6e8-ab9f-44f5-a99c-38c02be7a871_Extended_MSFT_Method">
    <vt:lpwstr>Automatic</vt:lpwstr>
  </property>
  <property fmtid="{D5CDD505-2E9C-101B-9397-08002B2CF9AE}" pid="10" name="Sensitivity">
    <vt:lpwstr>Open</vt:lpwstr>
  </property>
</Properties>
</file>