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00" w:after="80"/>
      </w:pPr>
      <w:r>
        <w:rPr>
          <w:rFonts w:ascii="Calibri" w:hAnsi="Calibri" w:cs="Calibri" w:eastAsia="Calibri"/>
          <w:b/>
          <w:i w:val="0"/>
          <w:color w:val="1F3864"/>
          <w:sz w:val="39"/>
          <w:szCs w:val="39"/>
          <w:bCs/>
        </w:rPr>
        <w:t>Tailoring Guide</w:t>
      </w:r>
    </w:p>
    <w:p>
      <w:pPr>
        <w:spacing w:after="80" w:before="0"/>
      </w:pPr>
      <w:r>
        <w:rPr>
          <w:rFonts w:ascii="Calibri" w:hAnsi="Calibri" w:cs="Calibri" w:eastAsia="Calibri"/>
          <w:b w:val="0"/>
          <w:i w:val="0"/>
          <w:sz w:val="18"/>
          <w:szCs w:val="18"/>
        </w:rPr>
        <w:t>How to select the documents that fit an organization's size and obligations, and in what order to build them | References as of October 2026</w:t>
      </w:r>
    </w:p>
    <w:p>
      <w:pPr>
        <w:pStyle w:val="Heading1"/>
        <w:keepNext/>
        <w:spacing w:before="200" w:after="80"/>
      </w:pPr>
      <w:r>
        <w:rPr>
          <w:rFonts w:ascii="Calibri" w:hAnsi="Calibri" w:cs="Calibri" w:eastAsia="Calibri"/>
          <w:b/>
          <w:i w:val="0"/>
          <w:color w:val="1F3864"/>
          <w:sz w:val="29"/>
          <w:szCs w:val="29"/>
          <w:bCs/>
        </w:rPr>
        <w:t>1. Key Message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Key message: </w:t>
            </w:r>
            <w:r>
              <w:rPr>
                <w:rFonts w:ascii="Calibri" w:hAnsi="Calibri" w:cs="Calibri" w:eastAsia="Calibri"/>
                <w:b w:val="0"/>
                <w:i w:val="0"/>
                <w:sz w:val="18"/>
                <w:szCs w:val="18"/>
              </w:rPr>
              <w:t>Do not adopt all 142 documents. Select in three steps: (1) pick a package by organization size, (2) add documents made mandatory by the organization's triggers, (3) combine overlapping documents when the team is small, (4) check which documents need a specialist. Then build them in the recommended waves, with threat-driven quick wins (Track B) running in parallel from day one.</w:t>
            </w:r>
          </w:p>
        </w:tc>
      </w:tr>
    </w:tbl>
    <w:p>
      <w:pPr>
        <w:spacing w:after="0"/>
      </w:pPr>
    </w:p>
    <w:p>
      <w:pPr>
        <w:pStyle w:val="Heading1"/>
        <w:keepNext/>
        <w:spacing w:before="200" w:after="80"/>
      </w:pPr>
      <w:r>
        <w:rPr>
          <w:rFonts w:ascii="Calibri" w:hAnsi="Calibri" w:cs="Calibri" w:eastAsia="Calibri"/>
          <w:b/>
          <w:i w:val="0"/>
          <w:color w:val="1F3864"/>
          <w:sz w:val="29"/>
          <w:szCs w:val="29"/>
          <w:bCs/>
        </w:rPr>
        <w:t>2. Step 1: Choose a Package by Size</w:t>
      </w:r>
    </w:p>
    <w:tbl>
      <w:tblPr>
        <w:tblStyle w:val="TableGrid"/>
        <w:tblW w:type="auto" w:w="0"/>
        <w:jc w:val="center"/>
        <w:tblLayout w:type="fixed"/>
        <w:tblLook w:firstColumn="1" w:firstRow="1" w:lastColumn="0" w:lastRow="0" w:noHBand="0" w:noVBand="1" w:val="04A0"/>
        <w:tblLayout w:type="fixed"/>
      </w:tblPr>
      <w:tblGrid>
        <w:gridCol w:w="3402"/>
        <w:gridCol w:w="2551"/>
        <w:gridCol w:w="3402"/>
      </w:tblGrid>
      <w:tr>
        <w:trPr>
          <w:tblHeader w:val="true"/>
        </w:trPr>
        <w:tc>
          <w:tcPr>
            <w:tcW w:type="dxa" w:w="3402"/>
            <w:shd w:val="clear" w:color="auto" w:fill="1F3864"/>
          </w:tcPr>
          <w:p>
            <w:r/>
            <w:r>
              <w:rPr>
                <w:rFonts w:ascii="Calibri" w:hAnsi="Calibri" w:cs="Calibri" w:eastAsia="Calibri"/>
                <w:b/>
                <w:i w:val="0"/>
                <w:color w:val="FFFFFF"/>
                <w:sz w:val="18"/>
                <w:szCs w:val="18"/>
                <w:bCs/>
              </w:rPr>
              <w:t>Organization</w:t>
            </w:r>
          </w:p>
        </w:tc>
        <w:tc>
          <w:tcPr>
            <w:tcW w:type="dxa" w:w="2551"/>
            <w:shd w:val="clear" w:color="auto" w:fill="1F3864"/>
          </w:tcPr>
          <w:p>
            <w:r/>
            <w:r>
              <w:rPr>
                <w:rFonts w:ascii="Calibri" w:hAnsi="Calibri" w:cs="Calibri" w:eastAsia="Calibri"/>
                <w:b/>
                <w:i w:val="0"/>
                <w:color w:val="FFFFFF"/>
                <w:sz w:val="18"/>
                <w:szCs w:val="18"/>
                <w:bCs/>
              </w:rPr>
              <w:t>Package</w:t>
            </w:r>
          </w:p>
        </w:tc>
        <w:tc>
          <w:tcPr>
            <w:tcW w:type="dxa" w:w="3402"/>
            <w:shd w:val="clear" w:color="auto" w:fill="1F3864"/>
          </w:tcPr>
          <w:p>
            <w:r/>
            <w:r>
              <w:rPr>
                <w:rFonts w:ascii="Calibri" w:hAnsi="Calibri" w:cs="Calibri" w:eastAsia="Calibri"/>
                <w:b/>
                <w:i w:val="0"/>
                <w:color w:val="FFFFFF"/>
                <w:sz w:val="18"/>
                <w:szCs w:val="18"/>
                <w:bCs/>
              </w:rPr>
              <w:t>Approximate count</w:t>
            </w:r>
          </w:p>
        </w:tc>
      </w:tr>
      <w:tr>
        <w:tc>
          <w:tcPr>
            <w:tcW w:type="dxa" w:w="3402"/>
          </w:tcPr>
          <w:p>
            <w:r/>
            <w:r>
              <w:rPr>
                <w:rFonts w:ascii="Calibri" w:hAnsi="Calibri" w:cs="Calibri" w:eastAsia="Calibri"/>
                <w:b w:val="0"/>
                <w:i w:val="0"/>
                <w:sz w:val="18"/>
                <w:szCs w:val="18"/>
              </w:rPr>
              <w:t>Small (under 200 staff, no security team)</w:t>
            </w:r>
          </w:p>
        </w:tc>
        <w:tc>
          <w:tcPr>
            <w:tcW w:type="dxa" w:w="2551"/>
          </w:tcPr>
          <w:p>
            <w:r/>
            <w:r>
              <w:rPr>
                <w:rFonts w:ascii="Calibri" w:hAnsi="Calibri" w:cs="Calibri" w:eastAsia="Calibri"/>
                <w:b w:val="0"/>
                <w:i w:val="0"/>
                <w:sz w:val="18"/>
                <w:szCs w:val="18"/>
              </w:rPr>
              <w:t>Essential</w:t>
            </w:r>
          </w:p>
        </w:tc>
        <w:tc>
          <w:tcPr>
            <w:tcW w:type="dxa" w:w="3402"/>
          </w:tcPr>
          <w:p>
            <w:r/>
            <w:r>
              <w:rPr>
                <w:rFonts w:ascii="Calibri" w:hAnsi="Calibri" w:cs="Calibri" w:eastAsia="Calibri"/>
                <w:b w:val="0"/>
                <w:i w:val="0"/>
                <w:sz w:val="18"/>
                <w:szCs w:val="18"/>
              </w:rPr>
              <w:t>59 documents; about 50 after combining (Section 4)</w:t>
            </w:r>
          </w:p>
        </w:tc>
      </w:tr>
      <w:tr>
        <w:tc>
          <w:tcPr>
            <w:tcW w:type="dxa" w:w="3402"/>
          </w:tcPr>
          <w:p>
            <w:r/>
            <w:r>
              <w:rPr>
                <w:rFonts w:ascii="Calibri" w:hAnsi="Calibri" w:cs="Calibri" w:eastAsia="Calibri"/>
                <w:b w:val="0"/>
                <w:i w:val="0"/>
                <w:sz w:val="18"/>
                <w:szCs w:val="18"/>
              </w:rPr>
              <w:t>Mid-sized (200 to 2,000 staff)</w:t>
            </w:r>
          </w:p>
        </w:tc>
        <w:tc>
          <w:tcPr>
            <w:tcW w:type="dxa" w:w="2551"/>
          </w:tcPr>
          <w:p>
            <w:r/>
            <w:r>
              <w:rPr>
                <w:rFonts w:ascii="Calibri" w:hAnsi="Calibri" w:cs="Calibri" w:eastAsia="Calibri"/>
                <w:b w:val="0"/>
                <w:i w:val="0"/>
                <w:sz w:val="18"/>
                <w:szCs w:val="18"/>
              </w:rPr>
              <w:t>Essential + Core</w:t>
            </w:r>
          </w:p>
        </w:tc>
        <w:tc>
          <w:tcPr>
            <w:tcW w:type="dxa" w:w="3402"/>
          </w:tcPr>
          <w:p>
            <w:r/>
            <w:r>
              <w:rPr>
                <w:rFonts w:ascii="Calibri" w:hAnsi="Calibri" w:cs="Calibri" w:eastAsia="Calibri"/>
                <w:b w:val="0"/>
                <w:i w:val="0"/>
                <w:sz w:val="18"/>
                <w:szCs w:val="18"/>
              </w:rPr>
              <w:t>126 documents, built over two years</w:t>
            </w:r>
          </w:p>
        </w:tc>
      </w:tr>
      <w:tr>
        <w:tc>
          <w:tcPr>
            <w:tcW w:type="dxa" w:w="3402"/>
          </w:tcPr>
          <w:p>
            <w:r/>
            <w:r>
              <w:rPr>
                <w:rFonts w:ascii="Calibri" w:hAnsi="Calibri" w:cs="Calibri" w:eastAsia="Calibri"/>
                <w:b w:val="0"/>
                <w:i w:val="0"/>
                <w:sz w:val="18"/>
                <w:szCs w:val="18"/>
              </w:rPr>
              <w:t>Large or heavily regulated</w:t>
            </w:r>
          </w:p>
        </w:tc>
        <w:tc>
          <w:tcPr>
            <w:tcW w:type="dxa" w:w="2551"/>
          </w:tcPr>
          <w:p>
            <w:r/>
            <w:r>
              <w:rPr>
                <w:rFonts w:ascii="Calibri" w:hAnsi="Calibri" w:cs="Calibri" w:eastAsia="Calibri"/>
                <w:b w:val="0"/>
                <w:i w:val="0"/>
                <w:sz w:val="18"/>
                <w:szCs w:val="18"/>
              </w:rPr>
              <w:t>All packages + sector requirements</w:t>
            </w:r>
          </w:p>
        </w:tc>
        <w:tc>
          <w:tcPr>
            <w:tcW w:type="dxa" w:w="3402"/>
          </w:tcPr>
          <w:p>
            <w:r/>
            <w:r>
              <w:rPr>
                <w:rFonts w:ascii="Calibri" w:hAnsi="Calibri" w:cs="Calibri" w:eastAsia="Calibri"/>
                <w:b w:val="0"/>
                <w:i w:val="0"/>
                <w:sz w:val="18"/>
                <w:szCs w:val="18"/>
              </w:rPr>
              <w:t>142 documents plus regulator-specific additions</w:t>
            </w:r>
          </w:p>
        </w:tc>
      </w:tr>
    </w:tbl>
    <w:p>
      <w:pPr>
        <w:spacing w:after="40"/>
      </w:pPr>
    </w:p>
    <w:p>
      <w:pPr>
        <w:spacing w:after="80" w:before="0"/>
      </w:pPr>
      <w:r>
        <w:rPr>
          <w:rFonts w:ascii="Calibri" w:hAnsi="Calibri" w:cs="Calibri" w:eastAsia="Calibri"/>
          <w:b w:val="0"/>
          <w:i w:val="0"/>
          <w:sz w:val="16"/>
          <w:szCs w:val="16"/>
        </w:rPr>
        <w:t>Essential set: DE-STD-002, GV-CHR-001, GV-CHR-002, GV-FRM-002, GV-FRM-003, GV-POL-001, GV-POL-002, GV-POL-003, GV-POL-004, GV-POL-006, GV-PRC-001, GV-PRC-002, GV-PRC-003, GV-PRC-005, GV-REG-001, GV-REG-003, GV-REG-007, GV-REG-009, GV-STD-001, GV-STM-001, GV-TPL-002, GV-TPL-004, ID-REG-001, ID-REG-002, ID-REG-003, ID-REG-005, ID-RPT-001, ID-RPT-002, ID-STD-001, ID-STD-002, PR-FRM-001, PR-PLN-001, PR-POL-001, PR-POL-003, PR-PRC-001, PR-PRC-002, PR-PRC-005, PR-PRC-006, PR-PRC-007, PR-REC-003, PR-REG-001, PR-STD-001, PR-STD-002, PR-STD-003, PR-STD-004, PR-STD-006, PR-STD-011, PR-STD-012, PR-STD-016, RC-PLN-001, RC-PLN-002, RS-FRM-001, RS-PLB-001, RS-PLB-003, RS-PLN-001, RS-PRC-001, RS-PRC-003, RS-REG-001, RS-REG-002</w:t>
      </w:r>
    </w:p>
    <w:p>
      <w:pPr>
        <w:spacing w:after="40" w:before="0"/>
      </w:pPr>
      <w:r>
        <w:rPr>
          <w:rFonts w:ascii="Calibri" w:hAnsi="Calibri" w:cs="Calibri" w:eastAsia="Calibri"/>
          <w:b/>
          <w:i w:val="0"/>
          <w:sz w:val="21"/>
          <w:szCs w:val="21"/>
          <w:bCs/>
        </w:rPr>
        <w:t>Level, Package, and Wave answer different questions</w:t>
      </w:r>
    </w:p>
    <w:tbl>
      <w:tblPr>
        <w:tblStyle w:val="TableGrid"/>
        <w:tblW w:type="auto" w:w="0"/>
        <w:jc w:val="center"/>
        <w:tblLayout w:type="fixed"/>
        <w:tblLook w:firstColumn="1" w:firstRow="1" w:lastColumn="0" w:lastRow="0" w:noHBand="0" w:noVBand="1" w:val="04A0"/>
        <w:tblLayout w:type="fixed"/>
      </w:tblPr>
      <w:tblGrid>
        <w:gridCol w:w="1701"/>
        <w:gridCol w:w="2835"/>
        <w:gridCol w:w="4819"/>
      </w:tblGrid>
      <w:tr>
        <w:trPr>
          <w:tblHeader w:val="true"/>
        </w:trPr>
        <w:tc>
          <w:tcPr>
            <w:tcW w:type="dxa" w:w="1701"/>
            <w:shd w:val="clear" w:color="auto" w:fill="1F3864"/>
          </w:tcPr>
          <w:p>
            <w:r/>
            <w:r>
              <w:rPr>
                <w:rFonts w:ascii="Calibri" w:hAnsi="Calibri" w:cs="Calibri" w:eastAsia="Calibri"/>
                <w:b/>
                <w:i w:val="0"/>
                <w:color w:val="FFFFFF"/>
                <w:sz w:val="18"/>
                <w:szCs w:val="18"/>
                <w:bCs/>
              </w:rPr>
              <w:t>Dimension</w:t>
            </w:r>
          </w:p>
        </w:tc>
        <w:tc>
          <w:tcPr>
            <w:tcW w:type="dxa" w:w="2835"/>
            <w:shd w:val="clear" w:color="auto" w:fill="1F3864"/>
          </w:tcPr>
          <w:p>
            <w:r/>
            <w:r>
              <w:rPr>
                <w:rFonts w:ascii="Calibri" w:hAnsi="Calibri" w:cs="Calibri" w:eastAsia="Calibri"/>
                <w:b/>
                <w:i w:val="0"/>
                <w:color w:val="FFFFFF"/>
                <w:sz w:val="18"/>
                <w:szCs w:val="18"/>
                <w:bCs/>
              </w:rPr>
              <w:t>Question it answers</w:t>
            </w:r>
          </w:p>
        </w:tc>
        <w:tc>
          <w:tcPr>
            <w:tcW w:type="dxa" w:w="4819"/>
            <w:shd w:val="clear" w:color="auto" w:fill="1F3864"/>
          </w:tcPr>
          <w:p>
            <w:r/>
            <w:r>
              <w:rPr>
                <w:rFonts w:ascii="Calibri" w:hAnsi="Calibri" w:cs="Calibri" w:eastAsia="Calibri"/>
                <w:b/>
                <w:i w:val="0"/>
                <w:color w:val="FFFFFF"/>
                <w:sz w:val="18"/>
                <w:szCs w:val="18"/>
                <w:bCs/>
              </w:rPr>
              <w:t>Decided by</w:t>
            </w:r>
          </w:p>
        </w:tc>
      </w:tr>
      <w:tr>
        <w:tc>
          <w:tcPr>
            <w:tcW w:type="dxa" w:w="1701"/>
          </w:tcPr>
          <w:p>
            <w:r/>
            <w:r>
              <w:rPr>
                <w:rFonts w:ascii="Calibri" w:hAnsi="Calibri" w:cs="Calibri" w:eastAsia="Calibri"/>
                <w:b w:val="0"/>
                <w:i w:val="0"/>
                <w:sz w:val="18"/>
                <w:szCs w:val="18"/>
              </w:rPr>
              <w:t>Level</w:t>
            </w:r>
          </w:p>
        </w:tc>
        <w:tc>
          <w:tcPr>
            <w:tcW w:type="dxa" w:w="2835"/>
          </w:tcPr>
          <w:p>
            <w:r/>
            <w:r>
              <w:rPr>
                <w:rFonts w:ascii="Calibri" w:hAnsi="Calibri" w:cs="Calibri" w:eastAsia="Calibri"/>
                <w:b w:val="0"/>
                <w:i w:val="0"/>
                <w:sz w:val="18"/>
                <w:szCs w:val="18"/>
              </w:rPr>
              <w:t>Must we have this document?</w:t>
            </w:r>
          </w:p>
        </w:tc>
        <w:tc>
          <w:tcPr>
            <w:tcW w:type="dxa" w:w="4819"/>
          </w:tcPr>
          <w:p>
            <w:r/>
            <w:r>
              <w:rPr>
                <w:rFonts w:ascii="Calibri" w:hAnsi="Calibri" w:cs="Calibri" w:eastAsia="Calibri"/>
                <w:b w:val="0"/>
                <w:i w:val="0"/>
                <w:sz w:val="18"/>
                <w:szCs w:val="18"/>
              </w:rPr>
              <w:t>A law, a regulator, or a certifiable standard, and whether its trigger applies</w:t>
            </w:r>
          </w:p>
        </w:tc>
      </w:tr>
      <w:tr>
        <w:tc>
          <w:tcPr>
            <w:tcW w:type="dxa" w:w="1701"/>
          </w:tcPr>
          <w:p>
            <w:r/>
            <w:r>
              <w:rPr>
                <w:rFonts w:ascii="Calibri" w:hAnsi="Calibri" w:cs="Calibri" w:eastAsia="Calibri"/>
                <w:b w:val="0"/>
                <w:i w:val="0"/>
                <w:sz w:val="18"/>
                <w:szCs w:val="18"/>
              </w:rPr>
              <w:t>Package</w:t>
            </w:r>
          </w:p>
        </w:tc>
        <w:tc>
          <w:tcPr>
            <w:tcW w:type="dxa" w:w="2835"/>
          </w:tcPr>
          <w:p>
            <w:r/>
            <w:r>
              <w:rPr>
                <w:rFonts w:ascii="Calibri" w:hAnsi="Calibri" w:cs="Calibri" w:eastAsia="Calibri"/>
                <w:b w:val="0"/>
                <w:i w:val="0"/>
                <w:sz w:val="18"/>
                <w:szCs w:val="18"/>
              </w:rPr>
              <w:t>How much should we adopt for our size?</w:t>
            </w:r>
          </w:p>
        </w:tc>
        <w:tc>
          <w:tcPr>
            <w:tcW w:type="dxa" w:w="4819"/>
          </w:tcPr>
          <w:p>
            <w:r/>
            <w:r>
              <w:rPr>
                <w:rFonts w:ascii="Calibri" w:hAnsi="Calibri" w:cs="Calibri" w:eastAsia="Calibri"/>
                <w:b w:val="0"/>
                <w:i w:val="0"/>
                <w:sz w:val="18"/>
                <w:szCs w:val="18"/>
              </w:rPr>
              <w:t>Organization size and maturity. Packages are cumulative: Essential, then Core, then Extended</w:t>
            </w:r>
          </w:p>
        </w:tc>
      </w:tr>
      <w:tr>
        <w:tc>
          <w:tcPr>
            <w:tcW w:type="dxa" w:w="1701"/>
          </w:tcPr>
          <w:p>
            <w:r/>
            <w:r>
              <w:rPr>
                <w:rFonts w:ascii="Calibri" w:hAnsi="Calibri" w:cs="Calibri" w:eastAsia="Calibri"/>
                <w:b w:val="0"/>
                <w:i w:val="0"/>
                <w:sz w:val="18"/>
                <w:szCs w:val="18"/>
              </w:rPr>
              <w:t>Wave</w:t>
            </w:r>
          </w:p>
        </w:tc>
        <w:tc>
          <w:tcPr>
            <w:tcW w:type="dxa" w:w="2835"/>
          </w:tcPr>
          <w:p>
            <w:r/>
            <w:r>
              <w:rPr>
                <w:rFonts w:ascii="Calibri" w:hAnsi="Calibri" w:cs="Calibri" w:eastAsia="Calibri"/>
                <w:b w:val="0"/>
                <w:i w:val="0"/>
                <w:sz w:val="18"/>
                <w:szCs w:val="18"/>
              </w:rPr>
              <w:t>When should we write it?</w:t>
            </w:r>
          </w:p>
        </w:tc>
        <w:tc>
          <w:tcPr>
            <w:tcW w:type="dxa" w:w="4819"/>
          </w:tcPr>
          <w:p>
            <w:r/>
            <w:r>
              <w:rPr>
                <w:rFonts w:ascii="Calibri" w:hAnsi="Calibri" w:cs="Calibri" w:eastAsia="Calibri"/>
                <w:b w:val="0"/>
                <w:i w:val="0"/>
                <w:sz w:val="18"/>
                <w:szCs w:val="18"/>
              </w:rPr>
              <w:t>Dependencies between documents and threat pressure (Section 6)</w:t>
            </w:r>
          </w:p>
        </w:tc>
      </w:tr>
    </w:tbl>
    <w:p>
      <w:pPr>
        <w:spacing w:after="40"/>
      </w:pPr>
    </w:p>
    <w:p>
      <w:pPr>
        <w:pStyle w:val="ListBullet"/>
        <w:spacing w:after="40"/>
      </w:pPr>
      <w:r>
        <w:rPr>
          <w:rFonts w:ascii="Calibri" w:hAnsi="Calibri" w:cs="Calibri" w:eastAsia="Calibri"/>
          <w:b w:val="0"/>
          <w:i w:val="0"/>
          <w:sz w:val="18"/>
          <w:szCs w:val="18"/>
        </w:rPr>
        <w:t>Required and its trigger applies: must have it, whatever the package. Example: the SoA is Extended but Required for ISO/IEC 27001 certification.</w:t>
      </w:r>
    </w:p>
    <w:p>
      <w:pPr>
        <w:pStyle w:val="ListBullet"/>
        <w:spacing w:after="40"/>
      </w:pPr>
      <w:r>
        <w:rPr>
          <w:rFonts w:ascii="Calibri" w:hAnsi="Calibri" w:cs="Calibri" w:eastAsia="Calibri"/>
          <w:b w:val="0"/>
          <w:i w:val="0"/>
          <w:sz w:val="18"/>
          <w:szCs w:val="18"/>
        </w:rPr>
        <w:t>Essential: yes, start now. The set is self-contained and needs no Core document.</w:t>
      </w:r>
    </w:p>
    <w:p>
      <w:pPr>
        <w:pStyle w:val="ListBullet"/>
        <w:spacing w:after="40"/>
      </w:pPr>
      <w:r>
        <w:rPr>
          <w:rFonts w:ascii="Calibri" w:hAnsi="Calibri" w:cs="Calibri" w:eastAsia="Calibri"/>
          <w:b w:val="0"/>
          <w:i w:val="0"/>
          <w:sz w:val="18"/>
          <w:szCs w:val="18"/>
        </w:rPr>
        <w:t>Core: yes for mid-sized and larger organizations. Every Core document sits under an Essential document, so Core cannot stand without Essential.</w:t>
      </w:r>
    </w:p>
    <w:p>
      <w:pPr>
        <w:pStyle w:val="ListBullet"/>
        <w:spacing w:after="40"/>
      </w:pPr>
      <w:r>
        <w:rPr>
          <w:rFonts w:ascii="Calibri" w:hAnsi="Calibri" w:cs="Calibri" w:eastAsia="Calibri"/>
          <w:b w:val="0"/>
          <w:i w:val="0"/>
          <w:sz w:val="18"/>
          <w:szCs w:val="18"/>
        </w:rPr>
        <w:t>Extended: only when the profile, a regulator, or a customer calls for it.</w:t>
      </w:r>
    </w:p>
    <w:p>
      <w:pPr>
        <w:pStyle w:val="Heading1"/>
        <w:keepNext/>
        <w:spacing w:before="200" w:after="80"/>
      </w:pPr>
      <w:r>
        <w:rPr>
          <w:rFonts w:ascii="Calibri" w:hAnsi="Calibri" w:cs="Calibri" w:eastAsia="Calibri"/>
          <w:b/>
          <w:i w:val="0"/>
          <w:color w:val="1F3864"/>
          <w:sz w:val="29"/>
          <w:szCs w:val="29"/>
          <w:bCs/>
        </w:rPr>
        <w:t>3. Step 2: Add Documents by Trigger</w:t>
      </w:r>
    </w:p>
    <w:p>
      <w:pPr>
        <w:spacing w:after="80" w:before="0"/>
      </w:pPr>
      <w:r>
        <w:rPr>
          <w:rFonts w:ascii="Calibri" w:hAnsi="Calibri" w:cs="Calibri" w:eastAsia="Calibri"/>
          <w:b w:val="0"/>
          <w:i w:val="0"/>
          <w:sz w:val="21"/>
          <w:szCs w:val="21"/>
        </w:rPr>
        <w:t>These documents become Required when the trigger applies. Add them even if they are outside the chosen package.</w:t>
      </w:r>
    </w:p>
    <w:tbl>
      <w:tblPr>
        <w:tblStyle w:val="TableGrid"/>
        <w:tblW w:type="auto" w:w="0"/>
        <w:jc w:val="center"/>
        <w:tblLayout w:type="fixed"/>
        <w:tblLook w:firstColumn="1" w:firstRow="1" w:lastColumn="0" w:lastRow="0" w:noHBand="0" w:noVBand="1" w:val="04A0"/>
        <w:tblLayout w:type="fixed"/>
      </w:tblPr>
      <w:tblGrid>
        <w:gridCol w:w="1587"/>
        <w:gridCol w:w="3515"/>
        <w:gridCol w:w="4252"/>
      </w:tblGrid>
      <w:tr>
        <w:trPr>
          <w:tblHeader w:val="true"/>
        </w:trPr>
        <w:tc>
          <w:tcPr>
            <w:tcW w:type="dxa" w:w="1587"/>
            <w:shd w:val="clear" w:color="auto" w:fill="1F3864"/>
          </w:tcPr>
          <w:p>
            <w:r/>
            <w:r>
              <w:rPr>
                <w:rFonts w:ascii="Calibri" w:hAnsi="Calibri" w:cs="Calibri" w:eastAsia="Calibri"/>
                <w:b/>
                <w:i w:val="0"/>
                <w:color w:val="FFFFFF"/>
                <w:sz w:val="18"/>
                <w:szCs w:val="18"/>
                <w:bCs/>
              </w:rPr>
              <w:t>Trigger</w:t>
            </w:r>
          </w:p>
        </w:tc>
        <w:tc>
          <w:tcPr>
            <w:tcW w:type="dxa" w:w="3515"/>
            <w:shd w:val="clear" w:color="auto" w:fill="1F3864"/>
          </w:tcPr>
          <w:p>
            <w:r/>
            <w:r>
              <w:rPr>
                <w:rFonts w:ascii="Calibri" w:hAnsi="Calibri" w:cs="Calibri" w:eastAsia="Calibri"/>
                <w:b/>
                <w:i w:val="0"/>
                <w:color w:val="FFFFFF"/>
                <w:sz w:val="18"/>
                <w:szCs w:val="18"/>
                <w:bCs/>
              </w:rPr>
              <w:t>Condition</w:t>
            </w:r>
          </w:p>
        </w:tc>
        <w:tc>
          <w:tcPr>
            <w:tcW w:type="dxa" w:w="4252"/>
            <w:shd w:val="clear" w:color="auto" w:fill="1F3864"/>
          </w:tcPr>
          <w:p>
            <w:r/>
            <w:r>
              <w:rPr>
                <w:rFonts w:ascii="Calibri" w:hAnsi="Calibri" w:cs="Calibri" w:eastAsia="Calibri"/>
                <w:b/>
                <w:i w:val="0"/>
                <w:color w:val="FFFFFF"/>
                <w:sz w:val="18"/>
                <w:szCs w:val="18"/>
                <w:bCs/>
              </w:rPr>
              <w:t>Required documents</w:t>
            </w:r>
          </w:p>
        </w:tc>
      </w:tr>
      <w:tr>
        <w:tc>
          <w:tcPr>
            <w:tcW w:type="dxa" w:w="1587"/>
          </w:tcPr>
          <w:p>
            <w:r/>
            <w:r>
              <w:rPr>
                <w:rFonts w:ascii="Calibri" w:hAnsi="Calibri" w:cs="Calibri" w:eastAsia="Calibri"/>
                <w:b w:val="0"/>
                <w:i w:val="0"/>
                <w:sz w:val="18"/>
                <w:szCs w:val="18"/>
              </w:rPr>
              <w:t>PDPA</w:t>
            </w:r>
          </w:p>
        </w:tc>
        <w:tc>
          <w:tcPr>
            <w:tcW w:type="dxa" w:w="3515"/>
          </w:tcPr>
          <w:p>
            <w:r/>
            <w:r>
              <w:rPr>
                <w:rFonts w:ascii="Calibri" w:hAnsi="Calibri" w:cs="Calibri" w:eastAsia="Calibri"/>
                <w:b w:val="0"/>
                <w:i w:val="0"/>
                <w:sz w:val="18"/>
                <w:szCs w:val="18"/>
              </w:rPr>
              <w:t>Processes personal data (almost every organization)</w:t>
            </w:r>
          </w:p>
        </w:tc>
        <w:tc>
          <w:tcPr>
            <w:tcW w:type="dxa" w:w="4252"/>
          </w:tcPr>
          <w:p>
            <w:r/>
            <w:r>
              <w:rPr>
                <w:rFonts w:ascii="Calibri" w:hAnsi="Calibri" w:cs="Calibri" w:eastAsia="Calibri"/>
                <w:b w:val="0"/>
                <w:i w:val="0"/>
                <w:sz w:val="18"/>
                <w:szCs w:val="18"/>
              </w:rPr>
              <w:t>GV-REG-007, GV-TPL-002, GV-TPL-004</w:t>
            </w:r>
          </w:p>
        </w:tc>
      </w:tr>
      <w:tr>
        <w:tc>
          <w:tcPr>
            <w:tcW w:type="dxa" w:w="1587"/>
          </w:tcPr>
          <w:p>
            <w:r/>
            <w:r>
              <w:rPr>
                <w:rFonts w:ascii="Calibri" w:hAnsi="Calibri" w:cs="Calibri" w:eastAsia="Calibri"/>
                <w:b w:val="0"/>
                <w:i w:val="0"/>
                <w:sz w:val="18"/>
                <w:szCs w:val="18"/>
              </w:rPr>
              <w:t>CII</w:t>
            </w:r>
          </w:p>
        </w:tc>
        <w:tc>
          <w:tcPr>
            <w:tcW w:type="dxa" w:w="3515"/>
          </w:tcPr>
          <w:p>
            <w:r/>
            <w:r>
              <w:rPr>
                <w:rFonts w:ascii="Calibri" w:hAnsi="Calibri" w:cs="Calibri" w:eastAsia="Calibri"/>
                <w:b w:val="0"/>
                <w:i w:val="0"/>
                <w:sz w:val="18"/>
                <w:szCs w:val="18"/>
              </w:rPr>
              <w:t>Designated Critical Information Infrastructure</w:t>
            </w:r>
          </w:p>
        </w:tc>
        <w:tc>
          <w:tcPr>
            <w:tcW w:type="dxa" w:w="4252"/>
          </w:tcPr>
          <w:p>
            <w:r/>
            <w:r>
              <w:rPr>
                <w:rFonts w:ascii="Calibri" w:hAnsi="Calibri" w:cs="Calibri" w:eastAsia="Calibri"/>
                <w:b w:val="0"/>
                <w:i w:val="0"/>
                <w:sz w:val="18"/>
                <w:szCs w:val="18"/>
              </w:rPr>
              <w:t>GV-PRC-001, GV-REG-006, GV-PLN-002, GV-TPL-006, ID-REG-005, ID-RPT-003, RS-PLN-001, RS-REG-002, RC-PLN-001, RC-REC-001</w:t>
            </w:r>
          </w:p>
        </w:tc>
      </w:tr>
      <w:tr>
        <w:tc>
          <w:tcPr>
            <w:tcW w:type="dxa" w:w="1587"/>
          </w:tcPr>
          <w:p>
            <w:r/>
            <w:r>
              <w:rPr>
                <w:rFonts w:ascii="Calibri" w:hAnsi="Calibri" w:cs="Calibri" w:eastAsia="Calibri"/>
                <w:b w:val="0"/>
                <w:i w:val="0"/>
                <w:sz w:val="18"/>
                <w:szCs w:val="18"/>
              </w:rPr>
              <w:t>ISO 27001</w:t>
            </w:r>
          </w:p>
        </w:tc>
        <w:tc>
          <w:tcPr>
            <w:tcW w:type="dxa" w:w="3515"/>
          </w:tcPr>
          <w:p>
            <w:r/>
            <w:r>
              <w:rPr>
                <w:rFonts w:ascii="Calibri" w:hAnsi="Calibri" w:cs="Calibri" w:eastAsia="Calibri"/>
                <w:b w:val="0"/>
                <w:i w:val="0"/>
                <w:sz w:val="18"/>
                <w:szCs w:val="18"/>
              </w:rPr>
              <w:t>Seeking ISO/IEC 27001 certification</w:t>
            </w:r>
          </w:p>
        </w:tc>
        <w:tc>
          <w:tcPr>
            <w:tcW w:type="dxa" w:w="4252"/>
          </w:tcPr>
          <w:p>
            <w:r/>
            <w:r>
              <w:rPr>
                <w:rFonts w:ascii="Calibri" w:hAnsi="Calibri" w:cs="Calibri" w:eastAsia="Calibri"/>
                <w:b w:val="0"/>
                <w:i w:val="0"/>
                <w:sz w:val="18"/>
                <w:szCs w:val="18"/>
              </w:rPr>
              <w:t>GV-STR-001, GV-RPT-001, GV-PRC-001, GV-POL-001, GV-REG-005, GV-REC-001, GV-REG-008, GV-PLN-002, GV-TPL-006, ID-REG-005, ID-PLN-001, ID-REG-007, PR-REG-002, PR-REC-002</w:t>
            </w:r>
          </w:p>
        </w:tc>
      </w:tr>
      <w:tr>
        <w:tc>
          <w:tcPr>
            <w:tcW w:type="dxa" w:w="1587"/>
          </w:tcPr>
          <w:p>
            <w:r/>
            <w:r>
              <w:rPr>
                <w:rFonts w:ascii="Calibri" w:hAnsi="Calibri" w:cs="Calibri" w:eastAsia="Calibri"/>
                <w:b w:val="0"/>
                <w:i w:val="0"/>
                <w:sz w:val="18"/>
                <w:szCs w:val="18"/>
              </w:rPr>
              <w:t>CCA</w:t>
            </w:r>
          </w:p>
        </w:tc>
        <w:tc>
          <w:tcPr>
            <w:tcW w:type="dxa" w:w="3515"/>
          </w:tcPr>
          <w:p>
            <w:r/>
            <w:r>
              <w:rPr>
                <w:rFonts w:ascii="Calibri" w:hAnsi="Calibri" w:cs="Calibri" w:eastAsia="Calibri"/>
                <w:b w:val="0"/>
                <w:i w:val="0"/>
                <w:sz w:val="18"/>
                <w:szCs w:val="18"/>
              </w:rPr>
              <w:t>Provides internet or computer services to others, such as guest Wi-Fi (confirm with Legal)</w:t>
            </w:r>
          </w:p>
        </w:tc>
        <w:tc>
          <w:tcPr>
            <w:tcW w:type="dxa" w:w="4252"/>
          </w:tcPr>
          <w:p>
            <w:r/>
            <w:r>
              <w:rPr>
                <w:rFonts w:ascii="Calibri" w:hAnsi="Calibri" w:cs="Calibri" w:eastAsia="Calibri"/>
                <w:b w:val="0"/>
                <w:i w:val="0"/>
                <w:sz w:val="18"/>
                <w:szCs w:val="18"/>
              </w:rPr>
              <w:t>No document is mandated, but traffic data must be kept for at least 90 days (s.26); use PR-STD-011 as evidence</w:t>
            </w:r>
          </w:p>
        </w:tc>
      </w:tr>
    </w:tbl>
    <w:p>
      <w:pPr>
        <w:spacing w:after="40"/>
      </w:pPr>
    </w:p>
    <w:p>
      <w:pPr>
        <w:pStyle w:val="Heading1"/>
        <w:keepNext/>
        <w:spacing w:before="200" w:after="80"/>
      </w:pPr>
      <w:r>
        <w:rPr>
          <w:rFonts w:ascii="Calibri" w:hAnsi="Calibri" w:cs="Calibri" w:eastAsia="Calibri"/>
          <w:b/>
          <w:i w:val="0"/>
          <w:color w:val="1F3864"/>
          <w:sz w:val="29"/>
          <w:szCs w:val="29"/>
          <w:bCs/>
        </w:rPr>
        <w:t>4. Step 3: Combine Documents for Small Teams</w:t>
      </w:r>
    </w:p>
    <w:p>
      <w:pPr>
        <w:spacing w:after="80" w:before="0"/>
      </w:pPr>
      <w:r>
        <w:rPr>
          <w:rFonts w:ascii="Calibri" w:hAnsi="Calibri" w:cs="Calibri" w:eastAsia="Calibri"/>
          <w:b w:val="0"/>
          <w:i w:val="0"/>
          <w:sz w:val="21"/>
          <w:szCs w:val="21"/>
        </w:rPr>
        <w:t>ISO/IEC 27001 requires documented information, not a set number of documents. Combining is acceptable when every Part A requirement is kept.</w:t>
      </w:r>
    </w:p>
    <w:tbl>
      <w:tblPr>
        <w:tblStyle w:val="TableGrid"/>
        <w:tblW w:type="auto" w:w="0"/>
        <w:jc w:val="center"/>
        <w:tblLayout w:type="fixed"/>
        <w:tblLook w:firstColumn="1" w:firstRow="1" w:lastColumn="0" w:lastRow="0" w:noHBand="0" w:noVBand="1" w:val="04A0"/>
        <w:tblLayout w:type="fixed"/>
      </w:tblPr>
      <w:tblGrid>
        <w:gridCol w:w="3685"/>
        <w:gridCol w:w="5670"/>
      </w:tblGrid>
      <w:tr>
        <w:trPr>
          <w:tblHeader w:val="true"/>
        </w:trPr>
        <w:tc>
          <w:tcPr>
            <w:tcW w:type="dxa" w:w="3685"/>
            <w:shd w:val="clear" w:color="auto" w:fill="1F3864"/>
          </w:tcPr>
          <w:p>
            <w:r/>
            <w:r>
              <w:rPr>
                <w:rFonts w:ascii="Calibri" w:hAnsi="Calibri" w:cs="Calibri" w:eastAsia="Calibri"/>
                <w:b/>
                <w:i w:val="0"/>
                <w:color w:val="FFFFFF"/>
                <w:sz w:val="18"/>
                <w:szCs w:val="18"/>
                <w:bCs/>
              </w:rPr>
              <w:t>Documents</w:t>
            </w:r>
          </w:p>
        </w:tc>
        <w:tc>
          <w:tcPr>
            <w:tcW w:type="dxa" w:w="5669"/>
            <w:shd w:val="clear" w:color="auto" w:fill="1F3864"/>
          </w:tcPr>
          <w:p>
            <w:r/>
            <w:r>
              <w:rPr>
                <w:rFonts w:ascii="Calibri" w:hAnsi="Calibri" w:cs="Calibri" w:eastAsia="Calibri"/>
                <w:b/>
                <w:i w:val="0"/>
                <w:color w:val="FFFFFF"/>
                <w:sz w:val="18"/>
                <w:szCs w:val="18"/>
                <w:bCs/>
              </w:rPr>
              <w:t>Result</w:t>
            </w:r>
          </w:p>
        </w:tc>
      </w:tr>
      <w:tr>
        <w:tc>
          <w:tcPr>
            <w:tcW w:type="dxa" w:w="3685"/>
          </w:tcPr>
          <w:p>
            <w:r/>
            <w:r>
              <w:rPr>
                <w:rFonts w:ascii="Calibri" w:hAnsi="Calibri" w:cs="Calibri" w:eastAsia="Calibri"/>
                <w:b w:val="0"/>
                <w:i w:val="0"/>
                <w:sz w:val="18"/>
                <w:szCs w:val="18"/>
              </w:rPr>
              <w:t>GV-CHR-001, GV-CHR-002</w:t>
            </w:r>
          </w:p>
        </w:tc>
        <w:tc>
          <w:tcPr>
            <w:tcW w:type="dxa" w:w="5669"/>
          </w:tcPr>
          <w:p>
            <w:r/>
            <w:r>
              <w:rPr>
                <w:rFonts w:ascii="Calibri" w:hAnsi="Calibri" w:cs="Calibri" w:eastAsia="Calibri"/>
                <w:b w:val="0"/>
                <w:i w:val="0"/>
                <w:sz w:val="18"/>
                <w:szCs w:val="18"/>
              </w:rPr>
              <w:t>One governance charter with the committee terms of reference as an annex.</w:t>
            </w:r>
          </w:p>
        </w:tc>
      </w:tr>
      <w:tr>
        <w:tc>
          <w:tcPr>
            <w:tcW w:type="dxa" w:w="3685"/>
          </w:tcPr>
          <w:p>
            <w:r/>
            <w:r>
              <w:rPr>
                <w:rFonts w:ascii="Calibri" w:hAnsi="Calibri" w:cs="Calibri" w:eastAsia="Calibri"/>
                <w:b w:val="0"/>
                <w:i w:val="0"/>
                <w:sz w:val="18"/>
                <w:szCs w:val="18"/>
              </w:rPr>
              <w:t>PR-POL-001, PR-STD-001, PR-STD-002, PR-STD-003</w:t>
            </w:r>
          </w:p>
        </w:tc>
        <w:tc>
          <w:tcPr>
            <w:tcW w:type="dxa" w:w="5669"/>
          </w:tcPr>
          <w:p>
            <w:r/>
            <w:r>
              <w:rPr>
                <w:rFonts w:ascii="Calibri" w:hAnsi="Calibri" w:cs="Calibri" w:eastAsia="Calibri"/>
                <w:b w:val="0"/>
                <w:i w:val="0"/>
                <w:sz w:val="18"/>
                <w:szCs w:val="18"/>
              </w:rPr>
              <w:t>One Access Control Policy and Standard.</w:t>
            </w:r>
          </w:p>
        </w:tc>
      </w:tr>
      <w:tr>
        <w:tc>
          <w:tcPr>
            <w:tcW w:type="dxa" w:w="3685"/>
          </w:tcPr>
          <w:p>
            <w:r/>
            <w:r>
              <w:rPr>
                <w:rFonts w:ascii="Calibri" w:hAnsi="Calibri" w:cs="Calibri" w:eastAsia="Calibri"/>
                <w:b w:val="0"/>
                <w:i w:val="0"/>
                <w:sz w:val="18"/>
                <w:szCs w:val="18"/>
              </w:rPr>
              <w:t>ID-REG-001, ID-REG-002, ID-REG-004</w:t>
            </w:r>
          </w:p>
        </w:tc>
        <w:tc>
          <w:tcPr>
            <w:tcW w:type="dxa" w:w="5669"/>
          </w:tcPr>
          <w:p>
            <w:r/>
            <w:r>
              <w:rPr>
                <w:rFonts w:ascii="Calibri" w:hAnsi="Calibri" w:cs="Calibri" w:eastAsia="Calibri"/>
                <w:b w:val="0"/>
                <w:i w:val="0"/>
                <w:sz w:val="18"/>
                <w:szCs w:val="18"/>
              </w:rPr>
              <w:t>One asset inventory with sheets for hardware, software, and devices.</w:t>
            </w:r>
          </w:p>
        </w:tc>
      </w:tr>
      <w:tr>
        <w:tc>
          <w:tcPr>
            <w:tcW w:type="dxa" w:w="3685"/>
          </w:tcPr>
          <w:p>
            <w:r/>
            <w:r>
              <w:rPr>
                <w:rFonts w:ascii="Calibri" w:hAnsi="Calibri" w:cs="Calibri" w:eastAsia="Calibri"/>
                <w:b w:val="0"/>
                <w:i w:val="0"/>
                <w:sz w:val="18"/>
                <w:szCs w:val="18"/>
              </w:rPr>
              <w:t>PR-STD-006, PR-PRC-005</w:t>
            </w:r>
          </w:p>
        </w:tc>
        <w:tc>
          <w:tcPr>
            <w:tcW w:type="dxa" w:w="5669"/>
          </w:tcPr>
          <w:p>
            <w:r/>
            <w:r>
              <w:rPr>
                <w:rFonts w:ascii="Calibri" w:hAnsi="Calibri" w:cs="Calibri" w:eastAsia="Calibri"/>
                <w:b w:val="0"/>
                <w:i w:val="0"/>
                <w:sz w:val="18"/>
                <w:szCs w:val="18"/>
              </w:rPr>
              <w:t>One Backup Standard and Procedure.</w:t>
            </w:r>
          </w:p>
        </w:tc>
      </w:tr>
      <w:tr>
        <w:tc>
          <w:tcPr>
            <w:tcW w:type="dxa" w:w="3685"/>
          </w:tcPr>
          <w:p>
            <w:r/>
            <w:r>
              <w:rPr>
                <w:rFonts w:ascii="Calibri" w:hAnsi="Calibri" w:cs="Calibri" w:eastAsia="Calibri"/>
                <w:b w:val="0"/>
                <w:i w:val="0"/>
                <w:sz w:val="18"/>
                <w:szCs w:val="18"/>
              </w:rPr>
              <w:t>GV-PRC-006, GV-REC-001</w:t>
            </w:r>
          </w:p>
        </w:tc>
        <w:tc>
          <w:tcPr>
            <w:tcW w:type="dxa" w:w="5669"/>
          </w:tcPr>
          <w:p>
            <w:r/>
            <w:r>
              <w:rPr>
                <w:rFonts w:ascii="Calibri" w:hAnsi="Calibri" w:cs="Calibri" w:eastAsia="Calibri"/>
                <w:b w:val="0"/>
                <w:i w:val="0"/>
                <w:sz w:val="18"/>
                <w:szCs w:val="18"/>
              </w:rPr>
              <w:t>Management review procedure with the minutes template as an annex.</w:t>
            </w:r>
          </w:p>
        </w:tc>
      </w:tr>
      <w:tr>
        <w:tc>
          <w:tcPr>
            <w:tcW w:type="dxa" w:w="3685"/>
          </w:tcPr>
          <w:p>
            <w:r/>
            <w:r>
              <w:rPr>
                <w:rFonts w:ascii="Calibri" w:hAnsi="Calibri" w:cs="Calibri" w:eastAsia="Calibri"/>
                <w:b w:val="0"/>
                <w:i w:val="0"/>
                <w:sz w:val="18"/>
                <w:szCs w:val="18"/>
              </w:rPr>
              <w:t>RS-PLB-001, RS-PLB-002, RS-PLB-003, RS-PLB-004</w:t>
            </w:r>
          </w:p>
        </w:tc>
        <w:tc>
          <w:tcPr>
            <w:tcW w:type="dxa" w:w="5669"/>
          </w:tcPr>
          <w:p>
            <w:r/>
            <w:r>
              <w:rPr>
                <w:rFonts w:ascii="Calibri" w:hAnsi="Calibri" w:cs="Calibri" w:eastAsia="Calibri"/>
                <w:b w:val="0"/>
                <w:i w:val="0"/>
                <w:sz w:val="18"/>
                <w:szCs w:val="18"/>
              </w:rPr>
              <w:t>Playbooks as annexes of the Incident Response Plan (RS-PLN-001).</w:t>
            </w:r>
          </w:p>
        </w:tc>
      </w:tr>
      <w:tr>
        <w:tc>
          <w:tcPr>
            <w:tcW w:type="dxa" w:w="3685"/>
          </w:tcPr>
          <w:p>
            <w:r/>
            <w:r>
              <w:rPr>
                <w:rFonts w:ascii="Calibri" w:hAnsi="Calibri" w:cs="Calibri" w:eastAsia="Calibri"/>
                <w:b w:val="0"/>
                <w:i w:val="0"/>
                <w:sz w:val="18"/>
                <w:szCs w:val="18"/>
              </w:rPr>
              <w:t>RC-PLN-003, RC-PRC-002, RC-TPL-001</w:t>
            </w:r>
          </w:p>
        </w:tc>
        <w:tc>
          <w:tcPr>
            <w:tcW w:type="dxa" w:w="5669"/>
          </w:tcPr>
          <w:p>
            <w:r/>
            <w:r>
              <w:rPr>
                <w:rFonts w:ascii="Calibri" w:hAnsi="Calibri" w:cs="Calibri" w:eastAsia="Calibri"/>
                <w:b w:val="0"/>
                <w:i w:val="0"/>
                <w:sz w:val="18"/>
                <w:szCs w:val="18"/>
              </w:rPr>
              <w:t>One Crisis Management and Communication Plan.</w:t>
            </w:r>
          </w:p>
        </w:tc>
      </w:tr>
      <w:tr>
        <w:tc>
          <w:tcPr>
            <w:tcW w:type="dxa" w:w="3685"/>
          </w:tcPr>
          <w:p>
            <w:r/>
            <w:r>
              <w:rPr>
                <w:rFonts w:ascii="Calibri" w:hAnsi="Calibri" w:cs="Calibri" w:eastAsia="Calibri"/>
                <w:b w:val="0"/>
                <w:i w:val="0"/>
                <w:sz w:val="18"/>
                <w:szCs w:val="18"/>
              </w:rPr>
              <w:t>GV-STD-002, GV-TPL-004, GV-FRM-002</w:t>
            </w:r>
          </w:p>
        </w:tc>
        <w:tc>
          <w:tcPr>
            <w:tcW w:type="dxa" w:w="5669"/>
          </w:tcPr>
          <w:p>
            <w:r/>
            <w:r>
              <w:rPr>
                <w:rFonts w:ascii="Calibri" w:hAnsi="Calibri" w:cs="Calibri" w:eastAsia="Calibri"/>
                <w:b w:val="0"/>
                <w:i w:val="0"/>
                <w:sz w:val="18"/>
                <w:szCs w:val="18"/>
              </w:rPr>
              <w:t>One standard contract security schedule with DPA and NDA annexes.</w:t>
            </w:r>
          </w:p>
        </w:tc>
      </w:tr>
      <w:tr>
        <w:tc>
          <w:tcPr>
            <w:tcW w:type="dxa" w:w="3685"/>
          </w:tcPr>
          <w:p>
            <w:r/>
            <w:r>
              <w:rPr>
                <w:rFonts w:ascii="Calibri" w:hAnsi="Calibri" w:cs="Calibri" w:eastAsia="Calibri"/>
                <w:b w:val="0"/>
                <w:i w:val="0"/>
                <w:sz w:val="18"/>
                <w:szCs w:val="18"/>
              </w:rPr>
              <w:t>PR-STD-010, PR-STD-012, PR-STD-016</w:t>
            </w:r>
          </w:p>
        </w:tc>
        <w:tc>
          <w:tcPr>
            <w:tcW w:type="dxa" w:w="5669"/>
          </w:tcPr>
          <w:p>
            <w:r/>
            <w:r>
              <w:rPr>
                <w:rFonts w:ascii="Calibri" w:hAnsi="Calibri" w:cs="Calibri" w:eastAsia="Calibri"/>
                <w:b w:val="0"/>
                <w:i w:val="0"/>
                <w:sz w:val="18"/>
                <w:szCs w:val="18"/>
              </w:rPr>
              <w:t>One Platform and Network Security Standard for small IT teams.</w:t>
            </w:r>
          </w:p>
        </w:tc>
      </w:tr>
      <w:tr>
        <w:tc>
          <w:tcPr>
            <w:tcW w:type="dxa" w:w="3685"/>
          </w:tcPr>
          <w:p>
            <w:r/>
            <w:r>
              <w:rPr>
                <w:rFonts w:ascii="Calibri" w:hAnsi="Calibri" w:cs="Calibri" w:eastAsia="Calibri"/>
                <w:b w:val="0"/>
                <w:i w:val="0"/>
                <w:sz w:val="18"/>
                <w:szCs w:val="18"/>
              </w:rPr>
              <w:t>ID-PRC-006, ID-REG-007, ID-TPL-001</w:t>
            </w:r>
          </w:p>
        </w:tc>
        <w:tc>
          <w:tcPr>
            <w:tcW w:type="dxa" w:w="5669"/>
          </w:tcPr>
          <w:p>
            <w:r/>
            <w:r>
              <w:rPr>
                <w:rFonts w:ascii="Calibri" w:hAnsi="Calibri" w:cs="Calibri" w:eastAsia="Calibri"/>
                <w:b w:val="0"/>
                <w:i w:val="0"/>
                <w:sz w:val="18"/>
                <w:szCs w:val="18"/>
              </w:rPr>
              <w:t>One Continual Improvement Procedure with register and lessons template.</w:t>
            </w:r>
          </w:p>
        </w:tc>
      </w:tr>
    </w:tbl>
    <w:p>
      <w:pPr>
        <w:spacing w:after="40"/>
      </w:pPr>
    </w:p>
    <w:p>
      <w:pPr>
        <w:pStyle w:val="Heading1"/>
        <w:keepNext/>
        <w:spacing w:before="200" w:after="80"/>
      </w:pPr>
      <w:r>
        <w:rPr>
          <w:rFonts w:ascii="Calibri" w:hAnsi="Calibri" w:cs="Calibri" w:eastAsia="Calibri"/>
          <w:b/>
          <w:i w:val="0"/>
          <w:color w:val="1F3864"/>
          <w:sz w:val="29"/>
          <w:szCs w:val="29"/>
          <w:bCs/>
        </w:rPr>
        <w:t>5. Step 4: Check Capability and Sourcing</w:t>
      </w:r>
    </w:p>
    <w:p>
      <w:pPr>
        <w:spacing w:after="80" w:before="0"/>
      </w:pPr>
      <w:r>
        <w:rPr>
          <w:rFonts w:ascii="Calibri" w:hAnsi="Calibri" w:cs="Calibri" w:eastAsia="Calibri"/>
          <w:b w:val="0"/>
          <w:i w:val="0"/>
          <w:sz w:val="21"/>
          <w:szCs w:val="21"/>
        </w:rPr>
        <w:t>Every document carries a capability flag. Count the S documents in the chosen scope. If the organization has no cybersecurity specialist, plan a security hire or a consultant or managed service from the start, not after the documents stall.</w:t>
      </w:r>
    </w:p>
    <w:tbl>
      <w:tblPr>
        <w:tblStyle w:val="TableGrid"/>
        <w:tblW w:type="auto" w:w="0"/>
        <w:jc w:val="center"/>
        <w:tblLayout w:type="fixed"/>
        <w:tblLook w:firstColumn="1" w:firstRow="1" w:lastColumn="0" w:lastRow="0" w:noHBand="0" w:noVBand="1" w:val="04A0"/>
        <w:tblLayout w:type="fixed"/>
      </w:tblPr>
      <w:tblGrid>
        <w:gridCol w:w="2268"/>
        <w:gridCol w:w="1020"/>
        <w:gridCol w:w="6066"/>
      </w:tblGrid>
      <w:tr>
        <w:trPr>
          <w:tblHeader w:val="true"/>
        </w:trPr>
        <w:tc>
          <w:tcPr>
            <w:tcW w:type="dxa" w:w="2268"/>
            <w:shd w:val="clear" w:color="auto" w:fill="1F3864"/>
          </w:tcPr>
          <w:p>
            <w:r/>
            <w:r>
              <w:rPr>
                <w:rFonts w:ascii="Calibri" w:hAnsi="Calibri" w:cs="Calibri" w:eastAsia="Calibri"/>
                <w:b/>
                <w:i w:val="0"/>
                <w:color w:val="FFFFFF"/>
                <w:sz w:val="18"/>
                <w:szCs w:val="18"/>
                <w:bCs/>
              </w:rPr>
              <w:t>Capability</w:t>
            </w:r>
          </w:p>
        </w:tc>
        <w:tc>
          <w:tcPr>
            <w:tcW w:type="dxa" w:w="1020"/>
            <w:shd w:val="clear" w:color="auto" w:fill="1F3864"/>
          </w:tcPr>
          <w:p>
            <w:r/>
            <w:r>
              <w:rPr>
                <w:rFonts w:ascii="Calibri" w:hAnsi="Calibri" w:cs="Calibri" w:eastAsia="Calibri"/>
                <w:b/>
                <w:i w:val="0"/>
                <w:color w:val="FFFFFF"/>
                <w:sz w:val="18"/>
                <w:szCs w:val="18"/>
                <w:bCs/>
              </w:rPr>
              <w:t>Count</w:t>
            </w:r>
          </w:p>
        </w:tc>
        <w:tc>
          <w:tcPr>
            <w:tcW w:type="dxa" w:w="6066"/>
            <w:shd w:val="clear" w:color="auto" w:fill="1F3864"/>
          </w:tcPr>
          <w:p>
            <w:r/>
            <w:r>
              <w:rPr>
                <w:rFonts w:ascii="Calibri" w:hAnsi="Calibri" w:cs="Calibri" w:eastAsia="Calibri"/>
                <w:b/>
                <w:i w:val="0"/>
                <w:color w:val="FFFFFF"/>
                <w:sz w:val="18"/>
                <w:szCs w:val="18"/>
                <w:bCs/>
              </w:rPr>
              <w:t>Meaning</w:t>
            </w:r>
          </w:p>
        </w:tc>
      </w:tr>
      <w:tr>
        <w:tc>
          <w:tcPr>
            <w:tcW w:type="dxa" w:w="2268"/>
          </w:tcPr>
          <w:p>
            <w:r/>
            <w:r>
              <w:rPr>
                <w:rFonts w:ascii="Calibri" w:hAnsi="Calibri" w:cs="Calibri" w:eastAsia="Calibri"/>
                <w:b w:val="0"/>
                <w:i w:val="0"/>
                <w:sz w:val="18"/>
                <w:szCs w:val="18"/>
              </w:rPr>
              <w:t>IT-ready</w:t>
            </w:r>
          </w:p>
        </w:tc>
        <w:tc>
          <w:tcPr>
            <w:tcW w:type="dxa" w:w="1020"/>
          </w:tcPr>
          <w:p>
            <w:r/>
            <w:r>
              <w:rPr>
                <w:rFonts w:ascii="Calibri" w:hAnsi="Calibri" w:cs="Calibri" w:eastAsia="Calibri"/>
                <w:b w:val="0"/>
                <w:i w:val="0"/>
                <w:sz w:val="18"/>
                <w:szCs w:val="18"/>
              </w:rPr>
              <w:t>54</w:t>
            </w:r>
          </w:p>
        </w:tc>
        <w:tc>
          <w:tcPr>
            <w:tcW w:type="dxa" w:w="6066"/>
          </w:tcPr>
          <w:p>
            <w:r/>
            <w:r>
              <w:rPr>
                <w:rFonts w:ascii="Calibri" w:hAnsi="Calibri" w:cs="Calibri" w:eastAsia="Calibri"/>
                <w:b w:val="0"/>
                <w:i w:val="0"/>
                <w:sz w:val="18"/>
                <w:szCs w:val="18"/>
              </w:rPr>
              <w:t>In-house IT can produce it from the template with management input.</w:t>
            </w:r>
          </w:p>
        </w:tc>
      </w:tr>
      <w:tr>
        <w:tc>
          <w:tcPr>
            <w:tcW w:type="dxa" w:w="2268"/>
          </w:tcPr>
          <w:p>
            <w:r/>
            <w:r>
              <w:rPr>
                <w:rFonts w:ascii="Calibri" w:hAnsi="Calibri" w:cs="Calibri" w:eastAsia="Calibri"/>
                <w:b w:val="0"/>
                <w:i w:val="0"/>
                <w:sz w:val="18"/>
                <w:szCs w:val="18"/>
              </w:rPr>
              <w:t>Specialist-guided</w:t>
            </w:r>
          </w:p>
        </w:tc>
        <w:tc>
          <w:tcPr>
            <w:tcW w:type="dxa" w:w="1020"/>
          </w:tcPr>
          <w:p>
            <w:r/>
            <w:r>
              <w:rPr>
                <w:rFonts w:ascii="Calibri" w:hAnsi="Calibri" w:cs="Calibri" w:eastAsia="Calibri"/>
                <w:b w:val="0"/>
                <w:i w:val="0"/>
                <w:sz w:val="18"/>
                <w:szCs w:val="18"/>
              </w:rPr>
              <w:t>54</w:t>
            </w:r>
          </w:p>
        </w:tc>
        <w:tc>
          <w:tcPr>
            <w:tcW w:type="dxa" w:w="6066"/>
          </w:tcPr>
          <w:p>
            <w:r/>
            <w:r>
              <w:rPr>
                <w:rFonts w:ascii="Calibri" w:hAnsi="Calibri" w:cs="Calibri" w:eastAsia="Calibri"/>
                <w:b w:val="0"/>
                <w:i w:val="0"/>
                <w:sz w:val="18"/>
                <w:szCs w:val="18"/>
              </w:rPr>
              <w:t>IT can draft it, but a cybersecurity specialist must facilitate or review it.</w:t>
            </w:r>
          </w:p>
        </w:tc>
      </w:tr>
      <w:tr>
        <w:tc>
          <w:tcPr>
            <w:tcW w:type="dxa" w:w="2268"/>
          </w:tcPr>
          <w:p>
            <w:r/>
            <w:r>
              <w:rPr>
                <w:rFonts w:ascii="Calibri" w:hAnsi="Calibri" w:cs="Calibri" w:eastAsia="Calibri"/>
                <w:b w:val="0"/>
                <w:i w:val="0"/>
                <w:sz w:val="18"/>
                <w:szCs w:val="18"/>
              </w:rPr>
              <w:t>Specialist-required</w:t>
            </w:r>
          </w:p>
        </w:tc>
        <w:tc>
          <w:tcPr>
            <w:tcW w:type="dxa" w:w="1020"/>
          </w:tcPr>
          <w:p>
            <w:r/>
            <w:r>
              <w:rPr>
                <w:rFonts w:ascii="Calibri" w:hAnsi="Calibri" w:cs="Calibri" w:eastAsia="Calibri"/>
                <w:b w:val="0"/>
                <w:i w:val="0"/>
                <w:sz w:val="18"/>
                <w:szCs w:val="18"/>
              </w:rPr>
              <w:t>34</w:t>
            </w:r>
          </w:p>
        </w:tc>
        <w:tc>
          <w:tcPr>
            <w:tcW w:type="dxa" w:w="6066"/>
          </w:tcPr>
          <w:p>
            <w:r/>
            <w:r>
              <w:rPr>
                <w:rFonts w:ascii="Calibri" w:hAnsi="Calibri" w:cs="Calibri" w:eastAsia="Calibri"/>
                <w:b w:val="0"/>
                <w:i w:val="0"/>
                <w:sz w:val="18"/>
                <w:szCs w:val="18"/>
              </w:rPr>
              <w:t>Needs cybersecurity expertise that IT generalists do not have. Hire a full-time employee (FTE) or engage a consultant or managed service.</w:t>
            </w:r>
          </w:p>
        </w:tc>
      </w:tr>
    </w:tbl>
    <w:p>
      <w:pPr>
        <w:spacing w:after="40"/>
      </w:pPr>
    </w:p>
    <w:p>
      <w:pPr>
        <w:spacing w:after="80" w:before="0"/>
      </w:pPr>
      <w:r>
        <w:rPr>
          <w:rFonts w:ascii="Calibri" w:hAnsi="Calibri" w:cs="Calibri" w:eastAsia="Calibri"/>
          <w:b w:val="0"/>
          <w:i w:val="0"/>
          <w:sz w:val="16"/>
          <w:szCs w:val="16"/>
        </w:rPr>
        <w:t>Specialist-required documents: GV-REG-001, RS-PLN-001, ID-RPT-002, GV-STM-001, GV-PRC-001, ID-REG-005, ID-RPT-003, RS-PLB-001, GV-REG-005, GV-REG-006, ID-PRC-003, ID-FRM-002, PR-STD-005, PR-STD-013, PR-STD-014, DE-STD-001, DE-PRC-001, DE-REG-001, DE-STD-002, DE-PRC-002, RS-PRC-001, RS-PLB-002, RS-PLB-004, RS-PRC-002, RS-FRM-002, RS-PRC-003, RC-PLN-001, GV-PRC-007, GV-PLN-002, DE-REG-002, PR-STD-008, PR-STD-015, ID-PRC-004, DE-PRC-003</w:t>
      </w:r>
    </w:p>
    <w:p>
      <w:pPr>
        <w:pStyle w:val="Heading1"/>
        <w:keepNext/>
        <w:spacing w:before="200" w:after="80"/>
      </w:pPr>
      <w:r>
        <w:rPr>
          <w:rFonts w:ascii="Calibri" w:hAnsi="Calibri" w:cs="Calibri" w:eastAsia="Calibri"/>
          <w:b/>
          <w:i w:val="0"/>
          <w:color w:val="1F3864"/>
          <w:sz w:val="29"/>
          <w:szCs w:val="29"/>
          <w:bCs/>
        </w:rPr>
        <w:t>6. Build Sequence</w:t>
      </w:r>
    </w:p>
    <w:p>
      <w:pPr>
        <w:spacing w:after="80" w:before="0"/>
      </w:pPr>
      <w:r>
        <w:rPr>
          <w:rFonts w:ascii="Calibri" w:hAnsi="Calibri" w:cs="Calibri" w:eastAsia="Calibri"/>
          <w:b w:val="0"/>
          <w:i w:val="0"/>
          <w:sz w:val="18"/>
          <w:szCs w:val="18"/>
        </w:rPr>
        <w:t>Waves overlap; start the next wave when its inputs exist. The number before each ID is the build order. A codes are prerequisite activities (detail in the Prerequisite Activities sheet).</w:t>
      </w:r>
    </w:p>
    <w:p>
      <w:pPr>
        <w:spacing w:after="40" w:before="0"/>
      </w:pPr>
      <w:r>
        <w:rPr>
          <w:rFonts w:ascii="Calibri" w:hAnsi="Calibri" w:cs="Calibri" w:eastAsia="Calibri"/>
          <w:b/>
          <w:i w:val="0"/>
          <w:sz w:val="21"/>
          <w:szCs w:val="21"/>
          <w:bCs/>
        </w:rPr>
        <w:t>W0 Mandate and Mobilize (Month 0 to 2): Get a sponsor, a structure, and one umbrella policy so later documents have authority.</w:t>
      </w:r>
    </w:p>
    <w:p>
      <w:pPr>
        <w:spacing w:after="0" w:before="0"/>
      </w:pPr>
      <w:r>
        <w:rPr>
          <w:rFonts w:ascii="Calibri" w:hAnsi="Calibri" w:cs="Calibri" w:eastAsia="Calibri"/>
          <w:b w:val="0"/>
          <w:i/>
          <w:sz w:val="18"/>
          <w:szCs w:val="18"/>
        </w:rPr>
        <w:t>Track A: Governance build</w:t>
      </w:r>
    </w:p>
    <w:p>
      <w:pPr>
        <w:pStyle w:val="ListBullet"/>
        <w:spacing w:after="40"/>
      </w:pPr>
      <w:r>
        <w:rPr>
          <w:rFonts w:ascii="Calibri" w:hAnsi="Calibri" w:cs="Calibri" w:eastAsia="Calibri"/>
          <w:b w:val="0"/>
          <w:i w:val="0"/>
          <w:sz w:val="16"/>
          <w:szCs w:val="16"/>
        </w:rPr>
        <w:t>1. GV-CHR-001  Cybersecurity Governance Charter  [Specialist-guided] | A01, A02</w:t>
      </w:r>
    </w:p>
    <w:p>
      <w:pPr>
        <w:pStyle w:val="ListBullet"/>
        <w:spacing w:after="40"/>
      </w:pPr>
      <w:r>
        <w:rPr>
          <w:rFonts w:ascii="Calibri" w:hAnsi="Calibri" w:cs="Calibri" w:eastAsia="Calibri"/>
          <w:b w:val="0"/>
          <w:i w:val="0"/>
          <w:sz w:val="16"/>
          <w:szCs w:val="16"/>
        </w:rPr>
        <w:t>2. GV-CHR-002  Information Security Steering Committee Terms of Reference  [IT-ready] | A02</w:t>
      </w:r>
    </w:p>
    <w:p>
      <w:pPr>
        <w:pStyle w:val="ListBullet"/>
        <w:spacing w:after="40"/>
      </w:pPr>
      <w:r>
        <w:rPr>
          <w:rFonts w:ascii="Calibri" w:hAnsi="Calibri" w:cs="Calibri" w:eastAsia="Calibri"/>
          <w:b w:val="0"/>
          <w:i w:val="0"/>
          <w:sz w:val="16"/>
          <w:szCs w:val="16"/>
        </w:rPr>
        <w:t>3. GV-REG-003  Cybersecurity Roles, Responsibilities, and RACI Matrix  [Specialist-guided] | A02</w:t>
      </w:r>
    </w:p>
    <w:p>
      <w:pPr>
        <w:pStyle w:val="ListBullet"/>
        <w:spacing w:after="40"/>
      </w:pPr>
      <w:r>
        <w:rPr>
          <w:rFonts w:ascii="Calibri" w:hAnsi="Calibri" w:cs="Calibri" w:eastAsia="Calibri"/>
          <w:b w:val="0"/>
          <w:i w:val="0"/>
          <w:sz w:val="16"/>
          <w:szCs w:val="16"/>
        </w:rPr>
        <w:t>4. GV-REG-001  Legal, Regulatory, and Contractual Requirements Register  [Specialist-required] | A03</w:t>
      </w:r>
    </w:p>
    <w:p>
      <w:pPr>
        <w:pStyle w:val="ListBullet"/>
        <w:spacing w:after="40"/>
      </w:pPr>
      <w:r>
        <w:rPr>
          <w:rFonts w:ascii="Calibri" w:hAnsi="Calibri" w:cs="Calibri" w:eastAsia="Calibri"/>
          <w:b w:val="0"/>
          <w:i w:val="0"/>
          <w:sz w:val="16"/>
          <w:szCs w:val="16"/>
        </w:rPr>
        <w:t>5. GV-POL-001  Information Security Policy  [Specialist-guided] | A03, A13, A14</w:t>
      </w:r>
    </w:p>
    <w:p>
      <w:pPr>
        <w:pStyle w:val="ListBullet"/>
        <w:spacing w:after="40"/>
      </w:pPr>
      <w:r>
        <w:rPr>
          <w:rFonts w:ascii="Calibri" w:hAnsi="Calibri" w:cs="Calibri" w:eastAsia="Calibri"/>
          <w:b w:val="0"/>
          <w:i w:val="0"/>
          <w:sz w:val="16"/>
          <w:szCs w:val="16"/>
        </w:rPr>
        <w:t>6. GV-PRC-002  Document Control Procedure  [IT-ready] | A14</w:t>
      </w:r>
    </w:p>
    <w:p>
      <w:pPr>
        <w:spacing w:after="0" w:before="0"/>
      </w:pPr>
      <w:r>
        <w:rPr>
          <w:rFonts w:ascii="Calibri" w:hAnsi="Calibri" w:cs="Calibri" w:eastAsia="Calibri"/>
          <w:b w:val="0"/>
          <w:i/>
          <w:sz w:val="18"/>
          <w:szCs w:val="18"/>
        </w:rPr>
        <w:t>Track B: Threat-driven quick wins (Day 0 to 90)</w:t>
      </w:r>
    </w:p>
    <w:p>
      <w:pPr>
        <w:pStyle w:val="ListBullet"/>
        <w:spacing w:after="40"/>
      </w:pPr>
      <w:r>
        <w:rPr>
          <w:rFonts w:ascii="Calibri" w:hAnsi="Calibri" w:cs="Calibri" w:eastAsia="Calibri"/>
          <w:b w:val="0"/>
          <w:i w:val="0"/>
          <w:sz w:val="16"/>
          <w:szCs w:val="16"/>
        </w:rPr>
        <w:t>7. RS-REG-002  Incident Response Contact List  [IT-ready]</w:t>
      </w:r>
    </w:p>
    <w:p>
      <w:pPr>
        <w:pStyle w:val="ListBullet"/>
        <w:spacing w:after="40"/>
      </w:pPr>
      <w:r>
        <w:rPr>
          <w:rFonts w:ascii="Calibri" w:hAnsi="Calibri" w:cs="Calibri" w:eastAsia="Calibri"/>
          <w:b w:val="0"/>
          <w:i w:val="0"/>
          <w:sz w:val="16"/>
          <w:szCs w:val="16"/>
        </w:rPr>
        <w:t>8. RS-PLN-001  Cybersecurity Incident Response Plan  [Specialist-required] | A17</w:t>
      </w:r>
    </w:p>
    <w:p>
      <w:pPr>
        <w:pStyle w:val="ListBullet"/>
        <w:spacing w:after="40"/>
      </w:pPr>
      <w:r>
        <w:rPr>
          <w:rFonts w:ascii="Calibri" w:hAnsi="Calibri" w:cs="Calibri" w:eastAsia="Calibri"/>
          <w:b w:val="0"/>
          <w:i w:val="0"/>
          <w:sz w:val="16"/>
          <w:szCs w:val="16"/>
        </w:rPr>
        <w:t>9. RS-FRM-001  Incident Report Form  [IT-ready]</w:t>
      </w:r>
    </w:p>
    <w:p>
      <w:pPr>
        <w:pStyle w:val="ListBullet"/>
        <w:spacing w:after="40"/>
      </w:pPr>
      <w:r>
        <w:rPr>
          <w:rFonts w:ascii="Calibri" w:hAnsi="Calibri" w:cs="Calibri" w:eastAsia="Calibri"/>
          <w:b w:val="0"/>
          <w:i w:val="0"/>
          <w:sz w:val="16"/>
          <w:szCs w:val="16"/>
        </w:rPr>
        <w:t>10. RS-REG-001  Incident Register  [IT-ready]</w:t>
      </w:r>
    </w:p>
    <w:p>
      <w:pPr>
        <w:pStyle w:val="ListBullet"/>
        <w:spacing w:after="40"/>
      </w:pPr>
      <w:r>
        <w:rPr>
          <w:rFonts w:ascii="Calibri" w:hAnsi="Calibri" w:cs="Calibri" w:eastAsia="Calibri"/>
          <w:b w:val="0"/>
          <w:i w:val="0"/>
          <w:sz w:val="16"/>
          <w:szCs w:val="16"/>
        </w:rPr>
        <w:t>11. PR-STD-006  Backup Standard  [IT-ready] | A18</w:t>
      </w:r>
    </w:p>
    <w:p>
      <w:pPr>
        <w:pStyle w:val="ListBullet"/>
        <w:spacing w:after="40"/>
      </w:pPr>
      <w:r>
        <w:rPr>
          <w:rFonts w:ascii="Calibri" w:hAnsi="Calibri" w:cs="Calibri" w:eastAsia="Calibri"/>
          <w:b w:val="0"/>
          <w:i w:val="0"/>
          <w:sz w:val="16"/>
          <w:szCs w:val="16"/>
        </w:rPr>
        <w:t>12. PR-PRC-005  Backup and Restore Procedure  [IT-ready] | A18</w:t>
      </w:r>
    </w:p>
    <w:p>
      <w:pPr>
        <w:pStyle w:val="ListBullet"/>
        <w:spacing w:after="40"/>
      </w:pPr>
      <w:r>
        <w:rPr>
          <w:rFonts w:ascii="Calibri" w:hAnsi="Calibri" w:cs="Calibri" w:eastAsia="Calibri"/>
          <w:b w:val="0"/>
          <w:i w:val="0"/>
          <w:sz w:val="16"/>
          <w:szCs w:val="16"/>
        </w:rPr>
        <w:t>13. PR-REC-003  Backup and Restore Test Record  [IT-ready] | A18</w:t>
      </w:r>
    </w:p>
    <w:p>
      <w:pPr>
        <w:pStyle w:val="ListBullet"/>
        <w:spacing w:after="40"/>
      </w:pPr>
      <w:r>
        <w:rPr>
          <w:rFonts w:ascii="Calibri" w:hAnsi="Calibri" w:cs="Calibri" w:eastAsia="Calibri"/>
          <w:b w:val="0"/>
          <w:i w:val="0"/>
          <w:sz w:val="16"/>
          <w:szCs w:val="16"/>
        </w:rPr>
        <w:t>14. PR-STD-001  Identity and Authentication Standard  [Specialist-guided] | A19</w:t>
      </w:r>
    </w:p>
    <w:p>
      <w:pPr>
        <w:pStyle w:val="ListBullet"/>
        <w:spacing w:after="40"/>
      </w:pPr>
      <w:r>
        <w:rPr>
          <w:rFonts w:ascii="Calibri" w:hAnsi="Calibri" w:cs="Calibri" w:eastAsia="Calibri"/>
          <w:b w:val="0"/>
          <w:i w:val="0"/>
          <w:sz w:val="16"/>
          <w:szCs w:val="16"/>
        </w:rPr>
        <w:t>15. PR-REG-001  Privileged Account Register  [IT-ready] | A19</w:t>
      </w:r>
    </w:p>
    <w:p>
      <w:pPr>
        <w:spacing w:after="40" w:before="0"/>
      </w:pPr>
      <w:r>
        <w:rPr>
          <w:rFonts w:ascii="Calibri" w:hAnsi="Calibri" w:cs="Calibri" w:eastAsia="Calibri"/>
          <w:b/>
          <w:i w:val="0"/>
          <w:sz w:val="21"/>
          <w:szCs w:val="21"/>
          <w:bCs/>
        </w:rPr>
        <w:t>W1 Understand (Month 1 to 4): Know what you have, what matters most, and what could go wrong before writing detailed rules.</w:t>
      </w:r>
    </w:p>
    <w:p>
      <w:pPr>
        <w:spacing w:after="0" w:before="0"/>
      </w:pPr>
      <w:r>
        <w:rPr>
          <w:rFonts w:ascii="Calibri" w:hAnsi="Calibri" w:cs="Calibri" w:eastAsia="Calibri"/>
          <w:b w:val="0"/>
          <w:i/>
          <w:sz w:val="18"/>
          <w:szCs w:val="18"/>
        </w:rPr>
        <w:t>Track A: Governance build</w:t>
      </w:r>
    </w:p>
    <w:p>
      <w:pPr>
        <w:pStyle w:val="ListBullet"/>
        <w:spacing w:after="40"/>
      </w:pPr>
      <w:r>
        <w:rPr>
          <w:rFonts w:ascii="Calibri" w:hAnsi="Calibri" w:cs="Calibri" w:eastAsia="Calibri"/>
          <w:b w:val="0"/>
          <w:i w:val="0"/>
          <w:sz w:val="16"/>
          <w:szCs w:val="16"/>
        </w:rPr>
        <w:t>16. GV-RPT-001  Organizational Context and ISMS Scope Statement  [Specialist-guided] | A04</w:t>
      </w:r>
    </w:p>
    <w:p>
      <w:pPr>
        <w:pStyle w:val="ListBullet"/>
        <w:spacing w:after="40"/>
      </w:pPr>
      <w:r>
        <w:rPr>
          <w:rFonts w:ascii="Calibri" w:hAnsi="Calibri" w:cs="Calibri" w:eastAsia="Calibri"/>
          <w:b w:val="0"/>
          <w:i w:val="0"/>
          <w:sz w:val="16"/>
          <w:szCs w:val="16"/>
        </w:rPr>
        <w:t>17. GV-REG-002  Stakeholder Requirements Register  [IT-ready] | A04</w:t>
      </w:r>
    </w:p>
    <w:p>
      <w:pPr>
        <w:pStyle w:val="ListBullet"/>
        <w:spacing w:after="40"/>
      </w:pPr>
      <w:r>
        <w:rPr>
          <w:rFonts w:ascii="Calibri" w:hAnsi="Calibri" w:cs="Calibri" w:eastAsia="Calibri"/>
          <w:b w:val="0"/>
          <w:i w:val="0"/>
          <w:sz w:val="16"/>
          <w:szCs w:val="16"/>
        </w:rPr>
        <w:t>18. ID-STD-001  Asset Management Standard  [IT-ready] | A13</w:t>
      </w:r>
    </w:p>
    <w:p>
      <w:pPr>
        <w:pStyle w:val="ListBullet"/>
        <w:spacing w:after="40"/>
      </w:pPr>
      <w:r>
        <w:rPr>
          <w:rFonts w:ascii="Calibri" w:hAnsi="Calibri" w:cs="Calibri" w:eastAsia="Calibri"/>
          <w:b w:val="0"/>
          <w:i w:val="0"/>
          <w:sz w:val="16"/>
          <w:szCs w:val="16"/>
        </w:rPr>
        <w:t>19. ID-REG-001  Hardware Asset Inventory  [IT-ready] | A05</w:t>
      </w:r>
    </w:p>
    <w:p>
      <w:pPr>
        <w:pStyle w:val="ListBullet"/>
        <w:spacing w:after="40"/>
      </w:pPr>
      <w:r>
        <w:rPr>
          <w:rFonts w:ascii="Calibri" w:hAnsi="Calibri" w:cs="Calibri" w:eastAsia="Calibri"/>
          <w:b w:val="0"/>
          <w:i w:val="0"/>
          <w:sz w:val="16"/>
          <w:szCs w:val="16"/>
        </w:rPr>
        <w:t>20. ID-REG-002  Software and Service Inventory  [IT-ready] | A05</w:t>
      </w:r>
    </w:p>
    <w:p>
      <w:pPr>
        <w:pStyle w:val="ListBullet"/>
        <w:spacing w:after="40"/>
      </w:pPr>
      <w:r>
        <w:rPr>
          <w:rFonts w:ascii="Calibri" w:hAnsi="Calibri" w:cs="Calibri" w:eastAsia="Calibri"/>
          <w:b w:val="0"/>
          <w:i w:val="0"/>
          <w:sz w:val="16"/>
          <w:szCs w:val="16"/>
        </w:rPr>
        <w:t>21. ID-RPT-001  Network Architecture and Data Flow Diagram  [IT-ready] | A05</w:t>
      </w:r>
    </w:p>
    <w:p>
      <w:pPr>
        <w:pStyle w:val="ListBullet"/>
        <w:spacing w:after="40"/>
      </w:pPr>
      <w:r>
        <w:rPr>
          <w:rFonts w:ascii="Calibri" w:hAnsi="Calibri" w:cs="Calibri" w:eastAsia="Calibri"/>
          <w:b w:val="0"/>
          <w:i w:val="0"/>
          <w:sz w:val="16"/>
          <w:szCs w:val="16"/>
        </w:rPr>
        <w:t>22. ID-REG-004  OT and Medical Device Inventory  [IT-ready] | A05</w:t>
      </w:r>
    </w:p>
    <w:p>
      <w:pPr>
        <w:pStyle w:val="ListBullet"/>
        <w:spacing w:after="40"/>
      </w:pPr>
      <w:r>
        <w:rPr>
          <w:rFonts w:ascii="Calibri" w:hAnsi="Calibri" w:cs="Calibri" w:eastAsia="Calibri"/>
          <w:b w:val="0"/>
          <w:i w:val="0"/>
          <w:sz w:val="16"/>
          <w:szCs w:val="16"/>
        </w:rPr>
        <w:t>23. ID-REG-003  Data Inventory and Data Flow Register  [Specialist-guided] | A06</w:t>
      </w:r>
    </w:p>
    <w:p>
      <w:pPr>
        <w:pStyle w:val="ListBullet"/>
        <w:spacing w:after="40"/>
      </w:pPr>
      <w:r>
        <w:rPr>
          <w:rFonts w:ascii="Calibri" w:hAnsi="Calibri" w:cs="Calibri" w:eastAsia="Calibri"/>
          <w:b w:val="0"/>
          <w:i w:val="0"/>
          <w:sz w:val="16"/>
          <w:szCs w:val="16"/>
        </w:rPr>
        <w:t>24. GV-POL-004  Personal Data Protection Policy  [Specialist-guided] | A03, A13, A14</w:t>
      </w:r>
    </w:p>
    <w:p>
      <w:pPr>
        <w:pStyle w:val="ListBullet"/>
        <w:spacing w:after="40"/>
      </w:pPr>
      <w:r>
        <w:rPr>
          <w:rFonts w:ascii="Calibri" w:hAnsi="Calibri" w:cs="Calibri" w:eastAsia="Calibri"/>
          <w:b w:val="0"/>
          <w:i w:val="0"/>
          <w:sz w:val="16"/>
          <w:szCs w:val="16"/>
        </w:rPr>
        <w:t>25. GV-REG-007  Record of Processing Activities (ROPA)  [Specialist-guided] | A06</w:t>
      </w:r>
    </w:p>
    <w:p>
      <w:pPr>
        <w:pStyle w:val="ListBullet"/>
        <w:spacing w:after="40"/>
      </w:pPr>
      <w:r>
        <w:rPr>
          <w:rFonts w:ascii="Calibri" w:hAnsi="Calibri" w:cs="Calibri" w:eastAsia="Calibri"/>
          <w:b w:val="0"/>
          <w:i w:val="0"/>
          <w:sz w:val="16"/>
          <w:szCs w:val="16"/>
        </w:rPr>
        <w:t>26. GV-TPL-002  Privacy Notice Template  [Specialist-guided] | A06</w:t>
      </w:r>
    </w:p>
    <w:p>
      <w:pPr>
        <w:pStyle w:val="ListBullet"/>
        <w:spacing w:after="40"/>
      </w:pPr>
      <w:r>
        <w:rPr>
          <w:rFonts w:ascii="Calibri" w:hAnsi="Calibri" w:cs="Calibri" w:eastAsia="Calibri"/>
          <w:b w:val="0"/>
          <w:i w:val="0"/>
          <w:sz w:val="16"/>
          <w:szCs w:val="16"/>
        </w:rPr>
        <w:t>27. GV-REG-009  Supplier Inventory and Criticality Register  [IT-ready] | A16</w:t>
      </w:r>
    </w:p>
    <w:p>
      <w:pPr>
        <w:pStyle w:val="ListBullet"/>
        <w:spacing w:after="40"/>
      </w:pPr>
      <w:r>
        <w:rPr>
          <w:rFonts w:ascii="Calibri" w:hAnsi="Calibri" w:cs="Calibri" w:eastAsia="Calibri"/>
          <w:b w:val="0"/>
          <w:i w:val="0"/>
          <w:sz w:val="16"/>
          <w:szCs w:val="16"/>
        </w:rPr>
        <w:t>28. ID-RPT-002  Business Impact Analysis (BIA)  [Specialist-required] | A07</w:t>
      </w:r>
    </w:p>
    <w:p>
      <w:pPr>
        <w:pStyle w:val="ListBullet"/>
        <w:spacing w:after="40"/>
      </w:pPr>
      <w:r>
        <w:rPr>
          <w:rFonts w:ascii="Calibri" w:hAnsi="Calibri" w:cs="Calibri" w:eastAsia="Calibri"/>
          <w:b w:val="0"/>
          <w:i w:val="0"/>
          <w:sz w:val="16"/>
          <w:szCs w:val="16"/>
        </w:rPr>
        <w:t>29. GV-STM-001  Risk Appetite and Tolerance Statement  [Specialist-required] | A08</w:t>
      </w:r>
    </w:p>
    <w:p>
      <w:pPr>
        <w:pStyle w:val="ListBullet"/>
        <w:spacing w:after="40"/>
      </w:pPr>
      <w:r>
        <w:rPr>
          <w:rFonts w:ascii="Calibri" w:hAnsi="Calibri" w:cs="Calibri" w:eastAsia="Calibri"/>
          <w:b w:val="0"/>
          <w:i w:val="0"/>
          <w:sz w:val="16"/>
          <w:szCs w:val="16"/>
        </w:rPr>
        <w:t>30. GV-POL-002  Cybersecurity Risk Management Policy  [Specialist-guided] | A13, A14</w:t>
      </w:r>
    </w:p>
    <w:p>
      <w:pPr>
        <w:pStyle w:val="ListBullet"/>
        <w:spacing w:after="40"/>
      </w:pPr>
      <w:r>
        <w:rPr>
          <w:rFonts w:ascii="Calibri" w:hAnsi="Calibri" w:cs="Calibri" w:eastAsia="Calibri"/>
          <w:b w:val="0"/>
          <w:i w:val="0"/>
          <w:sz w:val="16"/>
          <w:szCs w:val="16"/>
        </w:rPr>
        <w:t>31. GV-PRC-001  Risk Assessment and Treatment Methodology  [Specialist-required] | A09</w:t>
      </w:r>
    </w:p>
    <w:p>
      <w:pPr>
        <w:pStyle w:val="ListBullet"/>
        <w:spacing w:after="40"/>
      </w:pPr>
      <w:r>
        <w:rPr>
          <w:rFonts w:ascii="Calibri" w:hAnsi="Calibri" w:cs="Calibri" w:eastAsia="Calibri"/>
          <w:b w:val="0"/>
          <w:i w:val="0"/>
          <w:sz w:val="16"/>
          <w:szCs w:val="16"/>
        </w:rPr>
        <w:t>32. ID-REG-005  IT and Cybersecurity Risk Register  [Specialist-required] | A10</w:t>
      </w:r>
    </w:p>
    <w:p>
      <w:pPr>
        <w:pStyle w:val="ListBullet"/>
        <w:spacing w:after="40"/>
      </w:pPr>
      <w:r>
        <w:rPr>
          <w:rFonts w:ascii="Calibri" w:hAnsi="Calibri" w:cs="Calibri" w:eastAsia="Calibri"/>
          <w:b w:val="0"/>
          <w:i w:val="0"/>
          <w:sz w:val="16"/>
          <w:szCs w:val="16"/>
        </w:rPr>
        <w:t>33. ID-RPT-003  Cybersecurity Risk Assessment Report  [Specialist-required] | A10, A11</w:t>
      </w:r>
    </w:p>
    <w:p>
      <w:pPr>
        <w:spacing w:after="0" w:before="0"/>
      </w:pPr>
      <w:r>
        <w:rPr>
          <w:rFonts w:ascii="Calibri" w:hAnsi="Calibri" w:cs="Calibri" w:eastAsia="Calibri"/>
          <w:b w:val="0"/>
          <w:i/>
          <w:sz w:val="18"/>
          <w:szCs w:val="18"/>
        </w:rPr>
        <w:t>Track B: Threat-driven quick wins (Day 0 to 90)</w:t>
      </w:r>
    </w:p>
    <w:p>
      <w:pPr>
        <w:pStyle w:val="ListBullet"/>
        <w:spacing w:after="40"/>
      </w:pPr>
      <w:r>
        <w:rPr>
          <w:rFonts w:ascii="Calibri" w:hAnsi="Calibri" w:cs="Calibri" w:eastAsia="Calibri"/>
          <w:b w:val="0"/>
          <w:i w:val="0"/>
          <w:sz w:val="16"/>
          <w:szCs w:val="16"/>
        </w:rPr>
        <w:t>34. RS-PLB-001  Ransomware Response Playbook  [Specialist-required] | A17, A20</w:t>
      </w:r>
    </w:p>
    <w:p>
      <w:pPr>
        <w:pStyle w:val="ListBullet"/>
        <w:spacing w:after="40"/>
      </w:pPr>
      <w:r>
        <w:rPr>
          <w:rFonts w:ascii="Calibri" w:hAnsi="Calibri" w:cs="Calibri" w:eastAsia="Calibri"/>
          <w:b w:val="0"/>
          <w:i w:val="0"/>
          <w:sz w:val="16"/>
          <w:szCs w:val="16"/>
        </w:rPr>
        <w:t>35. PR-STD-002  Privileged Access Management Standard  [Specialist-guided] | A19</w:t>
      </w:r>
    </w:p>
    <w:p>
      <w:pPr>
        <w:pStyle w:val="ListBullet"/>
        <w:spacing w:after="40"/>
      </w:pPr>
      <w:r>
        <w:rPr>
          <w:rFonts w:ascii="Calibri" w:hAnsi="Calibri" w:cs="Calibri" w:eastAsia="Calibri"/>
          <w:b w:val="0"/>
          <w:i w:val="0"/>
          <w:sz w:val="16"/>
          <w:szCs w:val="16"/>
        </w:rPr>
        <w:t>36. PR-STD-003  Remote Access Standard  [Specialist-guided] | A19</w:t>
      </w:r>
    </w:p>
    <w:p>
      <w:pPr>
        <w:pStyle w:val="ListBullet"/>
        <w:spacing w:after="40"/>
      </w:pPr>
      <w:r>
        <w:rPr>
          <w:rFonts w:ascii="Calibri" w:hAnsi="Calibri" w:cs="Calibri" w:eastAsia="Calibri"/>
          <w:b w:val="0"/>
          <w:i w:val="0"/>
          <w:sz w:val="16"/>
          <w:szCs w:val="16"/>
        </w:rPr>
        <w:t>37. PR-STD-012  Endpoint Protection Standard  [Specialist-guided]</w:t>
      </w:r>
    </w:p>
    <w:p>
      <w:pPr>
        <w:spacing w:after="40" w:before="0"/>
      </w:pPr>
      <w:r>
        <w:rPr>
          <w:rFonts w:ascii="Calibri" w:hAnsi="Calibri" w:cs="Calibri" w:eastAsia="Calibri"/>
          <w:b/>
          <w:i w:val="0"/>
          <w:sz w:val="21"/>
          <w:szCs w:val="21"/>
          <w:bCs/>
        </w:rPr>
        <w:t>W2 Direct (Month 3 to 7): Set strategy, budget, and the topic policies that the risk picture shows you need.</w:t>
      </w:r>
    </w:p>
    <w:p>
      <w:pPr>
        <w:pStyle w:val="ListBullet"/>
        <w:spacing w:after="40"/>
      </w:pPr>
      <w:r>
        <w:rPr>
          <w:rFonts w:ascii="Calibri" w:hAnsi="Calibri" w:cs="Calibri" w:eastAsia="Calibri"/>
          <w:b w:val="0"/>
          <w:i w:val="0"/>
          <w:sz w:val="16"/>
          <w:szCs w:val="16"/>
        </w:rPr>
        <w:t>38. GV-STR-001  Cybersecurity Strategy and Roadmap  [Specialist-guided] | A11, A12</w:t>
      </w:r>
    </w:p>
    <w:p>
      <w:pPr>
        <w:pStyle w:val="ListBullet"/>
        <w:spacing w:after="40"/>
      </w:pPr>
      <w:r>
        <w:rPr>
          <w:rFonts w:ascii="Calibri" w:hAnsi="Calibri" w:cs="Calibri" w:eastAsia="Calibri"/>
          <w:b w:val="0"/>
          <w:i w:val="0"/>
          <w:sz w:val="16"/>
          <w:szCs w:val="16"/>
        </w:rPr>
        <w:t>39. GV-PLN-001  Cybersecurity Budget and Resource Plan  [Specialist-guided] | A12</w:t>
      </w:r>
    </w:p>
    <w:p>
      <w:pPr>
        <w:pStyle w:val="ListBullet"/>
        <w:spacing w:after="40"/>
      </w:pPr>
      <w:r>
        <w:rPr>
          <w:rFonts w:ascii="Calibri" w:hAnsi="Calibri" w:cs="Calibri" w:eastAsia="Calibri"/>
          <w:b w:val="0"/>
          <w:i w:val="0"/>
          <w:sz w:val="16"/>
          <w:szCs w:val="16"/>
        </w:rPr>
        <w:t>40. ID-PLN-001  Risk Treatment Plan  [Specialist-guided] | A10</w:t>
      </w:r>
    </w:p>
    <w:p>
      <w:pPr>
        <w:pStyle w:val="ListBullet"/>
        <w:spacing w:after="40"/>
      </w:pPr>
      <w:r>
        <w:rPr>
          <w:rFonts w:ascii="Calibri" w:hAnsi="Calibri" w:cs="Calibri" w:eastAsia="Calibri"/>
          <w:b w:val="0"/>
          <w:i w:val="0"/>
          <w:sz w:val="16"/>
          <w:szCs w:val="16"/>
        </w:rPr>
        <w:t>41. GV-FRM-001  Risk Acceptance Form  [IT-ready]</w:t>
      </w:r>
    </w:p>
    <w:p>
      <w:pPr>
        <w:pStyle w:val="ListBullet"/>
        <w:spacing w:after="40"/>
      </w:pPr>
      <w:r>
        <w:rPr>
          <w:rFonts w:ascii="Calibri" w:hAnsi="Calibri" w:cs="Calibri" w:eastAsia="Calibri"/>
          <w:b w:val="0"/>
          <w:i w:val="0"/>
          <w:sz w:val="16"/>
          <w:szCs w:val="16"/>
        </w:rPr>
        <w:t>42. GV-REG-005  Statement of Applicability (SoA)  [Specialist-required] | A11</w:t>
      </w:r>
    </w:p>
    <w:p>
      <w:pPr>
        <w:pStyle w:val="ListBullet"/>
        <w:spacing w:after="40"/>
      </w:pPr>
      <w:r>
        <w:rPr>
          <w:rFonts w:ascii="Calibri" w:hAnsi="Calibri" w:cs="Calibri" w:eastAsia="Calibri"/>
          <w:b w:val="0"/>
          <w:i w:val="0"/>
          <w:sz w:val="16"/>
          <w:szCs w:val="16"/>
        </w:rPr>
        <w:t>43. GV-REG-006  CII Code of Practice Compliance Matrix  [Specialist-required] | A03, A11</w:t>
      </w:r>
    </w:p>
    <w:p>
      <w:pPr>
        <w:pStyle w:val="ListBullet"/>
        <w:spacing w:after="40"/>
      </w:pPr>
      <w:r>
        <w:rPr>
          <w:rFonts w:ascii="Calibri" w:hAnsi="Calibri" w:cs="Calibri" w:eastAsia="Calibri"/>
          <w:b w:val="0"/>
          <w:i w:val="0"/>
          <w:sz w:val="16"/>
          <w:szCs w:val="16"/>
        </w:rPr>
        <w:t>44. GV-REG-008  Cybersecurity Metrics Catalog (KPI and KRI)  [Specialist-guided] | A12</w:t>
      </w:r>
    </w:p>
    <w:p>
      <w:pPr>
        <w:pStyle w:val="ListBullet"/>
        <w:spacing w:after="40"/>
      </w:pPr>
      <w:r>
        <w:rPr>
          <w:rFonts w:ascii="Calibri" w:hAnsi="Calibri" w:cs="Calibri" w:eastAsia="Calibri"/>
          <w:b w:val="0"/>
          <w:i w:val="0"/>
          <w:sz w:val="16"/>
          <w:szCs w:val="16"/>
        </w:rPr>
        <w:t>45. GV-POL-003  Acceptable Use Policy  [IT-ready] | A13, A14</w:t>
      </w:r>
    </w:p>
    <w:p>
      <w:pPr>
        <w:pStyle w:val="ListBullet"/>
        <w:spacing w:after="40"/>
      </w:pPr>
      <w:r>
        <w:rPr>
          <w:rFonts w:ascii="Calibri" w:hAnsi="Calibri" w:cs="Calibri" w:eastAsia="Calibri"/>
          <w:b w:val="0"/>
          <w:i w:val="0"/>
          <w:sz w:val="16"/>
          <w:szCs w:val="16"/>
        </w:rPr>
        <w:t>46. PR-POL-001  Access Control Policy  [Specialist-guided] | A13, A14</w:t>
      </w:r>
    </w:p>
    <w:p>
      <w:pPr>
        <w:pStyle w:val="ListBullet"/>
        <w:spacing w:after="40"/>
      </w:pPr>
      <w:r>
        <w:rPr>
          <w:rFonts w:ascii="Calibri" w:hAnsi="Calibri" w:cs="Calibri" w:eastAsia="Calibri"/>
          <w:b w:val="0"/>
          <w:i w:val="0"/>
          <w:sz w:val="16"/>
          <w:szCs w:val="16"/>
        </w:rPr>
        <w:t>47. PR-POL-003  Data Protection and Classification Policy  [Specialist-guided] | A13, A14</w:t>
      </w:r>
    </w:p>
    <w:p>
      <w:pPr>
        <w:pStyle w:val="ListBullet"/>
        <w:spacing w:after="40"/>
      </w:pPr>
      <w:r>
        <w:rPr>
          <w:rFonts w:ascii="Calibri" w:hAnsi="Calibri" w:cs="Calibri" w:eastAsia="Calibri"/>
          <w:b w:val="0"/>
          <w:i w:val="0"/>
          <w:sz w:val="16"/>
          <w:szCs w:val="16"/>
        </w:rPr>
        <w:t>48. GV-POL-006  Third-Party and Supply Chain Security Policy  [Specialist-guided] | A13, A14</w:t>
      </w:r>
    </w:p>
    <w:p>
      <w:pPr>
        <w:pStyle w:val="ListBullet"/>
        <w:spacing w:after="40"/>
      </w:pPr>
      <w:r>
        <w:rPr>
          <w:rFonts w:ascii="Calibri" w:hAnsi="Calibri" w:cs="Calibri" w:eastAsia="Calibri"/>
          <w:b w:val="0"/>
          <w:i w:val="0"/>
          <w:sz w:val="16"/>
          <w:szCs w:val="16"/>
        </w:rPr>
        <w:t>49. RC-POL-001  Business Continuity Management Policy  [Specialist-guided] | A13, A14</w:t>
      </w:r>
    </w:p>
    <w:p>
      <w:pPr>
        <w:pStyle w:val="ListBullet"/>
        <w:spacing w:after="40"/>
      </w:pPr>
      <w:r>
        <w:rPr>
          <w:rFonts w:ascii="Calibri" w:hAnsi="Calibri" w:cs="Calibri" w:eastAsia="Calibri"/>
          <w:b w:val="0"/>
          <w:i w:val="0"/>
          <w:sz w:val="16"/>
          <w:szCs w:val="16"/>
        </w:rPr>
        <w:t>50. PR-POL-002  Physical and Environmental Security Policy  [IT-ready] | A13, A14</w:t>
      </w:r>
    </w:p>
    <w:p>
      <w:pPr>
        <w:pStyle w:val="ListBullet"/>
        <w:spacing w:after="40"/>
      </w:pPr>
      <w:r>
        <w:rPr>
          <w:rFonts w:ascii="Calibri" w:hAnsi="Calibri" w:cs="Calibri" w:eastAsia="Calibri"/>
          <w:b w:val="0"/>
          <w:i w:val="0"/>
          <w:sz w:val="16"/>
          <w:szCs w:val="16"/>
        </w:rPr>
        <w:t>51. GV-STD-001  Human Resources Security Standard  [IT-ready] | A13</w:t>
      </w:r>
    </w:p>
    <w:p>
      <w:pPr>
        <w:pStyle w:val="ListBullet"/>
        <w:spacing w:after="40"/>
      </w:pPr>
      <w:r>
        <w:rPr>
          <w:rFonts w:ascii="Calibri" w:hAnsi="Calibri" w:cs="Calibri" w:eastAsia="Calibri"/>
          <w:b w:val="0"/>
          <w:i w:val="0"/>
          <w:sz w:val="16"/>
          <w:szCs w:val="16"/>
        </w:rPr>
        <w:t>52. GV-FRM-002  Confidentiality and Non-Disclosure Agreement  [Specialist-guided]</w:t>
      </w:r>
    </w:p>
    <w:p>
      <w:pPr>
        <w:pStyle w:val="ListBullet"/>
        <w:spacing w:after="40"/>
      </w:pPr>
      <w:r>
        <w:rPr>
          <w:rFonts w:ascii="Calibri" w:hAnsi="Calibri" w:cs="Calibri" w:eastAsia="Calibri"/>
          <w:b w:val="0"/>
          <w:i w:val="0"/>
          <w:sz w:val="16"/>
          <w:szCs w:val="16"/>
        </w:rPr>
        <w:t>53. GV-FRM-003  Employee Offboarding Security Checklist  [IT-ready]</w:t>
      </w:r>
    </w:p>
    <w:p>
      <w:pPr>
        <w:pStyle w:val="ListBullet"/>
        <w:spacing w:after="40"/>
      </w:pPr>
      <w:r>
        <w:rPr>
          <w:rFonts w:ascii="Calibri" w:hAnsi="Calibri" w:cs="Calibri" w:eastAsia="Calibri"/>
          <w:b w:val="0"/>
          <w:i w:val="0"/>
          <w:sz w:val="16"/>
          <w:szCs w:val="16"/>
        </w:rPr>
        <w:t>54. PR-PLN-001  Security Awareness and Training Program  [IT-ready] | A23</w:t>
      </w:r>
    </w:p>
    <w:p>
      <w:pPr>
        <w:pStyle w:val="ListBullet"/>
        <w:spacing w:after="40"/>
      </w:pPr>
      <w:r>
        <w:rPr>
          <w:rFonts w:ascii="Calibri" w:hAnsi="Calibri" w:cs="Calibri" w:eastAsia="Calibri"/>
          <w:b w:val="0"/>
          <w:i w:val="0"/>
          <w:sz w:val="16"/>
          <w:szCs w:val="16"/>
        </w:rPr>
        <w:t>55. GV-PRC-003  Policy Exception Management Procedure  [IT-ready]</w:t>
      </w:r>
    </w:p>
    <w:p>
      <w:pPr>
        <w:pStyle w:val="ListBullet"/>
        <w:spacing w:after="40"/>
      </w:pPr>
      <w:r>
        <w:rPr>
          <w:rFonts w:ascii="Calibri" w:hAnsi="Calibri" w:cs="Calibri" w:eastAsia="Calibri"/>
          <w:b w:val="0"/>
          <w:i w:val="0"/>
          <w:sz w:val="16"/>
          <w:szCs w:val="16"/>
        </w:rPr>
        <w:t>56. GV-FRM-004  Policy Exception Request Form  [IT-ready]</w:t>
      </w:r>
    </w:p>
    <w:p>
      <w:pPr>
        <w:pStyle w:val="ListBullet"/>
        <w:spacing w:after="40"/>
      </w:pPr>
      <w:r>
        <w:rPr>
          <w:rFonts w:ascii="Calibri" w:hAnsi="Calibri" w:cs="Calibri" w:eastAsia="Calibri"/>
          <w:b w:val="0"/>
          <w:i w:val="0"/>
          <w:sz w:val="16"/>
          <w:szCs w:val="16"/>
        </w:rPr>
        <w:t>57. GV-REG-004  Policy Exception Register  [IT-ready]</w:t>
      </w:r>
    </w:p>
    <w:p>
      <w:pPr>
        <w:pStyle w:val="ListBullet"/>
        <w:spacing w:after="40"/>
      </w:pPr>
      <w:r>
        <w:rPr>
          <w:rFonts w:ascii="Calibri" w:hAnsi="Calibri" w:cs="Calibri" w:eastAsia="Calibri"/>
          <w:b w:val="0"/>
          <w:i w:val="0"/>
          <w:sz w:val="16"/>
          <w:szCs w:val="16"/>
        </w:rPr>
        <w:t>58. GV-TPL-004  Data Processing Agreement Template  [Specialist-guided]</w:t>
      </w:r>
    </w:p>
    <w:p>
      <w:pPr>
        <w:pStyle w:val="ListBullet"/>
        <w:spacing w:after="40"/>
      </w:pPr>
      <w:r>
        <w:rPr>
          <w:rFonts w:ascii="Calibri" w:hAnsi="Calibri" w:cs="Calibri" w:eastAsia="Calibri"/>
          <w:b w:val="0"/>
          <w:i w:val="0"/>
          <w:sz w:val="16"/>
          <w:szCs w:val="16"/>
        </w:rPr>
        <w:t>59. GV-PRC-005  Data Subject Rights Request Procedure  [Specialist-guided] | A13</w:t>
      </w:r>
    </w:p>
    <w:p>
      <w:pPr>
        <w:pStyle w:val="ListBullet"/>
        <w:spacing w:after="40"/>
      </w:pPr>
      <w:r>
        <w:rPr>
          <w:rFonts w:ascii="Calibri" w:hAnsi="Calibri" w:cs="Calibri" w:eastAsia="Calibri"/>
          <w:b w:val="0"/>
          <w:i w:val="0"/>
          <w:sz w:val="16"/>
          <w:szCs w:val="16"/>
        </w:rPr>
        <w:t>60. GV-FRM-005  Data Subject Request Form  [IT-ready]</w:t>
      </w:r>
    </w:p>
    <w:p>
      <w:pPr>
        <w:pStyle w:val="ListBullet"/>
        <w:spacing w:after="40"/>
      </w:pPr>
      <w:r>
        <w:rPr>
          <w:rFonts w:ascii="Calibri" w:hAnsi="Calibri" w:cs="Calibri" w:eastAsia="Calibri"/>
          <w:b w:val="0"/>
          <w:i w:val="0"/>
          <w:sz w:val="16"/>
          <w:szCs w:val="16"/>
        </w:rPr>
        <w:t>61. GV-PRC-004  Data Protection Impact Assessment (DPIA) Procedure  [Specialist-guided] | A13</w:t>
      </w:r>
    </w:p>
    <w:p>
      <w:pPr>
        <w:pStyle w:val="ListBullet"/>
        <w:spacing w:after="40"/>
      </w:pPr>
      <w:r>
        <w:rPr>
          <w:rFonts w:ascii="Calibri" w:hAnsi="Calibri" w:cs="Calibri" w:eastAsia="Calibri"/>
          <w:b w:val="0"/>
          <w:i w:val="0"/>
          <w:sz w:val="16"/>
          <w:szCs w:val="16"/>
        </w:rPr>
        <w:t>62. GV-TPL-003  DPIA Template  [Specialist-guided] | A27</w:t>
      </w:r>
    </w:p>
    <w:p>
      <w:pPr>
        <w:spacing w:after="40" w:before="0"/>
      </w:pPr>
      <w:r>
        <w:rPr>
          <w:rFonts w:ascii="Calibri" w:hAnsi="Calibri" w:cs="Calibri" w:eastAsia="Calibri"/>
          <w:b/>
          <w:i w:val="0"/>
          <w:sz w:val="21"/>
          <w:szCs w:val="21"/>
          <w:bCs/>
        </w:rPr>
        <w:t>W3 Standardize (Month 6 to 12): Turn policies into measurable standards and repeatable procedures.</w:t>
      </w:r>
    </w:p>
    <w:p>
      <w:pPr>
        <w:pStyle w:val="ListBullet"/>
        <w:spacing w:after="40"/>
      </w:pPr>
      <w:r>
        <w:rPr>
          <w:rFonts w:ascii="Calibri" w:hAnsi="Calibri" w:cs="Calibri" w:eastAsia="Calibri"/>
          <w:b w:val="0"/>
          <w:i w:val="0"/>
          <w:sz w:val="16"/>
          <w:szCs w:val="16"/>
        </w:rPr>
        <w:t>63. ID-PRC-001  Asset Lifecycle Management Procedure  [IT-ready]</w:t>
      </w:r>
    </w:p>
    <w:p>
      <w:pPr>
        <w:pStyle w:val="ListBullet"/>
        <w:spacing w:after="40"/>
      </w:pPr>
      <w:r>
        <w:rPr>
          <w:rFonts w:ascii="Calibri" w:hAnsi="Calibri" w:cs="Calibri" w:eastAsia="Calibri"/>
          <w:b w:val="0"/>
          <w:i w:val="0"/>
          <w:sz w:val="16"/>
          <w:szCs w:val="16"/>
        </w:rPr>
        <w:t>64. ID-FRM-001  Media Sanitization and Disposal Record  [IT-ready]</w:t>
      </w:r>
    </w:p>
    <w:p>
      <w:pPr>
        <w:pStyle w:val="ListBullet"/>
        <w:spacing w:after="40"/>
      </w:pPr>
      <w:r>
        <w:rPr>
          <w:rFonts w:ascii="Calibri" w:hAnsi="Calibri" w:cs="Calibri" w:eastAsia="Calibri"/>
          <w:b w:val="0"/>
          <w:i w:val="0"/>
          <w:sz w:val="16"/>
          <w:szCs w:val="16"/>
        </w:rPr>
        <w:t>65. ID-STD-002  Vulnerability Scanning and Remediation Standard  [Specialist-guided] | A26</w:t>
      </w:r>
    </w:p>
    <w:p>
      <w:pPr>
        <w:pStyle w:val="ListBullet"/>
        <w:spacing w:after="40"/>
      </w:pPr>
      <w:r>
        <w:rPr>
          <w:rFonts w:ascii="Calibri" w:hAnsi="Calibri" w:cs="Calibri" w:eastAsia="Calibri"/>
          <w:b w:val="0"/>
          <w:i w:val="0"/>
          <w:sz w:val="16"/>
          <w:szCs w:val="16"/>
        </w:rPr>
        <w:t>66. ID-PRC-002  Vulnerability Management Procedure  [Specialist-guided] | A26</w:t>
      </w:r>
    </w:p>
    <w:p>
      <w:pPr>
        <w:pStyle w:val="ListBullet"/>
        <w:spacing w:after="40"/>
      </w:pPr>
      <w:r>
        <w:rPr>
          <w:rFonts w:ascii="Calibri" w:hAnsi="Calibri" w:cs="Calibri" w:eastAsia="Calibri"/>
          <w:b w:val="0"/>
          <w:i w:val="0"/>
          <w:sz w:val="16"/>
          <w:szCs w:val="16"/>
        </w:rPr>
        <w:t>67. ID-REG-006  Vulnerability Remediation Tracker  [IT-ready]</w:t>
      </w:r>
    </w:p>
    <w:p>
      <w:pPr>
        <w:pStyle w:val="ListBullet"/>
        <w:spacing w:after="40"/>
      </w:pPr>
      <w:r>
        <w:rPr>
          <w:rFonts w:ascii="Calibri" w:hAnsi="Calibri" w:cs="Calibri" w:eastAsia="Calibri"/>
          <w:b w:val="0"/>
          <w:i w:val="0"/>
          <w:sz w:val="16"/>
          <w:szCs w:val="16"/>
        </w:rPr>
        <w:t>68. ID-PRC-003  Penetration Testing Procedure  [Specialist-required] | A26</w:t>
      </w:r>
    </w:p>
    <w:p>
      <w:pPr>
        <w:pStyle w:val="ListBullet"/>
        <w:spacing w:after="40"/>
      </w:pPr>
      <w:r>
        <w:rPr>
          <w:rFonts w:ascii="Calibri" w:hAnsi="Calibri" w:cs="Calibri" w:eastAsia="Calibri"/>
          <w:b w:val="0"/>
          <w:i w:val="0"/>
          <w:sz w:val="16"/>
          <w:szCs w:val="16"/>
        </w:rPr>
        <w:t>69. ID-FRM-002  Penetration Test Authorization and Rules of Engagement  [Specialist-required] | A26</w:t>
      </w:r>
    </w:p>
    <w:p>
      <w:pPr>
        <w:pStyle w:val="ListBullet"/>
        <w:spacing w:after="40"/>
      </w:pPr>
      <w:r>
        <w:rPr>
          <w:rFonts w:ascii="Calibri" w:hAnsi="Calibri" w:cs="Calibri" w:eastAsia="Calibri"/>
          <w:b w:val="0"/>
          <w:i w:val="0"/>
          <w:sz w:val="16"/>
          <w:szCs w:val="16"/>
        </w:rPr>
        <w:t>70. PR-STD-004  Information Classification and Handling Standard  [Specialist-guided] | A13</w:t>
      </w:r>
    </w:p>
    <w:p>
      <w:pPr>
        <w:pStyle w:val="ListBullet"/>
        <w:spacing w:after="40"/>
      </w:pPr>
      <w:r>
        <w:rPr>
          <w:rFonts w:ascii="Calibri" w:hAnsi="Calibri" w:cs="Calibri" w:eastAsia="Calibri"/>
          <w:b w:val="0"/>
          <w:i w:val="0"/>
          <w:sz w:val="16"/>
          <w:szCs w:val="16"/>
        </w:rPr>
        <w:t>71. PR-STD-005  Cryptography and Key Management Standard  [Specialist-required] | A13</w:t>
      </w:r>
    </w:p>
    <w:p>
      <w:pPr>
        <w:pStyle w:val="ListBullet"/>
        <w:spacing w:after="40"/>
      </w:pPr>
      <w:r>
        <w:rPr>
          <w:rFonts w:ascii="Calibri" w:hAnsi="Calibri" w:cs="Calibri" w:eastAsia="Calibri"/>
          <w:b w:val="0"/>
          <w:i w:val="0"/>
          <w:sz w:val="16"/>
          <w:szCs w:val="16"/>
        </w:rPr>
        <w:t>72. PR-STD-007  Data Retention and Disposal Standard  [Specialist-guided] | A13</w:t>
      </w:r>
    </w:p>
    <w:p>
      <w:pPr>
        <w:pStyle w:val="ListBullet"/>
        <w:spacing w:after="40"/>
      </w:pPr>
      <w:r>
        <w:rPr>
          <w:rFonts w:ascii="Calibri" w:hAnsi="Calibri" w:cs="Calibri" w:eastAsia="Calibri"/>
          <w:b w:val="0"/>
          <w:i w:val="0"/>
          <w:sz w:val="16"/>
          <w:szCs w:val="16"/>
        </w:rPr>
        <w:t>73. PR-STD-009  Mobile Device and BYOD Standard  [Specialist-guided] | A13</w:t>
      </w:r>
    </w:p>
    <w:p>
      <w:pPr>
        <w:pStyle w:val="ListBullet"/>
        <w:spacing w:after="40"/>
      </w:pPr>
      <w:r>
        <w:rPr>
          <w:rFonts w:ascii="Calibri" w:hAnsi="Calibri" w:cs="Calibri" w:eastAsia="Calibri"/>
          <w:b w:val="0"/>
          <w:i w:val="0"/>
          <w:sz w:val="16"/>
          <w:szCs w:val="16"/>
        </w:rPr>
        <w:t>74. PR-STD-010  Secure Configuration Baseline Standard  [Specialist-guided] | A15</w:t>
      </w:r>
    </w:p>
    <w:p>
      <w:pPr>
        <w:pStyle w:val="ListBullet"/>
        <w:spacing w:after="40"/>
      </w:pPr>
      <w:r>
        <w:rPr>
          <w:rFonts w:ascii="Calibri" w:hAnsi="Calibri" w:cs="Calibri" w:eastAsia="Calibri"/>
          <w:b w:val="0"/>
          <w:i w:val="0"/>
          <w:sz w:val="16"/>
          <w:szCs w:val="16"/>
        </w:rPr>
        <w:t>75. PR-PRC-006  Change Management Procedure  [IT-ready] | A28</w:t>
      </w:r>
    </w:p>
    <w:p>
      <w:pPr>
        <w:pStyle w:val="ListBullet"/>
        <w:spacing w:after="40"/>
      </w:pPr>
      <w:r>
        <w:rPr>
          <w:rFonts w:ascii="Calibri" w:hAnsi="Calibri" w:cs="Calibri" w:eastAsia="Calibri"/>
          <w:b w:val="0"/>
          <w:i w:val="0"/>
          <w:sz w:val="16"/>
          <w:szCs w:val="16"/>
        </w:rPr>
        <w:t>76. PR-FRM-005  Change Request Form  [IT-ready] | A28</w:t>
      </w:r>
    </w:p>
    <w:p>
      <w:pPr>
        <w:pStyle w:val="ListBullet"/>
        <w:spacing w:after="40"/>
      </w:pPr>
      <w:r>
        <w:rPr>
          <w:rFonts w:ascii="Calibri" w:hAnsi="Calibri" w:cs="Calibri" w:eastAsia="Calibri"/>
          <w:b w:val="0"/>
          <w:i w:val="0"/>
          <w:sz w:val="16"/>
          <w:szCs w:val="16"/>
        </w:rPr>
        <w:t>77. PR-PRC-007  Patch Management Procedure  [IT-ready]</w:t>
      </w:r>
    </w:p>
    <w:p>
      <w:pPr>
        <w:pStyle w:val="ListBullet"/>
        <w:spacing w:after="40"/>
      </w:pPr>
      <w:r>
        <w:rPr>
          <w:rFonts w:ascii="Calibri" w:hAnsi="Calibri" w:cs="Calibri" w:eastAsia="Calibri"/>
          <w:b w:val="0"/>
          <w:i w:val="0"/>
          <w:sz w:val="16"/>
          <w:szCs w:val="16"/>
        </w:rPr>
        <w:t>78. PR-STD-011  Logging Standard  [Specialist-guided] | A22</w:t>
      </w:r>
    </w:p>
    <w:p>
      <w:pPr>
        <w:pStyle w:val="ListBullet"/>
        <w:spacing w:after="40"/>
      </w:pPr>
      <w:r>
        <w:rPr>
          <w:rFonts w:ascii="Calibri" w:hAnsi="Calibri" w:cs="Calibri" w:eastAsia="Calibri"/>
          <w:b w:val="0"/>
          <w:i w:val="0"/>
          <w:sz w:val="16"/>
          <w:szCs w:val="16"/>
        </w:rPr>
        <w:t>79. PR-REG-003  Approved Software Register  [IT-ready]</w:t>
      </w:r>
    </w:p>
    <w:p>
      <w:pPr>
        <w:pStyle w:val="ListBullet"/>
        <w:spacing w:after="40"/>
      </w:pPr>
      <w:r>
        <w:rPr>
          <w:rFonts w:ascii="Calibri" w:hAnsi="Calibri" w:cs="Calibri" w:eastAsia="Calibri"/>
          <w:b w:val="0"/>
          <w:i w:val="0"/>
          <w:sz w:val="16"/>
          <w:szCs w:val="16"/>
        </w:rPr>
        <w:t>80. PR-STD-013  Secure Software Development Standard  [Specialist-required] | A13</w:t>
      </w:r>
    </w:p>
    <w:p>
      <w:pPr>
        <w:pStyle w:val="ListBullet"/>
        <w:spacing w:after="40"/>
      </w:pPr>
      <w:r>
        <w:rPr>
          <w:rFonts w:ascii="Calibri" w:hAnsi="Calibri" w:cs="Calibri" w:eastAsia="Calibri"/>
          <w:b w:val="0"/>
          <w:i w:val="0"/>
          <w:sz w:val="16"/>
          <w:szCs w:val="16"/>
        </w:rPr>
        <w:t>81. PR-STD-014  Cloud Security Standard  [Specialist-required] | A15</w:t>
      </w:r>
    </w:p>
    <w:p>
      <w:pPr>
        <w:pStyle w:val="ListBullet"/>
        <w:spacing w:after="40"/>
      </w:pPr>
      <w:r>
        <w:rPr>
          <w:rFonts w:ascii="Calibri" w:hAnsi="Calibri" w:cs="Calibri" w:eastAsia="Calibri"/>
          <w:b w:val="0"/>
          <w:i w:val="0"/>
          <w:sz w:val="16"/>
          <w:szCs w:val="16"/>
        </w:rPr>
        <w:t>82. PR-STD-016  Network Security Standard  [Specialist-guided] | A15</w:t>
      </w:r>
    </w:p>
    <w:p>
      <w:pPr>
        <w:pStyle w:val="ListBullet"/>
        <w:spacing w:after="40"/>
      </w:pPr>
      <w:r>
        <w:rPr>
          <w:rFonts w:ascii="Calibri" w:hAnsi="Calibri" w:cs="Calibri" w:eastAsia="Calibri"/>
          <w:b w:val="0"/>
          <w:i w:val="0"/>
          <w:sz w:val="16"/>
          <w:szCs w:val="16"/>
        </w:rPr>
        <w:t>83. PR-PRC-008  Firewall Rule Management Procedure  [IT-ready] | A28</w:t>
      </w:r>
    </w:p>
    <w:p>
      <w:pPr>
        <w:pStyle w:val="ListBullet"/>
        <w:spacing w:after="40"/>
      </w:pPr>
      <w:r>
        <w:rPr>
          <w:rFonts w:ascii="Calibri" w:hAnsi="Calibri" w:cs="Calibri" w:eastAsia="Calibri"/>
          <w:b w:val="0"/>
          <w:i w:val="0"/>
          <w:sz w:val="16"/>
          <w:szCs w:val="16"/>
        </w:rPr>
        <w:t>84. PR-FRM-006  Firewall Rule Change Request Form  [IT-ready]</w:t>
      </w:r>
    </w:p>
    <w:p>
      <w:pPr>
        <w:pStyle w:val="ListBullet"/>
        <w:spacing w:after="40"/>
      </w:pPr>
      <w:r>
        <w:rPr>
          <w:rFonts w:ascii="Calibri" w:hAnsi="Calibri" w:cs="Calibri" w:eastAsia="Calibri"/>
          <w:b w:val="0"/>
          <w:i w:val="0"/>
          <w:sz w:val="16"/>
          <w:szCs w:val="16"/>
        </w:rPr>
        <w:t>85. PR-STD-017  Technology Resilience and Capacity Standard  [Specialist-guided]</w:t>
      </w:r>
    </w:p>
    <w:p>
      <w:pPr>
        <w:pStyle w:val="ListBullet"/>
        <w:spacing w:after="40"/>
      </w:pPr>
      <w:r>
        <w:rPr>
          <w:rFonts w:ascii="Calibri" w:hAnsi="Calibri" w:cs="Calibri" w:eastAsia="Calibri"/>
          <w:b w:val="0"/>
          <w:i w:val="0"/>
          <w:sz w:val="16"/>
          <w:szCs w:val="16"/>
        </w:rPr>
        <w:t>86. PR-PRC-001  User Access Management Procedure  [IT-ready]</w:t>
      </w:r>
    </w:p>
    <w:p>
      <w:pPr>
        <w:pStyle w:val="ListBullet"/>
        <w:spacing w:after="40"/>
      </w:pPr>
      <w:r>
        <w:rPr>
          <w:rFonts w:ascii="Calibri" w:hAnsi="Calibri" w:cs="Calibri" w:eastAsia="Calibri"/>
          <w:b w:val="0"/>
          <w:i w:val="0"/>
          <w:sz w:val="16"/>
          <w:szCs w:val="16"/>
        </w:rPr>
        <w:t>87. PR-FRM-001  User Access Request Form  [IT-ready]</w:t>
      </w:r>
    </w:p>
    <w:p>
      <w:pPr>
        <w:pStyle w:val="ListBullet"/>
        <w:spacing w:after="40"/>
      </w:pPr>
      <w:r>
        <w:rPr>
          <w:rFonts w:ascii="Calibri" w:hAnsi="Calibri" w:cs="Calibri" w:eastAsia="Calibri"/>
          <w:b w:val="0"/>
          <w:i w:val="0"/>
          <w:sz w:val="16"/>
          <w:szCs w:val="16"/>
        </w:rPr>
        <w:t>88. PR-FRM-002  Privileged Access Request Form  [IT-ready]</w:t>
      </w:r>
    </w:p>
    <w:p>
      <w:pPr>
        <w:pStyle w:val="ListBullet"/>
        <w:spacing w:after="40"/>
      </w:pPr>
      <w:r>
        <w:rPr>
          <w:rFonts w:ascii="Calibri" w:hAnsi="Calibri" w:cs="Calibri" w:eastAsia="Calibri"/>
          <w:b w:val="0"/>
          <w:i w:val="0"/>
          <w:sz w:val="16"/>
          <w:szCs w:val="16"/>
        </w:rPr>
        <w:t>89. PR-FRM-003  Third-Party Remote Access Request Form  [IT-ready]</w:t>
      </w:r>
    </w:p>
    <w:p>
      <w:pPr>
        <w:pStyle w:val="ListBullet"/>
        <w:spacing w:after="40"/>
      </w:pPr>
      <w:r>
        <w:rPr>
          <w:rFonts w:ascii="Calibri" w:hAnsi="Calibri" w:cs="Calibri" w:eastAsia="Calibri"/>
          <w:b w:val="0"/>
          <w:i w:val="0"/>
          <w:sz w:val="16"/>
          <w:szCs w:val="16"/>
        </w:rPr>
        <w:t>90. PR-PRC-002  User Access Review Procedure  [IT-ready]</w:t>
      </w:r>
    </w:p>
    <w:p>
      <w:pPr>
        <w:pStyle w:val="ListBullet"/>
        <w:spacing w:after="40"/>
      </w:pPr>
      <w:r>
        <w:rPr>
          <w:rFonts w:ascii="Calibri" w:hAnsi="Calibri" w:cs="Calibri" w:eastAsia="Calibri"/>
          <w:b w:val="0"/>
          <w:i w:val="0"/>
          <w:sz w:val="16"/>
          <w:szCs w:val="16"/>
        </w:rPr>
        <w:t>91. PR-PRC-003  Physical Access Management Procedure  [IT-ready]</w:t>
      </w:r>
    </w:p>
    <w:p>
      <w:pPr>
        <w:pStyle w:val="ListBullet"/>
        <w:spacing w:after="40"/>
      </w:pPr>
      <w:r>
        <w:rPr>
          <w:rFonts w:ascii="Calibri" w:hAnsi="Calibri" w:cs="Calibri" w:eastAsia="Calibri"/>
          <w:b w:val="0"/>
          <w:i w:val="0"/>
          <w:sz w:val="16"/>
          <w:szCs w:val="16"/>
        </w:rPr>
        <w:t>92. PR-FRM-004  Secure Area Access and Visitor Log  [IT-ready]</w:t>
      </w:r>
    </w:p>
    <w:p>
      <w:pPr>
        <w:pStyle w:val="ListBullet"/>
        <w:spacing w:after="40"/>
      </w:pPr>
      <w:r>
        <w:rPr>
          <w:rFonts w:ascii="Calibri" w:hAnsi="Calibri" w:cs="Calibri" w:eastAsia="Calibri"/>
          <w:b w:val="0"/>
          <w:i w:val="0"/>
          <w:sz w:val="16"/>
          <w:szCs w:val="16"/>
        </w:rPr>
        <w:t>93. PR-REG-002  Role-Based Training and Skills Matrix  [IT-ready] | A23</w:t>
      </w:r>
    </w:p>
    <w:p>
      <w:pPr>
        <w:pStyle w:val="ListBullet"/>
        <w:spacing w:after="40"/>
      </w:pPr>
      <w:r>
        <w:rPr>
          <w:rFonts w:ascii="Calibri" w:hAnsi="Calibri" w:cs="Calibri" w:eastAsia="Calibri"/>
          <w:b w:val="0"/>
          <w:i w:val="0"/>
          <w:sz w:val="16"/>
          <w:szCs w:val="16"/>
        </w:rPr>
        <w:t>94. GV-PRC-008  Third-Party Risk Management Procedure  [Specialist-guided] | A16</w:t>
      </w:r>
    </w:p>
    <w:p>
      <w:pPr>
        <w:pStyle w:val="ListBullet"/>
        <w:spacing w:after="40"/>
      </w:pPr>
      <w:r>
        <w:rPr>
          <w:rFonts w:ascii="Calibri" w:hAnsi="Calibri" w:cs="Calibri" w:eastAsia="Calibri"/>
          <w:b w:val="0"/>
          <w:i w:val="0"/>
          <w:sz w:val="16"/>
          <w:szCs w:val="16"/>
        </w:rPr>
        <w:t>95. GV-STD-002  Supplier Security Requirements Standard  [Specialist-guided] | A16</w:t>
      </w:r>
    </w:p>
    <w:p>
      <w:pPr>
        <w:pStyle w:val="ListBullet"/>
        <w:spacing w:after="40"/>
      </w:pPr>
      <w:r>
        <w:rPr>
          <w:rFonts w:ascii="Calibri" w:hAnsi="Calibri" w:cs="Calibri" w:eastAsia="Calibri"/>
          <w:b w:val="0"/>
          <w:i w:val="0"/>
          <w:sz w:val="16"/>
          <w:szCs w:val="16"/>
        </w:rPr>
        <w:t>96. GV-FRM-006  Vendor Security Assessment Questionnaire  [Specialist-guided] | A16</w:t>
      </w:r>
    </w:p>
    <w:p>
      <w:pPr>
        <w:pStyle w:val="ListBullet"/>
        <w:spacing w:after="40"/>
      </w:pPr>
      <w:r>
        <w:rPr>
          <w:rFonts w:ascii="Calibri" w:hAnsi="Calibri" w:cs="Calibri" w:eastAsia="Calibri"/>
          <w:b w:val="0"/>
          <w:i w:val="0"/>
          <w:sz w:val="16"/>
          <w:szCs w:val="16"/>
        </w:rPr>
        <w:t>97. GV-STD-003  Secure Acquisition Standard  [Specialist-guided]</w:t>
      </w:r>
    </w:p>
    <w:p>
      <w:pPr>
        <w:pStyle w:val="ListBullet"/>
        <w:spacing w:after="40"/>
      </w:pPr>
      <w:r>
        <w:rPr>
          <w:rFonts w:ascii="Calibri" w:hAnsi="Calibri" w:cs="Calibri" w:eastAsia="Calibri"/>
          <w:b w:val="0"/>
          <w:i w:val="0"/>
          <w:sz w:val="16"/>
          <w:szCs w:val="16"/>
        </w:rPr>
        <w:t>98. GV-TPL-005  Board Cybersecurity Report Template  [Specialist-guided]</w:t>
      </w:r>
    </w:p>
    <w:p>
      <w:pPr>
        <w:pStyle w:val="ListBullet"/>
        <w:spacing w:after="40"/>
      </w:pPr>
      <w:r>
        <w:rPr>
          <w:rFonts w:ascii="Calibri" w:hAnsi="Calibri" w:cs="Calibri" w:eastAsia="Calibri"/>
          <w:b w:val="0"/>
          <w:i w:val="0"/>
          <w:sz w:val="16"/>
          <w:szCs w:val="16"/>
        </w:rPr>
        <w:t>99. DE-STD-001  Security Monitoring Standard  [Specialist-required] | A22</w:t>
      </w:r>
    </w:p>
    <w:p>
      <w:pPr>
        <w:pStyle w:val="ListBullet"/>
        <w:spacing w:after="40"/>
      </w:pPr>
      <w:r>
        <w:rPr>
          <w:rFonts w:ascii="Calibri" w:hAnsi="Calibri" w:cs="Calibri" w:eastAsia="Calibri"/>
          <w:b w:val="0"/>
          <w:i w:val="0"/>
          <w:sz w:val="16"/>
          <w:szCs w:val="16"/>
        </w:rPr>
        <w:t>100. DE-PRC-001  Security Monitoring Operations Procedure  [Specialist-required] | A22</w:t>
      </w:r>
    </w:p>
    <w:p>
      <w:pPr>
        <w:pStyle w:val="ListBullet"/>
        <w:spacing w:after="40"/>
      </w:pPr>
      <w:r>
        <w:rPr>
          <w:rFonts w:ascii="Calibri" w:hAnsi="Calibri" w:cs="Calibri" w:eastAsia="Calibri"/>
          <w:b w:val="0"/>
          <w:i w:val="0"/>
          <w:sz w:val="16"/>
          <w:szCs w:val="16"/>
        </w:rPr>
        <w:t>101. DE-REG-001  Log Source and Monitoring Coverage Register  [Specialist-required] | A22</w:t>
      </w:r>
    </w:p>
    <w:p>
      <w:pPr>
        <w:pStyle w:val="ListBullet"/>
        <w:spacing w:after="40"/>
      </w:pPr>
      <w:r>
        <w:rPr>
          <w:rFonts w:ascii="Calibri" w:hAnsi="Calibri" w:cs="Calibri" w:eastAsia="Calibri"/>
          <w:b w:val="0"/>
          <w:i w:val="0"/>
          <w:sz w:val="16"/>
          <w:szCs w:val="16"/>
        </w:rPr>
        <w:t>102. DE-GDL-001  Managed Security Service Provider (MSSP) Requirements Guideline  [Specialist-guided] | A22</w:t>
      </w:r>
    </w:p>
    <w:p>
      <w:pPr>
        <w:pStyle w:val="ListBullet"/>
        <w:spacing w:after="40"/>
      </w:pPr>
      <w:r>
        <w:rPr>
          <w:rFonts w:ascii="Calibri" w:hAnsi="Calibri" w:cs="Calibri" w:eastAsia="Calibri"/>
          <w:b w:val="0"/>
          <w:i w:val="0"/>
          <w:sz w:val="16"/>
          <w:szCs w:val="16"/>
        </w:rPr>
        <w:t>103. DE-STD-002  Incident Classification and Severity Standard  [Specialist-required] | A17</w:t>
      </w:r>
    </w:p>
    <w:p>
      <w:pPr>
        <w:pStyle w:val="ListBullet"/>
        <w:spacing w:after="40"/>
      </w:pPr>
      <w:r>
        <w:rPr>
          <w:rFonts w:ascii="Calibri" w:hAnsi="Calibri" w:cs="Calibri" w:eastAsia="Calibri"/>
          <w:b w:val="0"/>
          <w:i w:val="0"/>
          <w:sz w:val="16"/>
          <w:szCs w:val="16"/>
        </w:rPr>
        <w:t>104. DE-PRC-002  Security Event Triage and Analysis Procedure  [Specialist-required] | A22</w:t>
      </w:r>
    </w:p>
    <w:p>
      <w:pPr>
        <w:pStyle w:val="ListBullet"/>
        <w:spacing w:after="40"/>
      </w:pPr>
      <w:r>
        <w:rPr>
          <w:rFonts w:ascii="Calibri" w:hAnsi="Calibri" w:cs="Calibri" w:eastAsia="Calibri"/>
          <w:b w:val="0"/>
          <w:i w:val="0"/>
          <w:sz w:val="16"/>
          <w:szCs w:val="16"/>
        </w:rPr>
        <w:t>105. RS-PRC-001  Incident Handling Procedure  [Specialist-required] | A17</w:t>
      </w:r>
    </w:p>
    <w:p>
      <w:pPr>
        <w:pStyle w:val="ListBullet"/>
        <w:spacing w:after="40"/>
      </w:pPr>
      <w:r>
        <w:rPr>
          <w:rFonts w:ascii="Calibri" w:hAnsi="Calibri" w:cs="Calibri" w:eastAsia="Calibri"/>
          <w:b w:val="0"/>
          <w:i w:val="0"/>
          <w:sz w:val="16"/>
          <w:szCs w:val="16"/>
        </w:rPr>
        <w:t>106. RS-PLB-002  Phishing and Business Email Compromise Playbook  [Specialist-required] | A17</w:t>
      </w:r>
    </w:p>
    <w:p>
      <w:pPr>
        <w:pStyle w:val="ListBullet"/>
        <w:spacing w:after="40"/>
      </w:pPr>
      <w:r>
        <w:rPr>
          <w:rFonts w:ascii="Calibri" w:hAnsi="Calibri" w:cs="Calibri" w:eastAsia="Calibri"/>
          <w:b w:val="0"/>
          <w:i w:val="0"/>
          <w:sz w:val="16"/>
          <w:szCs w:val="16"/>
        </w:rPr>
        <w:t>107. RS-PLB-003  Personal Data Breach Response Playbook  [Specialist-guided] | A17</w:t>
      </w:r>
    </w:p>
    <w:p>
      <w:pPr>
        <w:pStyle w:val="ListBullet"/>
        <w:spacing w:after="40"/>
      </w:pPr>
      <w:r>
        <w:rPr>
          <w:rFonts w:ascii="Calibri" w:hAnsi="Calibri" w:cs="Calibri" w:eastAsia="Calibri"/>
          <w:b w:val="0"/>
          <w:i w:val="0"/>
          <w:sz w:val="16"/>
          <w:szCs w:val="16"/>
        </w:rPr>
        <w:t>108. RS-PLB-004  Compromised Account Playbook  [Specialist-required] | A17</w:t>
      </w:r>
    </w:p>
    <w:p>
      <w:pPr>
        <w:pStyle w:val="ListBullet"/>
        <w:spacing w:after="40"/>
      </w:pPr>
      <w:r>
        <w:rPr>
          <w:rFonts w:ascii="Calibri" w:hAnsi="Calibri" w:cs="Calibri" w:eastAsia="Calibri"/>
          <w:b w:val="0"/>
          <w:i w:val="0"/>
          <w:sz w:val="16"/>
          <w:szCs w:val="16"/>
        </w:rPr>
        <w:t>109. RS-PRC-002  Digital Forensics and Evidence Handling Procedure  [Specialist-required] | A17</w:t>
      </w:r>
    </w:p>
    <w:p>
      <w:pPr>
        <w:pStyle w:val="ListBullet"/>
        <w:spacing w:after="40"/>
      </w:pPr>
      <w:r>
        <w:rPr>
          <w:rFonts w:ascii="Calibri" w:hAnsi="Calibri" w:cs="Calibri" w:eastAsia="Calibri"/>
          <w:b w:val="0"/>
          <w:i w:val="0"/>
          <w:sz w:val="16"/>
          <w:szCs w:val="16"/>
        </w:rPr>
        <w:t>110. RS-FRM-002  Evidence Chain of Custody Form  [Specialist-required]</w:t>
      </w:r>
    </w:p>
    <w:p>
      <w:pPr>
        <w:pStyle w:val="ListBullet"/>
        <w:spacing w:after="40"/>
      </w:pPr>
      <w:r>
        <w:rPr>
          <w:rFonts w:ascii="Calibri" w:hAnsi="Calibri" w:cs="Calibri" w:eastAsia="Calibri"/>
          <w:b w:val="0"/>
          <w:i w:val="0"/>
          <w:sz w:val="16"/>
          <w:szCs w:val="16"/>
        </w:rPr>
        <w:t>111. RS-TPL-001  Incident Investigation Report Template  [Specialist-guided]</w:t>
      </w:r>
    </w:p>
    <w:p>
      <w:pPr>
        <w:pStyle w:val="ListBullet"/>
        <w:spacing w:after="40"/>
      </w:pPr>
      <w:r>
        <w:rPr>
          <w:rFonts w:ascii="Calibri" w:hAnsi="Calibri" w:cs="Calibri" w:eastAsia="Calibri"/>
          <w:b w:val="0"/>
          <w:i w:val="0"/>
          <w:sz w:val="16"/>
          <w:szCs w:val="16"/>
        </w:rPr>
        <w:t>112. RS-PRC-003  Incident Notification and Communication Procedure  [Specialist-required] | A03, A17</w:t>
      </w:r>
    </w:p>
    <w:p>
      <w:pPr>
        <w:pStyle w:val="ListBullet"/>
        <w:spacing w:after="40"/>
      </w:pPr>
      <w:r>
        <w:rPr>
          <w:rFonts w:ascii="Calibri" w:hAnsi="Calibri" w:cs="Calibri" w:eastAsia="Calibri"/>
          <w:b w:val="0"/>
          <w:i w:val="0"/>
          <w:sz w:val="16"/>
          <w:szCs w:val="16"/>
        </w:rPr>
        <w:t>113. RS-TPL-002  Regulatory Notification Templates  [Specialist-guided]</w:t>
      </w:r>
    </w:p>
    <w:p>
      <w:pPr>
        <w:pStyle w:val="ListBullet"/>
        <w:spacing w:after="40"/>
      </w:pPr>
      <w:r>
        <w:rPr>
          <w:rFonts w:ascii="Calibri" w:hAnsi="Calibri" w:cs="Calibri" w:eastAsia="Calibri"/>
          <w:b w:val="0"/>
          <w:i w:val="0"/>
          <w:sz w:val="16"/>
          <w:szCs w:val="16"/>
        </w:rPr>
        <w:t>114. RC-PLN-001  Business Continuity Plan (BCP)  [Specialist-required] | A07</w:t>
      </w:r>
    </w:p>
    <w:p>
      <w:pPr>
        <w:pStyle w:val="ListBullet"/>
        <w:spacing w:after="40"/>
      </w:pPr>
      <w:r>
        <w:rPr>
          <w:rFonts w:ascii="Calibri" w:hAnsi="Calibri" w:cs="Calibri" w:eastAsia="Calibri"/>
          <w:b w:val="0"/>
          <w:i w:val="0"/>
          <w:sz w:val="16"/>
          <w:szCs w:val="16"/>
        </w:rPr>
        <w:t>115. RC-PLN-002  IT Disaster Recovery Plan (DRP)  [Specialist-guided] | A18</w:t>
      </w:r>
    </w:p>
    <w:p>
      <w:pPr>
        <w:pStyle w:val="ListBullet"/>
        <w:spacing w:after="40"/>
      </w:pPr>
      <w:r>
        <w:rPr>
          <w:rFonts w:ascii="Calibri" w:hAnsi="Calibri" w:cs="Calibri" w:eastAsia="Calibri"/>
          <w:b w:val="0"/>
          <w:i w:val="0"/>
          <w:sz w:val="16"/>
          <w:szCs w:val="16"/>
        </w:rPr>
        <w:t>116. RC-PRC-001  System Recovery Runbook Template  [IT-ready] | A18</w:t>
      </w:r>
    </w:p>
    <w:p>
      <w:pPr>
        <w:pStyle w:val="ListBullet"/>
        <w:spacing w:after="40"/>
      </w:pPr>
      <w:r>
        <w:rPr>
          <w:rFonts w:ascii="Calibri" w:hAnsi="Calibri" w:cs="Calibri" w:eastAsia="Calibri"/>
          <w:b w:val="0"/>
          <w:i w:val="0"/>
          <w:sz w:val="16"/>
          <w:szCs w:val="16"/>
        </w:rPr>
        <w:t>117. RC-FRM-001  Recovery Completion and Sign-off Form  [IT-ready]</w:t>
      </w:r>
    </w:p>
    <w:p>
      <w:pPr>
        <w:pStyle w:val="ListBullet"/>
        <w:spacing w:after="40"/>
      </w:pPr>
      <w:r>
        <w:rPr>
          <w:rFonts w:ascii="Calibri" w:hAnsi="Calibri" w:cs="Calibri" w:eastAsia="Calibri"/>
          <w:b w:val="0"/>
          <w:i w:val="0"/>
          <w:sz w:val="16"/>
          <w:szCs w:val="16"/>
        </w:rPr>
        <w:t>118. RC-PRC-002  Crisis Communication Procedure  [Specialist-guided]</w:t>
      </w:r>
    </w:p>
    <w:p>
      <w:pPr>
        <w:pStyle w:val="ListBullet"/>
        <w:spacing w:after="40"/>
      </w:pPr>
      <w:r>
        <w:rPr>
          <w:rFonts w:ascii="Calibri" w:hAnsi="Calibri" w:cs="Calibri" w:eastAsia="Calibri"/>
          <w:b w:val="0"/>
          <w:i w:val="0"/>
          <w:sz w:val="16"/>
          <w:szCs w:val="16"/>
        </w:rPr>
        <w:t>119. RC-TPL-001  Public Statement and Stakeholder Update Templates  [IT-ready]</w:t>
      </w:r>
    </w:p>
    <w:p>
      <w:pPr>
        <w:spacing w:after="40" w:before="0"/>
      </w:pPr>
      <w:r>
        <w:rPr>
          <w:rFonts w:ascii="Calibri" w:hAnsi="Calibri" w:cs="Calibri" w:eastAsia="Calibri"/>
          <w:b/>
          <w:i w:val="0"/>
          <w:sz w:val="21"/>
          <w:szCs w:val="21"/>
          <w:bCs/>
        </w:rPr>
        <w:t>W4 Operate and Prove (Month 9 to 18): Run the processes, keep records, and test them through reviews, audits, and exercises.</w:t>
      </w:r>
    </w:p>
    <w:p>
      <w:pPr>
        <w:pStyle w:val="ListBullet"/>
        <w:spacing w:after="40"/>
      </w:pPr>
      <w:r>
        <w:rPr>
          <w:rFonts w:ascii="Calibri" w:hAnsi="Calibri" w:cs="Calibri" w:eastAsia="Calibri"/>
          <w:b w:val="0"/>
          <w:i w:val="0"/>
          <w:sz w:val="16"/>
          <w:szCs w:val="16"/>
        </w:rPr>
        <w:t>120. PR-REC-001  User Access Review Record  [IT-ready] | A19</w:t>
      </w:r>
    </w:p>
    <w:p>
      <w:pPr>
        <w:pStyle w:val="ListBullet"/>
        <w:spacing w:after="40"/>
      </w:pPr>
      <w:r>
        <w:rPr>
          <w:rFonts w:ascii="Calibri" w:hAnsi="Calibri" w:cs="Calibri" w:eastAsia="Calibri"/>
          <w:b w:val="0"/>
          <w:i w:val="0"/>
          <w:sz w:val="16"/>
          <w:szCs w:val="16"/>
        </w:rPr>
        <w:t>121. PR-REC-002  Training Completion Record  [IT-ready] | A23</w:t>
      </w:r>
    </w:p>
    <w:p>
      <w:pPr>
        <w:pStyle w:val="ListBullet"/>
        <w:spacing w:after="40"/>
      </w:pPr>
      <w:r>
        <w:rPr>
          <w:rFonts w:ascii="Calibri" w:hAnsi="Calibri" w:cs="Calibri" w:eastAsia="Calibri"/>
          <w:b w:val="0"/>
          <w:i w:val="0"/>
          <w:sz w:val="16"/>
          <w:szCs w:val="16"/>
        </w:rPr>
        <w:t>122. GV-PRC-006  Management Review Procedure  [Specialist-guided] | A24</w:t>
      </w:r>
    </w:p>
    <w:p>
      <w:pPr>
        <w:pStyle w:val="ListBullet"/>
        <w:spacing w:after="40"/>
      </w:pPr>
      <w:r>
        <w:rPr>
          <w:rFonts w:ascii="Calibri" w:hAnsi="Calibri" w:cs="Calibri" w:eastAsia="Calibri"/>
          <w:b w:val="0"/>
          <w:i w:val="0"/>
          <w:sz w:val="16"/>
          <w:szCs w:val="16"/>
        </w:rPr>
        <w:t>123. GV-REC-001  Management Review Minutes  [IT-ready] | A24</w:t>
      </w:r>
    </w:p>
    <w:p>
      <w:pPr>
        <w:pStyle w:val="ListBullet"/>
        <w:spacing w:after="40"/>
      </w:pPr>
      <w:r>
        <w:rPr>
          <w:rFonts w:ascii="Calibri" w:hAnsi="Calibri" w:cs="Calibri" w:eastAsia="Calibri"/>
          <w:b w:val="0"/>
          <w:i w:val="0"/>
          <w:sz w:val="16"/>
          <w:szCs w:val="16"/>
        </w:rPr>
        <w:t>124. GV-PRC-007  Internal Audit Procedure  [Specialist-required] | A25</w:t>
      </w:r>
    </w:p>
    <w:p>
      <w:pPr>
        <w:pStyle w:val="ListBullet"/>
        <w:spacing w:after="40"/>
      </w:pPr>
      <w:r>
        <w:rPr>
          <w:rFonts w:ascii="Calibri" w:hAnsi="Calibri" w:cs="Calibri" w:eastAsia="Calibri"/>
          <w:b w:val="0"/>
          <w:i w:val="0"/>
          <w:sz w:val="16"/>
          <w:szCs w:val="16"/>
        </w:rPr>
        <w:t>125. GV-PLN-002  Internal Audit Program  [Specialist-required] | A25</w:t>
      </w:r>
    </w:p>
    <w:p>
      <w:pPr>
        <w:pStyle w:val="ListBullet"/>
        <w:spacing w:after="40"/>
      </w:pPr>
      <w:r>
        <w:rPr>
          <w:rFonts w:ascii="Calibri" w:hAnsi="Calibri" w:cs="Calibri" w:eastAsia="Calibri"/>
          <w:b w:val="0"/>
          <w:i w:val="0"/>
          <w:sz w:val="16"/>
          <w:szCs w:val="16"/>
        </w:rPr>
        <w:t>126. GV-TPL-006  Internal Audit Report Template  [Specialist-guided]</w:t>
      </w:r>
    </w:p>
    <w:p>
      <w:pPr>
        <w:pStyle w:val="ListBullet"/>
        <w:spacing w:after="40"/>
      </w:pPr>
      <w:r>
        <w:rPr>
          <w:rFonts w:ascii="Calibri" w:hAnsi="Calibri" w:cs="Calibri" w:eastAsia="Calibri"/>
          <w:b w:val="0"/>
          <w:i w:val="0"/>
          <w:sz w:val="16"/>
          <w:szCs w:val="16"/>
        </w:rPr>
        <w:t>127. ID-PRC-006  Continual Improvement and Corrective Action Procedure  [IT-ready]</w:t>
      </w:r>
    </w:p>
    <w:p>
      <w:pPr>
        <w:pStyle w:val="ListBullet"/>
        <w:spacing w:after="40"/>
      </w:pPr>
      <w:r>
        <w:rPr>
          <w:rFonts w:ascii="Calibri" w:hAnsi="Calibri" w:cs="Calibri" w:eastAsia="Calibri"/>
          <w:b w:val="0"/>
          <w:i w:val="0"/>
          <w:sz w:val="16"/>
          <w:szCs w:val="16"/>
        </w:rPr>
        <w:t>128. ID-REG-007  Corrective Action and Improvement Register  [IT-ready]</w:t>
      </w:r>
    </w:p>
    <w:p>
      <w:pPr>
        <w:pStyle w:val="ListBullet"/>
        <w:spacing w:after="40"/>
      </w:pPr>
      <w:r>
        <w:rPr>
          <w:rFonts w:ascii="Calibri" w:hAnsi="Calibri" w:cs="Calibri" w:eastAsia="Calibri"/>
          <w:b w:val="0"/>
          <w:i w:val="0"/>
          <w:sz w:val="16"/>
          <w:szCs w:val="16"/>
        </w:rPr>
        <w:t>129. ID-PLN-002  Cybersecurity Exercise and Testing Program  [Specialist-guided] | A20, A21</w:t>
      </w:r>
    </w:p>
    <w:p>
      <w:pPr>
        <w:pStyle w:val="ListBullet"/>
        <w:spacing w:after="40"/>
      </w:pPr>
      <w:r>
        <w:rPr>
          <w:rFonts w:ascii="Calibri" w:hAnsi="Calibri" w:cs="Calibri" w:eastAsia="Calibri"/>
          <w:b w:val="0"/>
          <w:i w:val="0"/>
          <w:sz w:val="16"/>
          <w:szCs w:val="16"/>
        </w:rPr>
        <w:t>130. ID-TPL-001  Lessons Learned Report Template  [Specialist-guided] | A29</w:t>
      </w:r>
    </w:p>
    <w:p>
      <w:pPr>
        <w:pStyle w:val="ListBullet"/>
        <w:spacing w:after="40"/>
      </w:pPr>
      <w:r>
        <w:rPr>
          <w:rFonts w:ascii="Calibri" w:hAnsi="Calibri" w:cs="Calibri" w:eastAsia="Calibri"/>
          <w:b w:val="0"/>
          <w:i w:val="0"/>
          <w:sz w:val="16"/>
          <w:szCs w:val="16"/>
        </w:rPr>
        <w:t>131. RC-REC-001  BCP and DR Exercise Report  [Specialist-guided] | A21</w:t>
      </w:r>
    </w:p>
    <w:p>
      <w:pPr>
        <w:pStyle w:val="ListBullet"/>
        <w:spacing w:after="40"/>
      </w:pPr>
      <w:r>
        <w:rPr>
          <w:rFonts w:ascii="Calibri" w:hAnsi="Calibri" w:cs="Calibri" w:eastAsia="Calibri"/>
          <w:b w:val="0"/>
          <w:i w:val="0"/>
          <w:sz w:val="16"/>
          <w:szCs w:val="16"/>
        </w:rPr>
        <w:t>132. GV-FRM-007  Supplier Offboarding Checklist  [IT-ready]</w:t>
      </w:r>
    </w:p>
    <w:p>
      <w:pPr>
        <w:pStyle w:val="ListBullet"/>
        <w:spacing w:after="40"/>
      </w:pPr>
      <w:r>
        <w:rPr>
          <w:rFonts w:ascii="Calibri" w:hAnsi="Calibri" w:cs="Calibri" w:eastAsia="Calibri"/>
          <w:b w:val="0"/>
          <w:i w:val="0"/>
          <w:sz w:val="16"/>
          <w:szCs w:val="16"/>
        </w:rPr>
        <w:t>133. DE-REG-002  Detection Use Case Catalog  [Specialist-required] | A22</w:t>
      </w:r>
    </w:p>
    <w:p>
      <w:pPr>
        <w:spacing w:after="40" w:before="0"/>
      </w:pPr>
      <w:r>
        <w:rPr>
          <w:rFonts w:ascii="Calibri" w:hAnsi="Calibri" w:cs="Calibri" w:eastAsia="Calibri"/>
          <w:b/>
          <w:i w:val="0"/>
          <w:sz w:val="21"/>
          <w:szCs w:val="21"/>
          <w:bCs/>
        </w:rPr>
        <w:t>W5 Optimize (Month 18 onward): Add advanced capabilities once the basics run reliably.</w:t>
      </w:r>
    </w:p>
    <w:p>
      <w:pPr>
        <w:pStyle w:val="ListBullet"/>
        <w:spacing w:after="40"/>
      </w:pPr>
      <w:r>
        <w:rPr>
          <w:rFonts w:ascii="Calibri" w:hAnsi="Calibri" w:cs="Calibri" w:eastAsia="Calibri"/>
          <w:b w:val="0"/>
          <w:i w:val="0"/>
          <w:sz w:val="16"/>
          <w:szCs w:val="16"/>
        </w:rPr>
        <w:t>134. GV-TPL-001  Cybersecurity Job Description Templates  [IT-ready]</w:t>
      </w:r>
    </w:p>
    <w:p>
      <w:pPr>
        <w:pStyle w:val="ListBullet"/>
        <w:spacing w:after="40"/>
      </w:pPr>
      <w:r>
        <w:rPr>
          <w:rFonts w:ascii="Calibri" w:hAnsi="Calibri" w:cs="Calibri" w:eastAsia="Calibri"/>
          <w:b w:val="0"/>
          <w:i w:val="0"/>
          <w:sz w:val="16"/>
          <w:szCs w:val="16"/>
        </w:rPr>
        <w:t>135. GV-POL-005  Generative AI Acceptable Use Policy  [Specialist-guided] | A13, A14</w:t>
      </w:r>
    </w:p>
    <w:p>
      <w:pPr>
        <w:pStyle w:val="ListBullet"/>
        <w:spacing w:after="40"/>
      </w:pPr>
      <w:r>
        <w:rPr>
          <w:rFonts w:ascii="Calibri" w:hAnsi="Calibri" w:cs="Calibri" w:eastAsia="Calibri"/>
          <w:b w:val="0"/>
          <w:i w:val="0"/>
          <w:sz w:val="16"/>
          <w:szCs w:val="16"/>
        </w:rPr>
        <w:t>136. PR-PRC-004  Phishing Simulation Procedure  [IT-ready] | A23</w:t>
      </w:r>
    </w:p>
    <w:p>
      <w:pPr>
        <w:pStyle w:val="ListBullet"/>
        <w:spacing w:after="40"/>
      </w:pPr>
      <w:r>
        <w:rPr>
          <w:rFonts w:ascii="Calibri" w:hAnsi="Calibri" w:cs="Calibri" w:eastAsia="Calibri"/>
          <w:b w:val="0"/>
          <w:i w:val="0"/>
          <w:sz w:val="16"/>
          <w:szCs w:val="16"/>
        </w:rPr>
        <w:t>137. PR-STD-008  Data Loss Prevention Standard  [Specialist-required]</w:t>
      </w:r>
    </w:p>
    <w:p>
      <w:pPr>
        <w:pStyle w:val="ListBullet"/>
        <w:spacing w:after="40"/>
      </w:pPr>
      <w:r>
        <w:rPr>
          <w:rFonts w:ascii="Calibri" w:hAnsi="Calibri" w:cs="Calibri" w:eastAsia="Calibri"/>
          <w:b w:val="0"/>
          <w:i w:val="0"/>
          <w:sz w:val="16"/>
          <w:szCs w:val="16"/>
        </w:rPr>
        <w:t>138. PR-STD-015  OT and Medical Device Security Standard  [Specialist-required] | A15</w:t>
      </w:r>
    </w:p>
    <w:p>
      <w:pPr>
        <w:pStyle w:val="ListBullet"/>
        <w:spacing w:after="40"/>
      </w:pPr>
      <w:r>
        <w:rPr>
          <w:rFonts w:ascii="Calibri" w:hAnsi="Calibri" w:cs="Calibri" w:eastAsia="Calibri"/>
          <w:b w:val="0"/>
          <w:i w:val="0"/>
          <w:sz w:val="16"/>
          <w:szCs w:val="16"/>
        </w:rPr>
        <w:t>139. ID-PRC-004  Threat Intelligence Procedure  [Specialist-required]</w:t>
      </w:r>
    </w:p>
    <w:p>
      <w:pPr>
        <w:pStyle w:val="ListBullet"/>
        <w:spacing w:after="40"/>
      </w:pPr>
      <w:r>
        <w:rPr>
          <w:rFonts w:ascii="Calibri" w:hAnsi="Calibri" w:cs="Calibri" w:eastAsia="Calibri"/>
          <w:b w:val="0"/>
          <w:i w:val="0"/>
          <w:sz w:val="16"/>
          <w:szCs w:val="16"/>
        </w:rPr>
        <w:t>140. ID-PRC-005  Vulnerability Disclosure Handling Procedure  [Specialist-guided]</w:t>
      </w:r>
    </w:p>
    <w:p>
      <w:pPr>
        <w:pStyle w:val="ListBullet"/>
        <w:spacing w:after="40"/>
      </w:pPr>
      <w:r>
        <w:rPr>
          <w:rFonts w:ascii="Calibri" w:hAnsi="Calibri" w:cs="Calibri" w:eastAsia="Calibri"/>
          <w:b w:val="0"/>
          <w:i w:val="0"/>
          <w:sz w:val="16"/>
          <w:szCs w:val="16"/>
        </w:rPr>
        <w:t>141. DE-PRC-003  Threat Hunting Procedure  [Specialist-required]</w:t>
      </w:r>
    </w:p>
    <w:p>
      <w:pPr>
        <w:pStyle w:val="ListBullet"/>
        <w:spacing w:after="40"/>
      </w:pPr>
      <w:r>
        <w:rPr>
          <w:rFonts w:ascii="Calibri" w:hAnsi="Calibri" w:cs="Calibri" w:eastAsia="Calibri"/>
          <w:b w:val="0"/>
          <w:i w:val="0"/>
          <w:sz w:val="16"/>
          <w:szCs w:val="16"/>
        </w:rPr>
        <w:t>142. RC-PLN-003  Crisis Management Plan  [Specialist-guided] | A20</w:t>
      </w:r>
    </w:p>
    <w:p>
      <w:pPr>
        <w:spacing w:after="80" w:before="0"/>
      </w:pPr>
      <w:r>
        <w:rPr>
          <w:rFonts w:ascii="Calibri" w:hAnsi="Calibri" w:cs="Calibri" w:eastAsia="Calibri"/>
          <w:b w:val="0"/>
          <w:i w:val="0"/>
          <w:sz w:val="18"/>
          <w:szCs w:val="18"/>
        </w:rPr>
        <w:t>Principle: run parallel tracks. Do not wait for the full policy set before starting backup, MFA, and incident readiness work.</w:t>
      </w:r>
    </w:p>
    <w:p>
      <w:pPr>
        <w:pStyle w:val="Heading1"/>
        <w:keepNext/>
        <w:spacing w:before="200" w:after="80"/>
      </w:pPr>
      <w:r>
        <w:rPr>
          <w:rFonts w:ascii="Calibri" w:hAnsi="Calibri" w:cs="Calibri" w:eastAsia="Calibri"/>
          <w:b/>
          <w:i w:val="0"/>
          <w:color w:val="1F3864"/>
          <w:sz w:val="29"/>
          <w:szCs w:val="29"/>
          <w:bCs/>
        </w:rPr>
        <w:t>7. Steps to Tailor Each Document</w:t>
      </w:r>
    </w:p>
    <w:p>
      <w:pPr>
        <w:pStyle w:val="ListNumber"/>
        <w:spacing w:after="40"/>
      </w:pPr>
      <w:r>
        <w:rPr>
          <w:rFonts w:ascii="Calibri" w:hAnsi="Calibri" w:cs="Calibri" w:eastAsia="Calibri"/>
          <w:b w:val="0"/>
          <w:i w:val="0"/>
          <w:sz w:val="21"/>
          <w:szCs w:val="21"/>
        </w:rPr>
        <w:t>Replace text in square brackets, such as [Organization Name] and role names.</w:t>
      </w:r>
    </w:p>
    <w:p>
      <w:pPr>
        <w:pStyle w:val="ListNumber"/>
        <w:spacing w:after="40"/>
      </w:pPr>
      <w:r>
        <w:rPr>
          <w:rFonts w:ascii="Calibri" w:hAnsi="Calibri" w:cs="Calibri" w:eastAsia="Calibri"/>
          <w:b w:val="0"/>
          <w:i w:val="0"/>
          <w:sz w:val="21"/>
          <w:szCs w:val="21"/>
        </w:rPr>
        <w:t>Adjust recommended values in standards (for example, remediation timelines) to match risk and resources.</w:t>
      </w:r>
    </w:p>
    <w:p>
      <w:pPr>
        <w:pStyle w:val="ListNumber"/>
        <w:spacing w:after="40"/>
      </w:pPr>
      <w:r>
        <w:rPr>
          <w:rFonts w:ascii="Calibri" w:hAnsi="Calibri" w:cs="Calibri" w:eastAsia="Calibri"/>
          <w:b w:val="0"/>
          <w:i w:val="0"/>
          <w:sz w:val="21"/>
          <w:szCs w:val="21"/>
        </w:rPr>
        <w:t>Check every [VERIFY] item against current regulations with Legal Counsel.</w:t>
      </w:r>
    </w:p>
    <w:p>
      <w:pPr>
        <w:pStyle w:val="ListNumber"/>
        <w:spacing w:after="40"/>
      </w:pPr>
      <w:r>
        <w:rPr>
          <w:rFonts w:ascii="Calibri" w:hAnsi="Calibri" w:cs="Calibri" w:eastAsia="Calibri"/>
          <w:b w:val="0"/>
          <w:i w:val="0"/>
          <w:sz w:val="21"/>
          <w:szCs w:val="21"/>
        </w:rPr>
        <w:t>Delete the requirement boxes and the how-to note before issue.</w:t>
      </w:r>
    </w:p>
    <w:p>
      <w:pPr>
        <w:pStyle w:val="ListNumber"/>
        <w:spacing w:after="40"/>
      </w:pPr>
      <w:r>
        <w:rPr>
          <w:rFonts w:ascii="Calibri" w:hAnsi="Calibri" w:cs="Calibri" w:eastAsia="Calibri"/>
          <w:b w:val="0"/>
          <w:i w:val="0"/>
          <w:sz w:val="21"/>
          <w:szCs w:val="21"/>
        </w:rPr>
        <w:t>Approve according to the matrix in GV-PRC-002 and record in the document register.</w:t>
      </w:r>
    </w:p>
    <w:p>
      <w:pPr>
        <w:pStyle w:val="ListNumber"/>
        <w:spacing w:after="40"/>
      </w:pPr>
      <w:r>
        <w:rPr>
          <w:rFonts w:ascii="Calibri" w:hAnsi="Calibri" w:cs="Calibri" w:eastAsia="Calibri"/>
          <w:b w:val="0"/>
          <w:i w:val="0"/>
          <w:sz w:val="21"/>
          <w:szCs w:val="21"/>
        </w:rPr>
        <w:t>Communicate and train affected staff, and keep evidence.</w:t>
      </w:r>
    </w:p>
    <w:p>
      <w:pPr>
        <w:pStyle w:val="Heading1"/>
        <w:keepNext/>
        <w:spacing w:before="200" w:after="80"/>
      </w:pPr>
      <w:r>
        <w:rPr>
          <w:rFonts w:ascii="Calibri" w:hAnsi="Calibri" w:cs="Calibri" w:eastAsia="Calibri"/>
          <w:b/>
          <w:i w:val="0"/>
          <w:color w:val="1F3864"/>
          <w:sz w:val="29"/>
          <w:szCs w:val="29"/>
          <w:bCs/>
        </w:rPr>
        <w:t>8. Sector Notes</w:t>
      </w:r>
    </w:p>
    <w:tbl>
      <w:tblPr>
        <w:tblStyle w:val="TableGrid"/>
        <w:tblW w:type="auto" w:w="0"/>
        <w:jc w:val="center"/>
        <w:tblLayout w:type="fixed"/>
        <w:tblLook w:firstColumn="1" w:firstRow="1" w:lastColumn="0" w:lastRow="0" w:noHBand="0" w:noVBand="1" w:val="04A0"/>
        <w:tblLayout w:type="fixed"/>
      </w:tblPr>
      <w:tblGrid>
        <w:gridCol w:w="1984"/>
        <w:gridCol w:w="7371"/>
      </w:tblGrid>
      <w:tr>
        <w:trPr>
          <w:tblHeader w:val="true"/>
        </w:trPr>
        <w:tc>
          <w:tcPr>
            <w:tcW w:type="dxa" w:w="1984"/>
            <w:shd w:val="clear" w:color="auto" w:fill="1F3864"/>
          </w:tcPr>
          <w:p>
            <w:r/>
            <w:r>
              <w:rPr>
                <w:rFonts w:ascii="Calibri" w:hAnsi="Calibri" w:cs="Calibri" w:eastAsia="Calibri"/>
                <w:b/>
                <w:i w:val="0"/>
                <w:color w:val="FFFFFF"/>
                <w:sz w:val="18"/>
                <w:szCs w:val="18"/>
                <w:bCs/>
              </w:rPr>
              <w:t>Sector</w:t>
            </w:r>
          </w:p>
        </w:tc>
        <w:tc>
          <w:tcPr>
            <w:tcW w:type="dxa" w:w="7370"/>
            <w:shd w:val="clear" w:color="auto" w:fill="1F3864"/>
          </w:tcPr>
          <w:p>
            <w:r/>
            <w:r>
              <w:rPr>
                <w:rFonts w:ascii="Calibri" w:hAnsi="Calibri" w:cs="Calibri" w:eastAsia="Calibri"/>
                <w:b/>
                <w:i w:val="0"/>
                <w:color w:val="FFFFFF"/>
                <w:sz w:val="18"/>
                <w:szCs w:val="18"/>
                <w:bCs/>
              </w:rPr>
              <w:t>Additional considerations</w:t>
            </w:r>
          </w:p>
        </w:tc>
      </w:tr>
      <w:tr>
        <w:tc>
          <w:tcPr>
            <w:tcW w:type="dxa" w:w="1984"/>
          </w:tcPr>
          <w:p>
            <w:r/>
            <w:r>
              <w:rPr>
                <w:rFonts w:ascii="Calibri" w:hAnsi="Calibri" w:cs="Calibri" w:eastAsia="Calibri"/>
                <w:b w:val="0"/>
                <w:i w:val="0"/>
                <w:sz w:val="18"/>
                <w:szCs w:val="18"/>
              </w:rPr>
              <w:t>Healthcare</w:t>
            </w:r>
          </w:p>
        </w:tc>
        <w:tc>
          <w:tcPr>
            <w:tcW w:type="dxa" w:w="7370"/>
          </w:tcPr>
          <w:p>
            <w:r/>
            <w:r>
              <w:rPr>
                <w:rFonts w:ascii="Calibri" w:hAnsi="Calibri" w:cs="Calibri" w:eastAsia="Calibri"/>
                <w:b w:val="0"/>
                <w:i w:val="0"/>
                <w:sz w:val="18"/>
                <w:szCs w:val="18"/>
              </w:rPr>
              <w:t>Hospital Accreditation (HA), the Ministry of Public Health as CII regulator [VERIFY], medical devices (ID-REG-004, PR-STD-015), and health data under PDPA s.26.</w:t>
            </w:r>
          </w:p>
        </w:tc>
      </w:tr>
      <w:tr>
        <w:tc>
          <w:tcPr>
            <w:tcW w:type="dxa" w:w="1984"/>
          </w:tcPr>
          <w:p>
            <w:r/>
            <w:r>
              <w:rPr>
                <w:rFonts w:ascii="Calibri" w:hAnsi="Calibri" w:cs="Calibri" w:eastAsia="Calibri"/>
                <w:b w:val="0"/>
                <w:i w:val="0"/>
                <w:sz w:val="18"/>
                <w:szCs w:val="18"/>
              </w:rPr>
              <w:t>Financial services</w:t>
            </w:r>
          </w:p>
        </w:tc>
        <w:tc>
          <w:tcPr>
            <w:tcW w:type="dxa" w:w="7370"/>
          </w:tcPr>
          <w:p>
            <w:r/>
            <w:r>
              <w:rPr>
                <w:rFonts w:ascii="Calibri" w:hAnsi="Calibri" w:cs="Calibri" w:eastAsia="Calibri"/>
                <w:b w:val="0"/>
                <w:i w:val="0"/>
                <w:sz w:val="18"/>
                <w:szCs w:val="18"/>
              </w:rPr>
              <w:t>Bank of Thailand IT risk management notifications and SEC IT system standards [VERIFY current versions]; usually stricter continuity testing and reporting.</w:t>
            </w:r>
          </w:p>
        </w:tc>
      </w:tr>
      <w:tr>
        <w:tc>
          <w:tcPr>
            <w:tcW w:type="dxa" w:w="1984"/>
          </w:tcPr>
          <w:p>
            <w:r/>
            <w:r>
              <w:rPr>
                <w:rFonts w:ascii="Calibri" w:hAnsi="Calibri" w:cs="Calibri" w:eastAsia="Calibri"/>
                <w:b w:val="0"/>
                <w:i w:val="0"/>
                <w:sz w:val="18"/>
                <w:szCs w:val="18"/>
              </w:rPr>
              <w:t>Manufacturing</w:t>
            </w:r>
          </w:p>
        </w:tc>
        <w:tc>
          <w:tcPr>
            <w:tcW w:type="dxa" w:w="7370"/>
          </w:tcPr>
          <w:p>
            <w:r/>
            <w:r>
              <w:rPr>
                <w:rFonts w:ascii="Calibri" w:hAnsi="Calibri" w:cs="Calibri" w:eastAsia="Calibri"/>
                <w:b w:val="0"/>
                <w:i w:val="0"/>
                <w:sz w:val="18"/>
                <w:szCs w:val="18"/>
              </w:rPr>
              <w:t>OT security under IEC 62443 and NIST SP 800-82 Rev. 3, IT and OT network separation, and operational safety.</w:t>
            </w:r>
          </w:p>
        </w:tc>
      </w:tr>
    </w:tbl>
    <w:p>
      <w:pPr>
        <w:spacing w:after="40"/>
      </w:pPr>
    </w:p>
    <w:p>
      <w:pPr>
        <w:pStyle w:val="Heading1"/>
        <w:keepNext/>
        <w:spacing w:before="200" w:after="80"/>
      </w:pPr>
      <w:r>
        <w:rPr>
          <w:rFonts w:ascii="Calibri" w:hAnsi="Calibri" w:cs="Calibri" w:eastAsia="Calibri"/>
          <w:b/>
          <w:i w:val="0"/>
          <w:color w:val="1F3864"/>
          <w:sz w:val="29"/>
          <w:szCs w:val="29"/>
          <w:bCs/>
        </w:rPr>
        <w:t>9. Disclaimer</w:t>
      </w:r>
    </w:p>
    <w:p>
      <w:pPr>
        <w:spacing w:after="80" w:before="0"/>
      </w:pPr>
      <w:r>
        <w:rPr>
          <w:rFonts w:ascii="Calibri" w:hAnsi="Calibri" w:cs="Calibri" w:eastAsia="Calibri"/>
          <w:b w:val="0"/>
          <w:i w:val="0"/>
          <w:sz w:val="21"/>
          <w:szCs w:val="21"/>
        </w:rPr>
        <w:t>This pack is a sample for learning and advisory use and is not legal advice. Tailor it to the organization and confirm current regulations before use. It cites ISO clause numbers only and does not reproduce ISO text. CMC is a fictional organization.</w:t>
      </w:r>
    </w:p>
    <w:sectPr w:rsidR="00FC693F" w:rsidRPr="0006063C" w:rsidSect="00034616">
      <w:footerReference w:type="default" r:id="rId9"/>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Page </w:t>
    </w:r>
    <w:r>
      <w:rPr>
        <w:rFonts w:ascii="Calibri" w:hAnsi="Calibri" w:cs="Calibri" w:eastAsia="Calibri"/>
        <w:color w:val="595959"/>
        <w:sz w:val="16"/>
        <w:szCs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