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ทะเบียนข้อยกเว้นการปฏิบัติตามนโยบาย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GV-REG-004  |  ทะเบียน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ทะเบียนข้อยกเว้นการปฏิบัติตามนโยบาย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ทุกไตรมาส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ทะเบียน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ทะเบียนนี้บันทึกข้อยกเว้นที่ได้รับอนุมัติทุกรายการ พร้อมมาตรการชดเชย เจ้าของ และวันหมดอายุ เพื่อให้ผู้บริหารเห็นการเบี่ยงเบนที่ยอมรับทั้งหมดในที่เดียว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ทะเบียนนี้ใช้โดยหน่วยงานและบทบาทที่ระบุในเอกสารแม่ (GV-PRC-003)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คำอธิบายคอลัมน์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กำหนดทุกคอลัมน์ ความหมาย และค่าที่อนุญาต เพื่อให้รายการมีความสม่ำเสมอและเปรียบเทียบได้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คอลัมน์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ตัวอย่าง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รหัสข้อยกเว้น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จาก GV-FRM-004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EXC-2026-001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นโยบายหรือมาตรฐาน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รหัสเอกสารและข้อ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PR-STD-001 4.2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ทรัพย์สินหรือขอบเขต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ระบบที่เกี่ยวข้อง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SRV-APP-014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มาตรการชดเชย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สรุปมาตรการ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แยก VLAN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ความเสี่ยงคงเหลือ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ต่ำ ปานกลาง สูง วิกฤต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ปานกลาง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เจ้าของความเสี่ยง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เจ้าของธุรกิจที่รับผิดชอบ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ผู้อำนวยการฝ่ายการเงิน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ผู้อนุมัติและวันที่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ตามตารางอำนาจอนุมัติ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CIO, 01/07/2026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วันหมดอายุ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สูงสุด 12 เดือน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31/12/2026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สถานะ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เปิด ต่ออายุ ปิด หมดอายุ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เปิด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รหัสความเสี่ยงที่เชื่อมโยง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รายการใน ID-REG-005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R-014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ตัวอย่างรายการ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3"/>
        <w:gridCol w:w="1513"/>
        <w:gridCol w:w="1513"/>
        <w:gridCol w:w="1513"/>
        <w:gridCol w:w="1513"/>
        <w:gridCol w:w="1513"/>
        <w:gridCol w:w="1513"/>
        <w:gridCol w:w="1513"/>
        <w:gridCol w:w="1513"/>
        <w:gridCol w:w="1513"/>
      </w:tblGrid>
      <w:tr>
        <w:trPr>
          <w:tblHeader w:val="true"/>
        </w:trPr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รหัสข้อยกเว้น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นโยบายหรือมาตรฐาน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ทรัพย์สินหรือขอบเขต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มาตรการชดเชย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ความเสี่ยงคงเหลือ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เจ้าของความเสี่ยง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ผู้อนุมัติและวันที่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วันหมดอายุ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สถานะ</w:t>
            </w:r>
          </w:p>
        </w:tc>
        <w:tc>
          <w:tcPr>
            <w:tcW w:type="dxa" w:w="15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4"/>
                <w:szCs w:val="24"/>
                <w:bCs/>
              </w:rPr>
              <w:t>รหัสความเสี่ยงที่เชื่อมโยง</w:t>
            </w:r>
          </w:p>
        </w:tc>
      </w:tr>
      <w:tr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EXC-2026-001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PR-STD-001 4.2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SRV-APP-014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แยก VLAN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ปานกลาง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ผู้อำนวยการฝ่ายการเงิน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CIO, 01/07/2026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31/12/2026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เปิด</w:t>
            </w:r>
          </w:p>
        </w:tc>
        <w:tc>
          <w:tcPr>
            <w:tcW w:type="dxa" w:w="15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4"/>
                <w:szCs w:val="24"/>
              </w:rPr>
              <w:t>R-014</w:t>
            </w:r>
          </w:p>
        </w:tc>
      </w:tr>
      <w:tr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</w:tr>
      <w:tr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  <w:tc>
          <w:tcPr>
            <w:tcW w:type="dxa" w:w="1514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บันทึกการเปลี่ยนแปลงทะเบียน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บันทึกการเปลี่ยนแปลงของทะเบียน (การเพิ่ม การปิด และการทบทวนตามรอบ) เพื่อให้ผู้ตรวจสอบเห็นพัฒนาการของทะเบียน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4989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[รายการที่เพิ่ม แก้ไข หรือปิด หรือผลการทบทวน]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ทบทวนทะเบียนทุกเดือน และยกระดับข้อยกเว้นที่เลยวันหมดอายุไปยังผู้อนุมัติ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แสดงจำนวนข้อยกเว้นและอายุของข้อยกเว้นเป็น KRI บนแดชบอร์ดด้านความมั่นคงปลอดภัย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เก็บทะเบียนไว้ในไฟล์ส่วนตัวที่มีเพียงคนเดียวแก้ไขได้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ID.RA-07: บริหาร ประเมินผลกระทบด้านความเสี่ยง บันทึก และติดตามการเปลี่ยนแปลงและข้อยกเว้น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GV.OV-02: ทบทวนและปรับกลยุทธ์การบริหารความเสี่ยงให้ครอบคลุมข้อกำหนดและความเสี่ยง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RA-7, PM-4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5.36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GV-PRC-003: ระเบียบปฏิบัติการขอยกเว้นการปฏิบัติตามนโยบาย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GV-REG-004  |  ทะเบียนข้อยกเว้นการปฏิบัติตามนโยบาย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