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H Sarabun New" w:hAnsi="TH Sarabun New" w:cs="TH Sarabun New" w:eastAsia="TH Sarabun New"/>
          <w:b/>
          <w:i w:val="0"/>
          <w:color w:val="595959"/>
          <w:sz w:val="32"/>
          <w:szCs w:val="32"/>
          <w:bCs/>
        </w:rPr>
        <w:t>[ชื่อองค์กร]</w:t>
      </w: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48"/>
          <w:szCs w:val="48"/>
          <w:bCs/>
        </w:rPr>
        <w:t>นโยบายความมั่นคงปลอดภัยด้านผู้ให้บริการภายนอกและห่วงโซ่อุปทาน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color w:val="595959"/>
          <w:sz w:val="26"/>
          <w:szCs w:val="26"/>
        </w:rPr>
        <w:t>GV-POL-006  |  นโยบาย  |  การบริหารความเสี่ยงห่วงโซ่อุปทานด้านไซเบอร์ (GV.SC)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วิธีใช้แม่แบบนี้: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แทนที่ข้อความในวงเล็บเหลี่ยมด้วยข้อมูลขององค์กร คงทุกหัวข้อในส่วน A ไว้เพราะเป็นข้อกำหนดขั้นต่ำ ใช้ส่วน B เพื่อยกระดับความพร้อม ลบกล่องข้อกำหนดสีฟ้าและหมายเหตุนี้ก่อนประกาศใช้ แม่แบบนี้เป็นตัวอย่างและไม่ใช่คำปรึกษาทางกฎหมาย ให้ตรวจสอบรายการที่ระบุ [VERIFY] กับกฎระเบียบไทยฉบับปัจจุบันก่อนใช้งาน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1. การควบคุมเอกสาร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รหัสเอกสาร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GV-POL-006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ชื่อเอกสาร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นโยบายความมั่นคงปลอดภัยด้านผู้ให้บริการภายนอกและห่วงโซ่อุปทาน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ฉบับที่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1.0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สถานะ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แม่แบบ (ยังไม่ได้อนุมัติ)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ระดับชั้นความลับ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ใช้ภายใน (Internal)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เจ้าของเอกสาร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ผู้บริหารด้านความมั่นคงปลอดภัยสารสนเทศ (CISO) หรือ Security Manager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ผู้อนุมัติ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ประธานเจ้าหน้าที่บริหาร (CEO)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วันที่มีผลบังคับใช้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[วว เดือน ปปปป]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รอบการทบทวน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ทุกปี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วันที่ทบทวนครั้งถัดไป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[วว เดือน ปปปป]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2. ข้อมูลประจำเอกสาร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ชั้นเอกสาร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ชั้นที่ 1: นโยบาย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ประเภทเอกสาร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นโยบาย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CSF Function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กำกับดูแล (Govern, GV)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CSF Category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การบริหารความเสี่ยงห่วงโซ่อุปทานด้านไซเบอร์ (GV.SC)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ระดับความจำเป็น (Level)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คาดหวัง (Expected)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เงื่อนไขที่ทำให้บังคับ (Trigger)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ทุกองค์กร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แหล่งอ้างอิง (Basis)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ISO/IEC 27001:2022 Annex A 5.19; NIST SP 800-161 Rev. 1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ISO/IEC 27002 theme และ Tag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องค์กร (Organizational, A.5); Tag: กระบวนการ, บุคคลภายนอก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ชุดเอกสาร (Package)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จำเป็นขั้นต้น (Essential)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3. ประวัติการแก้ไข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07"/>
        <w:gridCol w:w="1587"/>
        <w:gridCol w:w="3742"/>
        <w:gridCol w:w="1587"/>
        <w:gridCol w:w="1530"/>
      </w:tblGrid>
      <w:tr>
        <w:trPr>
          <w:tblHeader w:val="true"/>
        </w:trPr>
        <w:tc>
          <w:tcPr>
            <w:tcW w:type="dxa" w:w="907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ฉบับที่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วันที่</w:t>
            </w:r>
          </w:p>
        </w:tc>
        <w:tc>
          <w:tcPr>
            <w:tcW w:type="dxa" w:w="3742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รายละเอียดการแก้ไข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ผู้จัดทำ</w:t>
            </w:r>
          </w:p>
        </w:tc>
        <w:tc>
          <w:tcPr>
            <w:tcW w:type="dxa" w:w="1531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ผู้อนุมัติ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1.0</w:t>
            </w:r>
          </w:p>
        </w:tc>
        <w:tc>
          <w:tcPr>
            <w:tcW w:type="dxa" w:w="158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[วว เดือน ปปปป]</w:t>
            </w:r>
          </w:p>
        </w:tc>
        <w:tc>
          <w:tcPr>
            <w:tcW w:type="dxa" w:w="3742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ประกาศใช้ครั้งแรก</w:t>
            </w:r>
          </w:p>
        </w:tc>
        <w:tc>
          <w:tcPr>
            <w:tcW w:type="dxa" w:w="158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[ชื่อ ตำแหน่ง]</w:t>
            </w:r>
          </w:p>
        </w:tc>
        <w:tc>
          <w:tcPr>
            <w:tcW w:type="dxa" w:w="153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[ชื่อ ตำแหน่ง]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4. ส่วน A: ข้อกำหนดขั้นต่ำ (Requirement Fields)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4.1 วัตถุประสงค์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ระบุเหตุผลของการมีเอกสารนี้และผลลัพธ์ที่เอกสารสนับสนุน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นโยบายนี้กำหนดวิธีที่ [ชื่อองค์กร] บริหารความเสี่ยงด้านไซเบอร์จากผู้จำหน่าย ผู้ให้บริการ และผลิตภัณฑ์เทคโนโลยีตลอดวงจรชีวิต (GV.SC-01)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4.2 ขอบเขต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ระบุหน่วยงาน บุคลากร ระบบ สถานที่ และบุคคลภายนอกที่อยู่ในขอบเขต พร้อมระบุข้อยกเว้น (ถ้ามี)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นโยบายนี้ใช้บังคับกับพนักงาน ผู้รับจ้าง พนักงานชั่วคราว และบุคคลภายนอกทุกรายที่เข้าถึงข้อมูลหรือระบบสารสนเทศของ [ชื่อองค์กร] ในทุกสถานที่ รวมถึงบริการคลาวด์ที่ดำเนินการในนามของ [ชื่อองค์กร]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4.3 ข้อความนโยบาย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ระบุหลักการที่บังคับของแผนงานบริหารความเสี่ยงห่วงโซ่อุปทาน (GV.SC-01 ถึง GV.SC-03)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ผู้ให้บริการทุกรายที่เข้าถึง ประมวลผล จัดเก็บ หรือสนับสนุนข้อมูลหรือระบบของ [ชื่อองค์กร] ต้องได้รับการจัดระดับความเสี่ยงก่อนทำสัญญา และทบทวนตามความถี่ที่กำหนดตามระดับ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ระบุข้อกำหนดด้านความมั่นคงปลอดภัยในสัญญาให้เหมาะสมกับระดับของผู้ให้บริการ (GV-STD-002)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บันทึกความเสี่ยงจากผู้ให้บริการในทะเบียนความเสี่ยงและรายงานร่วมกับความเสี่ยงองค์กรอื่น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ให้ผู้ให้บริการที่สนับสนุนบริการสำคัญเข้าร่วมในการรับมือเหตุการณ์ ความต่อเนื่องทางธุรกิจ และการฝึกซ้อม (GV.SC-08)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ถอนสิทธิ์การเข้าถึงและข้อมูลเมื่อสิ้นสุดความสัมพันธ์ (GV.SC-10)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4.4 บทบาท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กำหนดบทบาทของฝ่ายจัดซื้อ เจ้าของธุรกิจ หน่วยงานความมั่นคงปลอดภัย ฝ่ายกฎหมาย และผู้ให้บริการ (GV.SC-02)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268"/>
        <w:gridCol w:w="7087"/>
      </w:tblGrid>
      <w:tr>
        <w:trPr>
          <w:tblHeader w:val="true"/>
        </w:trPr>
        <w:tc>
          <w:tcPr>
            <w:tcW w:type="dxa" w:w="2268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บทบาท</w:t>
            </w:r>
          </w:p>
        </w:tc>
        <w:tc>
          <w:tcPr>
            <w:tcW w:type="dxa" w:w="7087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ความรับผิดชอบ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เจ้าของธุรกิจ</w:t>
            </w:r>
          </w:p>
        </w:tc>
        <w:tc>
          <w:tcPr>
            <w:tcW w:type="dxa" w:w="708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เป็นเจ้าของความสัมพันธ์และความเสี่ยงของผู้ให้บริการ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ผู้จัดการฝ่ายจัดซื้อ</w:t>
            </w:r>
          </w:p>
        </w:tc>
        <w:tc>
          <w:tcPr>
            <w:tcW w:type="dxa" w:w="708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ดำเนินการจัดหา ดูแลทะเบียนผู้ให้บริการ และควบคุมให้มีการประเมินก่อนทำสัญญา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ผู้บริหารด้านความมั่นคงปลอดภัยสารสนเทศ (CISO) หรือ Security Manager</w:t>
            </w:r>
          </w:p>
        </w:tc>
        <w:tc>
          <w:tcPr>
            <w:tcW w:type="dxa" w:w="708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กำหนดข้อกำหนด ประเมินความเสี่ยงด้านความมั่นคงปลอดภัย และติดตามผู้ให้บริการระดับสูง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ที่ปรึกษากฎหมาย</w:t>
            </w:r>
          </w:p>
        </w:tc>
        <w:tc>
          <w:tcPr>
            <w:tcW w:type="dxa" w:w="708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ระบุข้อสัญญาด้านความมั่นคงปลอดภัยและการคุ้มครองข้อมูล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เจ้าหน้าที่คุ้มครองข้อมูลส่วนบุคคล (DPO)</w:t>
            </w:r>
          </w:p>
        </w:tc>
        <w:tc>
          <w:tcPr>
            <w:tcW w:type="dxa" w:w="708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ทบทวนการประมวลผลข้อมูลส่วนบุคคลและข้อตกลง DPA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ผู้ให้บริการ</w:t>
            </w:r>
          </w:p>
        </w:tc>
        <w:tc>
          <w:tcPr>
            <w:tcW w:type="dxa" w:w="708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ปฏิบัติตามข้อกำหนดในสัญญาและรายงานเหตุการณ์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4.5 การปฏิบัติตามและการขอยกเว้น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ระบุว่าการปฏิบัติตามเป็นข้อบังคับ วิธีการตรวจสอบการปฏิบัติตาม ช่องทางการขอยกเว้น และผลของการฝ่าฝืน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บุคคลทุกรายที่อยู่ในขอบเขตต้องปฏิบัติตามนโยบายนี้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ผู้บริหารด้านความมั่นคงปลอดภัยสารสนเทศ (CISO) หรือ Security Manager ตรวจสอบการปฏิบัติตามผ่านการทบทวนตามรอบ การตรวจสอบทางเทคนิค และการตรวจสอบภายใน (GV-PRC-007)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การขอยกเว้นให้ดำเนินการตามระเบียบปฏิบัติการขอยกเว้นการปฏิบัติตามนโยบาย (GV-PRC-003) ข้อยกเว้นจะมีผลเมื่อได้รับอนุมัติเป็นลายลักษณ์อักษรและมีวันหมดอายุเท่านั้น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การฝ่าฝืนอาจนำไปสู่การลงโทษทางวินัยตามมาตรฐานความมั่นคงปลอดภัยด้านทรัพยากรบุคคล (GV-STD-001) และกฎหมายที่เกี่ยวข้อง</w:t>
      </w: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5. ส่วน B: แนวปฏิบัติที่ดี (Best Practice)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เริ่มจากผู้ให้บริการ 10 ถึง 20 รายที่สำคัญที่สุด แทนการประเมินทุกรายเท่ากัน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ฝังขั้นตอนด้านความมั่นคงปลอดภัยไว้ในกระบวนการจัดซื้อจัดจ้าง เพื่อไม่ให้ข้ามได้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ใช้ NIST SP 800-161 Rev. 1 สำหรับแนวปฏิบัติด้านห่วงโซ่อุปทานของผลิตภัณฑ์และซอฟต์แวร์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ข้อผิดพลาดที่พบบ่อย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ประเมินผู้ให้บริการเฉพาะตอนเริ่มต้นแล้วไม่ประเมินอีก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ปล่อยให้หน่วยธุรกิจสมัครใช้ SaaS ด้วยบัตรเครดิต โดยไม่ผ่านฝ่ายจัดซื้อและหน่วยงานความมั่นคงปลอดภัย</w:t>
      </w: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6. ภาคผนวก: การอ้างอิงและเอกสารที่เกี่ยวข้อง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NIST CSF 2.0 Subcategories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GV.SC-01: กำหนดแผนงาน กลยุทธ์ วัตถุประสงค์ นโยบาย และกระบวนการบริหารความเสี่ยงห่วงโซ่อุปทานด้านไซเบอร์</w:t>
            </w:r>
          </w:p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GV.SC-02: กำหนดและประสานบทบาทด้านไซเบอร์ของผู้ให้บริการ ลูกค้า และคู่ค้า</w:t>
            </w:r>
          </w:p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GV.SC-03: บูรณาการการบริหารความเสี่ยงห่วงโซ่อุปทานเข้ากับการบริหารความเสี่ยงด้านไซเบอร์และความเสี่ยงองค์กร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ISO/IEC 27001:2022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Annex A.5.19, Annex A.5.21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NIST SP 800-53 Rev. 5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SR-1, SA-9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กฎหมาย ระเบียบ และแหล่งอ้างอิงอื่น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ISO/IEC 27001:2022 Annex A 5.19; NIST SP 800-161 Rev. 1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เอกสารแม่ (Parent)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GV-POL-001: นโยบายความมั่นคงปลอดภัยสารสนเทศ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เอกสารลูก (Child)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GV-PRC-008: ระเบียบปฏิบัติการบริหารความเสี่ยงผู้ให้บริการภายนอก</w:t>
            </w:r>
          </w:p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GV-STD-002: มาตรฐานข้อกำหนดความมั่นคงปลอดภัยในสัญญาผู้ให้บริการ</w:t>
            </w:r>
          </w:p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GV-STD-003: มาตรฐานการจัดหาระบบและผลิตภัณฑ์อย่างมั่นคงปลอดภัย</w:t>
            </w:r>
          </w:p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PR-STD-014: มาตรฐานความมั่นคงปลอดภัยบนระบบคลาวด์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TH Sarabun New" w:hAnsi="TH Sarabun New" w:cs="TH Sarabun New" w:eastAsia="TH Sarabun New"/>
        <w:b w:val="0"/>
        <w:i w:val="0"/>
        <w:color w:val="595959"/>
        <w:sz w:val="24"/>
        <w:szCs w:val="24"/>
      </w:rPr>
      <w:t xml:space="preserve">ระดับชั้นความลับ: ใช้ภายใน (Internal)    หน้า </w:t>
    </w:r>
    <w:r>
      <w:rPr>
        <w:rFonts w:ascii="TH Sarabun New" w:hAnsi="TH Sarabun New" w:cs="TH Sarabun New" w:eastAsia="TH Sarabun New"/>
        <w:color w:val="595959"/>
        <w:sz w:val="24"/>
        <w:szCs w:val="24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TH Sarabun New" w:hAnsi="TH Sarabun New" w:cs="TH Sarabun New" w:eastAsia="TH Sarabun New"/>
        <w:b w:val="0"/>
        <w:i w:val="0"/>
        <w:color w:val="595959"/>
        <w:sz w:val="24"/>
        <w:szCs w:val="24"/>
      </w:rPr>
      <w:t>[ชื่อองค์กร]  |  GV-POL-006  |  นโยบายความมั่นคงปลอดภัยด้านผู้ให้บริการภายนอกและห่วงโซ่อุปทาน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cs="TH Sarabun New" w:eastAsia="TH Sarabun New"/>
      <w:sz w:val="3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