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H Sarabun New" w:hAnsi="TH Sarabun New" w:cs="TH Sarabun New" w:eastAsia="TH Sarabun New"/>
          <w:b/>
          <w:i w:val="0"/>
          <w:color w:val="595959"/>
          <w:sz w:val="32"/>
          <w:szCs w:val="32"/>
          <w:bCs/>
        </w:rPr>
        <w:t>[ชื่อองค์กร]</w:t>
      </w: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48"/>
          <w:szCs w:val="48"/>
          <w:bCs/>
        </w:rPr>
        <w:t>มาตรฐานข้อกำหนดความมั่นคงปลอดภัยในสัญญาผู้ให้บริการ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color w:val="595959"/>
          <w:sz w:val="26"/>
          <w:szCs w:val="26"/>
        </w:rPr>
        <w:t>GV-STD-002  |  มาตรฐาน  |  การบริหารความเสี่ยงห่วงโซ่อุปทานด้านไซเบอร์ (GV.SC)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วิธีใช้แม่แบบนี้: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แทนที่ข้อความในวงเล็บเหลี่ยมด้วยข้อมูลขององค์กร คงทุกหัวข้อในส่วน A ไว้เพราะเป็นข้อกำหนดขั้นต่ำ ใช้ส่วน B เพื่อยกระดับความพร้อม ลบกล่องข้อกำหนดสีฟ้าและหมายเหตุนี้ก่อนประกาศใช้ แม่แบบนี้เป็นตัวอย่างและไม่ใช่คำปรึกษาทางกฎหมาย ให้ตรวจสอบรายการที่ระบุ [VERIFY] กับกฎระเบียบไทยฉบับปัจจุบันก่อนใช้งาน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1. การควบคุมเอกสาร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รหัสเอกสาร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GV-STD-002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ชื่อเอกสาร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มาตรฐานข้อกำหนดความมั่นคงปลอดภัยในสัญญาผู้ให้บริการ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ฉบับที่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1.0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สถานะ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แม่แบบ (ยังไม่ได้อนุมัติ)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ระดับชั้นความลับ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ใช้ภายใน (Internal)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เจ้าของเอกสาร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ผู้บริหารด้านความมั่นคงปลอดภัยสารสนเทศ (CISO) หรือ Security Manager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ผู้อนุมัติ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ประธานเจ้าหน้าที่บริหารด้านสารสนเทศ (CIO)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วันที่มีผลบังคับใช้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รอบการทบทวน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ทุกปี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วันที่ทบทวนครั้งถัดไป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2. ข้อมูลประจำเอกสาร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ชั้นเอกสาร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ชั้นที่ 2: มาตรฐาน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ประเภทเอกสาร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มาตรฐาน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CSF Function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กำกับดูแล (Govern, GV)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CSF Category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การบริหารความเสี่ยงห่วงโซ่อุปทานด้านไซเบอร์ (GV.SC)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ระดับความจำเป็น (Level)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คาดหวัง (Expected)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เงื่อนไขที่ทำให้บังคับ (Trigger)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ทุกองค์กร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แหล่งอ้างอิง (Basis)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ISO/IEC 27001:2022 Annex A 5.20; พ.ร.บ.คุ้มครองข้อมูลส่วนบุคคล พ.ศ. 2562 มาตรา 40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ISO/IEC 27002 theme และ Tag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องค์กร (Organizational, A.5); Tag: กระบวนการ, บุคคลภายนอก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ชุดเอกสาร (Package)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หลัก (Core)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3. ประวัติการแก้ไข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07"/>
        <w:gridCol w:w="1587"/>
        <w:gridCol w:w="3742"/>
        <w:gridCol w:w="1587"/>
        <w:gridCol w:w="1530"/>
      </w:tblGrid>
      <w:tr>
        <w:trPr>
          <w:tblHeader w:val="true"/>
        </w:trPr>
        <w:tc>
          <w:tcPr>
            <w:tcW w:type="dxa" w:w="90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ฉบับที่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วันที่</w:t>
            </w:r>
          </w:p>
        </w:tc>
        <w:tc>
          <w:tcPr>
            <w:tcW w:type="dxa" w:w="3742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รายละเอียดการแก้ไข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ผู้จัดทำ</w:t>
            </w:r>
          </w:p>
        </w:tc>
        <w:tc>
          <w:tcPr>
            <w:tcW w:type="dxa" w:w="1531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ผู้อนุมัติ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1.0</w:t>
            </w:r>
          </w:p>
        </w:tc>
        <w:tc>
          <w:tcPr>
            <w:tcW w:type="dxa" w:w="158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  <w:tc>
          <w:tcPr>
            <w:tcW w:type="dxa" w:w="3742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ประกาศใช้ครั้งแรก</w:t>
            </w:r>
          </w:p>
        </w:tc>
        <w:tc>
          <w:tcPr>
            <w:tcW w:type="dxa" w:w="158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[ชื่อ ตำแหน่ง]</w:t>
            </w:r>
          </w:p>
        </w:tc>
        <w:tc>
          <w:tcPr>
            <w:tcW w:type="dxa" w:w="153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[ชื่อ ตำแหน่ง]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4. ส่วน A: ข้อกำหนดขั้นต่ำ (Requirement Fields)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4.1 วัตถุประสงค์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ระบุเหตุผลของการมีเอกสารนี้และผลลัพธ์ที่เอกสารสนับสนุน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มาตรฐานนี้กำหนดข้อสัญญาด้านความมั่นคงปลอดภัยและความเป็นส่วนตัวที่สัญญาต้องมี ตามระดับของผู้ให้บริการ เพื่อให้ข้อกำหนดบังคับใช้ได้ (GV.SC-05)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4.2 ขอบเขต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ระบุหน่วยงาน บุคลากร ระบบ สถานที่ และบุคคลภายนอกที่อยู่ในขอบเขต พร้อมระบุข้อยกเว้น (ถ้ามี)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มาตรฐานนี้ใช้บังคับกับพนักงาน ผู้รับจ้าง พนักงานชั่วคราว และบุคคลภายนอกทุกรายที่เข้าถึงข้อมูลหรือระบบสารสนเทศของ [ชื่อองค์กร] ในทุกสถานที่ รวมถึงบริการคลาวด์ที่ดำเนินการในนามของ [ชื่อองค์กร]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4.3 ข้อกำหนดในสัญญาตามระดับ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ระบุข้อสัญญาที่ต้องมีและระดับของผู้ให้บริการที่ต้องใช้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850"/>
        <w:gridCol w:w="4819"/>
        <w:gridCol w:w="1247"/>
        <w:gridCol w:w="1247"/>
        <w:gridCol w:w="1190"/>
      </w:tblGrid>
      <w:tr>
        <w:trPr>
          <w:tblHeader w:val="true"/>
        </w:trPr>
        <w:tc>
          <w:tcPr>
            <w:tcW w:type="dxa" w:w="850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รหัส</w:t>
            </w:r>
          </w:p>
        </w:tc>
        <w:tc>
          <w:tcPr>
            <w:tcW w:type="dxa" w:w="4819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ข้อสัญญา</w:t>
            </w:r>
          </w:p>
        </w:tc>
        <w:tc>
          <w:tcPr>
            <w:tcW w:type="dxa" w:w="124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ระดับ 1</w:t>
            </w:r>
          </w:p>
        </w:tc>
        <w:tc>
          <w:tcPr>
            <w:tcW w:type="dxa" w:w="124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ระดับ 2</w:t>
            </w:r>
          </w:p>
        </w:tc>
        <w:tc>
          <w:tcPr>
            <w:tcW w:type="dxa" w:w="1191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ระดับ 3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SC-01</w:t>
            </w:r>
          </w:p>
        </w:tc>
        <w:tc>
          <w:tcPr>
            <w:tcW w:type="dxa" w:w="4819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ปฏิบัติตามนโยบายความมั่นคงปลอดภัยของ [ชื่อองค์กร] และกฎหมายที่เกี่ยวข้อง</w:t>
            </w:r>
          </w:p>
        </w:tc>
        <w:tc>
          <w:tcPr>
            <w:tcW w:type="dxa" w:w="124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ใช่</w:t>
            </w:r>
          </w:p>
        </w:tc>
        <w:tc>
          <w:tcPr>
            <w:tcW w:type="dxa" w:w="124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ใช่</w:t>
            </w:r>
          </w:p>
        </w:tc>
        <w:tc>
          <w:tcPr>
            <w:tcW w:type="dxa" w:w="119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ใช่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SC-02</w:t>
            </w:r>
          </w:p>
        </w:tc>
        <w:tc>
          <w:tcPr>
            <w:tcW w:type="dxa" w:w="4819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การรักษาความลับและข้อตกลงการประมวลผลข้อมูล (GV-TPL-004) เมื่อมีการประมวลผลข้อมูลส่วนบุคคล</w:t>
            </w:r>
          </w:p>
        </w:tc>
        <w:tc>
          <w:tcPr>
            <w:tcW w:type="dxa" w:w="124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ใช่</w:t>
            </w:r>
          </w:p>
        </w:tc>
        <w:tc>
          <w:tcPr>
            <w:tcW w:type="dxa" w:w="124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ใช่</w:t>
            </w:r>
          </w:p>
        </w:tc>
        <w:tc>
          <w:tcPr>
            <w:tcW w:type="dxa" w:w="119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ถ้าเกี่ยวข้อง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SC-03</w:t>
            </w:r>
          </w:p>
        </w:tc>
        <w:tc>
          <w:tcPr>
            <w:tcW w:type="dxa" w:w="4819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แจ้งเหตุการณ์ภายใน 24 ชั่วโมงนับแต่ทราบเหตุ และให้ความร่วมมือในการสอบสวน</w:t>
            </w:r>
          </w:p>
        </w:tc>
        <w:tc>
          <w:tcPr>
            <w:tcW w:type="dxa" w:w="124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ใช่</w:t>
            </w:r>
          </w:p>
        </w:tc>
        <w:tc>
          <w:tcPr>
            <w:tcW w:type="dxa" w:w="124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ใช่</w:t>
            </w:r>
          </w:p>
        </w:tc>
        <w:tc>
          <w:tcPr>
            <w:tcW w:type="dxa" w:w="119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ไม่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SC-04</w:t>
            </w:r>
          </w:p>
        </w:tc>
        <w:tc>
          <w:tcPr>
            <w:tcW w:type="dxa" w:w="4819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สิทธิในการตรวจสอบ หรือได้รับรายงานการรับรองจากผู้ตรวจสอบอิสระทุกปี</w:t>
            </w:r>
          </w:p>
        </w:tc>
        <w:tc>
          <w:tcPr>
            <w:tcW w:type="dxa" w:w="124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ใช่</w:t>
            </w:r>
          </w:p>
        </w:tc>
        <w:tc>
          <w:tcPr>
            <w:tcW w:type="dxa" w:w="124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เมื่อร้องขอ</w:t>
            </w:r>
          </w:p>
        </w:tc>
        <w:tc>
          <w:tcPr>
            <w:tcW w:type="dxa" w:w="119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ไม่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SC-05</w:t>
            </w:r>
          </w:p>
        </w:tc>
        <w:tc>
          <w:tcPr>
            <w:tcW w:type="dxa" w:w="4819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ระบุบุคลากร ตรวจสอบประวัติ และใช้ MFA ในการเข้าถึงทุกครั้ง</w:t>
            </w:r>
          </w:p>
        </w:tc>
        <w:tc>
          <w:tcPr>
            <w:tcW w:type="dxa" w:w="124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ใช่</w:t>
            </w:r>
          </w:p>
        </w:tc>
        <w:tc>
          <w:tcPr>
            <w:tcW w:type="dxa" w:w="124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ใช่</w:t>
            </w:r>
          </w:p>
        </w:tc>
        <w:tc>
          <w:tcPr>
            <w:tcW w:type="dxa" w:w="119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ไม่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SC-06</w:t>
            </w:r>
          </w:p>
        </w:tc>
        <w:tc>
          <w:tcPr>
            <w:tcW w:type="dxa" w:w="4819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กรอบเวลาการแก้ไขช่องโหว่และติดตั้งแพตช์ของผลิตภัณฑ์ที่ส่งมอบ</w:t>
            </w:r>
          </w:p>
        </w:tc>
        <w:tc>
          <w:tcPr>
            <w:tcW w:type="dxa" w:w="124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ใช่</w:t>
            </w:r>
          </w:p>
        </w:tc>
        <w:tc>
          <w:tcPr>
            <w:tcW w:type="dxa" w:w="124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ใช่</w:t>
            </w:r>
          </w:p>
        </w:tc>
        <w:tc>
          <w:tcPr>
            <w:tcW w:type="dxa" w:w="119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ไม่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SC-07</w:t>
            </w:r>
          </w:p>
        </w:tc>
        <w:tc>
          <w:tcPr>
            <w:tcW w:type="dxa" w:w="4819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เข้าร่วมการรับมือเหตุการณ์และการฝึกซ้อมความต่อเนื่อง (GV.SC-08)</w:t>
            </w:r>
          </w:p>
        </w:tc>
        <w:tc>
          <w:tcPr>
            <w:tcW w:type="dxa" w:w="124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ใช่</w:t>
            </w:r>
          </w:p>
        </w:tc>
        <w:tc>
          <w:tcPr>
            <w:tcW w:type="dxa" w:w="124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ไม่</w:t>
            </w:r>
          </w:p>
        </w:tc>
        <w:tc>
          <w:tcPr>
            <w:tcW w:type="dxa" w:w="119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ไม่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SC-08</w:t>
            </w:r>
          </w:p>
        </w:tc>
        <w:tc>
          <w:tcPr>
            <w:tcW w:type="dxa" w:w="4819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การอนุมัติผู้รับจ้างช่วง และการถ่ายทอดข้อกำหนด</w:t>
            </w:r>
          </w:p>
        </w:tc>
        <w:tc>
          <w:tcPr>
            <w:tcW w:type="dxa" w:w="124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ใช่</w:t>
            </w:r>
          </w:p>
        </w:tc>
        <w:tc>
          <w:tcPr>
            <w:tcW w:type="dxa" w:w="124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ใช่</w:t>
            </w:r>
          </w:p>
        </w:tc>
        <w:tc>
          <w:tcPr>
            <w:tcW w:type="dxa" w:w="119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ไม่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SC-09</w:t>
            </w:r>
          </w:p>
        </w:tc>
        <w:tc>
          <w:tcPr>
            <w:tcW w:type="dxa" w:w="4819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ส่งคืนและลบข้อมูลพร้อมหนังสือรับรองเมื่อสิ้นสุดสัญญา (GV.SC-10)</w:t>
            </w:r>
          </w:p>
        </w:tc>
        <w:tc>
          <w:tcPr>
            <w:tcW w:type="dxa" w:w="124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ใช่</w:t>
            </w:r>
          </w:p>
        </w:tc>
        <w:tc>
          <w:tcPr>
            <w:tcW w:type="dxa" w:w="124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ใช่</w:t>
            </w:r>
          </w:p>
        </w:tc>
        <w:tc>
          <w:tcPr>
            <w:tcW w:type="dxa" w:w="119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ถ้าเกี่ยวข้อง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SC-10</w:t>
            </w:r>
          </w:p>
        </w:tc>
        <w:tc>
          <w:tcPr>
            <w:tcW w:type="dxa" w:w="4819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ระดับการให้บริการด้านความพร้อมใช้งานและการกู้คืนที่สอดคล้องกับ BIA</w:t>
            </w:r>
          </w:p>
        </w:tc>
        <w:tc>
          <w:tcPr>
            <w:tcW w:type="dxa" w:w="124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ใช่</w:t>
            </w:r>
          </w:p>
        </w:tc>
        <w:tc>
          <w:tcPr>
            <w:tcW w:type="dxa" w:w="124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ถ้าเป็นบริการสำคัญ</w:t>
            </w:r>
          </w:p>
        </w:tc>
        <w:tc>
          <w:tcPr>
            <w:tcW w:type="dxa" w:w="119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ไม่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4.4 การปฏิบัติตามและการขอยกเว้น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ระบุว่าการปฏิบัติตามเป็นข้อบังคับ วิธีการตรวจสอบการปฏิบัติตาม ช่องทางการขอยกเว้น และผลของการฝ่าฝืน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บุคคลทุกรายที่อยู่ในขอบเขตต้องปฏิบัติตามมาตรฐานนี้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ผู้บริหารด้านความมั่นคงปลอดภัยสารสนเทศ (CISO) หรือ Security Manager ตรวจสอบการปฏิบัติตามผ่านการทบทวนตามรอบ การตรวจสอบทางเทคนิค และการตรวจสอบภายใน (GV-PRC-007)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การขอยกเว้นให้ดำเนินการตามระเบียบปฏิบัติการขอยกเว้นการปฏิบัติตามนโยบาย (GV-PRC-003) ข้อยกเว้นจะมีผลเมื่อได้รับอนุมัติเป็นลายลักษณ์อักษรและมีวันหมดอายุเท่านั้น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การฝ่าฝืนอาจนำไปสู่การลงโทษทางวินัยตามมาตรฐานความมั่นคงปลอดภัยด้านทรัพยากรบุคคล (GV-STD-001) และกฎหมายที่เกี่ยวข้อง</w:t>
      </w: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5. ส่วน B: แนวปฏิบัติที่ดี (Best Practice)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จัดทำภาคผนวกด้านความมั่นคงปลอดภัยมาตรฐานที่ฝ่ายกฎหมายแนบกับทุกสัญญา แทนการเจรจาทีละข้อ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กำหนดระยะเวลาแจ้งเหตุให้สอดคล้องกับกำหนดตามกฎหมายขององค์กร (72 ชั่วโมงสำหรับ สคส. และ 24 ชั่วโมงสำหรับการรายงานของ CII)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เพิ่มข้อกำหนดด้านความมั่นคงปลอดภัยเมื่อต่อสัญญาเดิมที่ยังไม่มี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ข้อผิดพลาดที่พบบ่อย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ลงนามสัญญาหลายปีกับผู้ให้บริการโดยไม่มีสิทธิในการตรวจสอบและไม่มีข้อกำหนดการแจ้งเหตุ</w:t>
      </w: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6. ภาคผนวก: การอ้างอิงและเอกสารที่เกี่ยวข้อง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NIST CSF 2.0 Subcategories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GV.SC-05: กำหนดข้อกำหนดเพื่อจัดการความเสี่ยงห่วงโซ่อุปทาน จัดลำดับความสำคัญ และใส่ไว้ในสัญญา</w:t>
            </w:r>
          </w:p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GV.SC-08: ให้ผู้ให้บริการที่เกี่ยวข้องมีส่วนในการวางแผน ตอบสนอง และกู้คืนจากเหตุการณ์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ISO/IEC 27001:2022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Annex A.5.20, Annex A.5.21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NIST SP 800-53 Rev. 5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SA-4, SA-9, SR-5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กฎหมาย ระเบียบ และแหล่งอ้างอิงอื่น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ISO/IEC 27001:2022 Annex A 5.20; พ.ร.บ.คุ้มครองข้อมูลส่วนบุคคล พ.ศ. 2562 มาตรา 40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เอกสารแม่ (Parent)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GV-POL-006: นโยบายความมั่นคงปลอดภัยด้านผู้ให้บริการภายนอกและห่วงโซ่อุปทาน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เอกสารลูก (Child)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GV-TPL-004: แม่แบบข้อตกลงการประมวลผลข้อมูลส่วนบุคคล (DPA)</w:t>
            </w:r>
          </w:p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DE-GDL-001: แนวทางกำหนดข้อกำหนดบริการผู้ให้บริการความมั่นคงปลอดภัยแบบบริหารจัดการ (MSSP)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TH Sarabun New" w:hAnsi="TH Sarabun New" w:cs="TH Sarabun New" w:eastAsia="TH Sarabun New"/>
        <w:b w:val="0"/>
        <w:i w:val="0"/>
        <w:color w:val="595959"/>
        <w:sz w:val="24"/>
        <w:szCs w:val="24"/>
      </w:rPr>
      <w:t xml:space="preserve">ระดับชั้นความลับ: ใช้ภายใน (Internal)    หน้า </w:t>
    </w:r>
    <w:r>
      <w:rPr>
        <w:rFonts w:ascii="TH Sarabun New" w:hAnsi="TH Sarabun New" w:cs="TH Sarabun New" w:eastAsia="TH Sarabun New"/>
        <w:color w:val="595959"/>
        <w:sz w:val="24"/>
        <w:szCs w:val="24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TH Sarabun New" w:hAnsi="TH Sarabun New" w:cs="TH Sarabun New" w:eastAsia="TH Sarabun New"/>
        <w:b w:val="0"/>
        <w:i w:val="0"/>
        <w:color w:val="595959"/>
        <w:sz w:val="24"/>
        <w:szCs w:val="24"/>
      </w:rPr>
      <w:t>[ชื่อองค์กร]  |  GV-STD-002  |  มาตรฐานข้อกำหนดความมั่นคงปลอดภัยในสัญญาผู้ให้บริการ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cs="TH Sarabun New" w:eastAsia="TH Sarabun New"/>
      <w:sz w:val="3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