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ทะเบียนข้อมูลและการไหลของข้อมูล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ID-REG-003  |  ทะเบียน  |  การบริหารจัดการทรัพย์สิน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ID-REG-003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ทะเบียนข้อมูลและการไหลของข้อมูล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การบริหารจัดการทรัพย์สิน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 และ 5.12; สนับสนุน พ.ร.บ.คุ้มครองข้อมูลส่วนบุคคล พ.ศ. 2562 มาตรา 39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ทะเบียนนี้บันทึกชุดข้อมูลสำคัญ ที่จัดเก็บ ระดับชั้นข้อมูล เจ้าของ และการไหลของข้อมูลระหว่างระบบและบุคคลภายนอก (ID.AM-03, ID.AM-07)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(ID-STD-001)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รหัสชุดข้อมูล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DATA-001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ชุดข้อมูล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คำอธิบาย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ชั้นข้อมูล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 PR-STD-004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ข้อมูลส่วนบุคคล (เชื่อมโยง ROPA)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 ROPA กรณีเป็นข้อมูลส่วนบุคคล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เจ้าของข้อมูล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ที่จัดเก็บ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ระบบและสถานที่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ไหลไปยัง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ระบบหรือบุคคลที่รับข้อมูลและวิธีการ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การปกป้องขณะส่ง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วิธีการเข้ารหัส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รหัสชุดข้อมูล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ชุดข้อมูล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ชั้นข้อมูล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ข้อมูลส่วนบุคคล (เชื่อมโยง ROPA)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เจ้าของข้อมูล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ที่จัดเก็บ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ไหลไปยัง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การปกป้องขณะส่ง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DATA-001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จัดทำแผนภาพการไหลของข้อมูลสำหรับระบบสำคัญแต่ละระบบ และเก็บไว้ร่วมกับทะเบียน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ใช้รหัสเดียวกับ ROPA เพื่อให้มุมมองด้านความเป็นส่วนตัวและความมั่นคงปลอดภัยสอดคล้องกัน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ละเลยข้อมูลที่ไม่มีโครงสร้างในพื้นที่แชร์ไฟล์และอีเมล ซึ่งเป็นที่อยู่ของข้อมูลอ่อนไหวจำนวนมาก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ID.AM-03: ดูแลแผนภาพการสื่อสารผ่านเครือข่ายและการไหลของข้อมูลที่ได้รับอนุญาต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ID.AM-07: ดูแลทะเบียนข้อมูลและ metadata ของประเภทข้อมูลที่กำหนด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A.5.9, Annex A.5.12, Annex A.5.14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PM-5(1), CM-12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5.9 และ 5.12; สนับสนุน พ.ร.บ.คุ้มครองข้อมูลส่วนบุคคล พ.ศ. 2562 มาตรา 39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ID-STD-001: มาตรฐานการบริหารจัดการทรัพย์สินสารสนเทศ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ID-REG-003  |  ทะเบียนข้อมูลและการไหลของข้อมูล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