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H Sarabun New" w:hAnsi="TH Sarabun New" w:cs="TH Sarabun New" w:eastAsia="TH Sarabun New"/>
          <w:b/>
          <w:i w:val="0"/>
          <w:color w:val="595959"/>
          <w:sz w:val="32"/>
          <w:szCs w:val="32"/>
          <w:bCs/>
        </w:rPr>
        <w:t>[ชื่อองค์กร]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48"/>
          <w:szCs w:val="48"/>
          <w:bCs/>
        </w:rPr>
        <w:t>ระเบียบปฏิบัติการบริหารจัดการช่องโหว่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color w:val="595959"/>
          <w:sz w:val="26"/>
          <w:szCs w:val="26"/>
        </w:rPr>
        <w:t>ID-PRC-002  |  ระเบียบปฏิบัติ  |  การประเมินความเสี่ยง (ID.RA)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วิธีใช้แม่แบบนี้: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แทนที่ข้อความในวงเล็บเหลี่ยมด้วยข้อมูลขององค์กร คงทุกหัวข้อในส่วน A ไว้เพราะเป็นข้อกำหนดขั้นต่ำ ใช้ส่วน B เพื่อยกระดับความพร้อม ลบกล่องข้อกำหนดสีฟ้าและหมายเหตุนี้ก่อนประกาศใช้ แม่แบบนี้เป็นตัวอย่างและไม่ใช่คำปรึกษาทางกฎหมาย ให้ตรวจสอบรายการที่ระบุ [VERIFY] กับกฎระเบียบไทยฉบับปัจจุบันก่อนใช้งาน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1. การควบคุมเอกสาร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รหัสเอกสาร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ID-PRC-002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ชื่อเอกสาร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ระเบียบปฏิบัติการบริหารจัดการช่องโหว่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สถานะ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 (ยังไม่ได้อนุมัติ)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ระดับชั้นความลับ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ใช้ภายใน (Internal)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เจ้าของเอกสาร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ผู้บริหารด้านความมั่นคงปลอดภัยสารสนเทศ (CISO) หรือ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ผู้อนุมัติ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ประธานเจ้าหน้าที่บริหารด้านสารสนเทศ (CIO)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วันที่มีผลบังคับใช้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รอบการทบทวน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ทุกปี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วันที่ทบทวนครั้งถัดไป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2. ข้อมูลประจำเอกสาร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ชั้นเอกสาร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ชั้นที่ 3: ระเบียบปฏิบัติ แผน คู่มือ และแนวทาง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ประเภทเอกสาร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ระเบียบปฏิบัติ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 (Identify, ID)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การประเมินความเสี่ยง (ID.RA)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ระดับความจำเป็น (Level)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คาดหวัง (Expected)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เงื่อนไขที่ทำให้บังคับ (Trigger)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ทุกองค์กร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แหล่งอ้างอิง (Basis)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Annex A 8.8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27002 theme และ Tag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เทคโนโลยี (Technological, A.8); Tag: กระบวนการ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ชุดเอกสาร (Package)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หลัก (Core)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3. ประวัติการแก้ไข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ผู้อนุมัติ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374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ประกาศใช้ครั้งแรก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  <w:tc>
          <w:tcPr>
            <w:tcW w:type="dxa" w:w="153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4. ส่วน A: ข้อกำหนดขั้นต่ำ (Requirement Fields)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4.1 วัตถุประสงค์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ระบุเหตุผลของการมีเอกสารนี้และผลลัพธ์ที่เอกสารสนับสนุน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ระเบียบปฏิบัตินี้อธิบายวิธีระบุ ยืนยัน จัดลำดับความสำคัญ มอบหมาย แก้ไข ตรวจสอบผล และรายงานช่องโหว่ (ID.RA-01, ID.RA-08)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4.2 ขอบเขต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ระบุหน่วยงาน บุคลากร ระบบ สถานที่ และบุคคลภายนอกที่อยู่ในขอบเขต พร้อมระบุข้อยกเว้น (ถ้ามี)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ระเบียบปฏิบัตินี้ใช้กับทุกหน่วยงานและบุคลากรที่ดำเนินการหรือสนับสนุนกิจกรรมที่ระบุในเอกสารนี้ รวมถึงบุคคลภายนอกที่ปฏิบัติงานในนามของ [ชื่อองค์กร]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4.3 ขั้นตอนการดำเนินงาน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อธิบายกระบวนการตั้งแต่ต้นจนจบพร้อมบทบาทและระยะเวลา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80"/>
        <w:gridCol w:w="6407"/>
        <w:gridCol w:w="2268"/>
      </w:tblGrid>
      <w:tr>
        <w:trPr>
          <w:tblHeader w:val="true"/>
        </w:trPr>
        <w:tc>
          <w:tcPr>
            <w:tcW w:type="dxa" w:w="680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ขั้นตอน</w:t>
            </w:r>
          </w:p>
        </w:tc>
        <w:tc>
          <w:tcPr>
            <w:tcW w:type="dxa" w:w="6406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กิจกรรม</w:t>
            </w:r>
          </w:p>
        </w:tc>
        <w:tc>
          <w:tcPr>
            <w:tcW w:type="dxa" w:w="2268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ผู้ดำเนินการ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</w:t>
            </w:r>
          </w:p>
        </w:tc>
        <w:tc>
          <w:tcPr>
            <w:tcW w:type="dxa" w:w="6406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รวบรวมข้อตรวจพบจากการสแกน การทดสอบเจาะระบบ ประกาศของผู้ขาย ข้อมูลข่าวกรองภัยคุกคาม และรายงานจากภายนอก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ผู้บริหารด้านความมั่นคงปลอดภัยสารสนเทศ (CISO) หรือ Security Manager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2</w:t>
            </w:r>
          </w:p>
        </w:tc>
        <w:tc>
          <w:tcPr>
            <w:tcW w:type="dxa" w:w="6406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ยืนยันผลและคัดผลบวกลวงออก เชื่อมโยงกับทรัพย์สินและเจ้าของ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วิศวกรความมั่นคงปลอดภัย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3</w:t>
            </w:r>
          </w:p>
        </w:tc>
        <w:tc>
          <w:tcPr>
            <w:tcW w:type="dxa" w:w="6406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จัดลำดับความสำคัญตามกรอบเวลาใน ID-STD-002 ความเป็นไปได้ในการถูกโจมตี และความสำคัญของทรัพย์สิน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วิศวกรความมั่นคงปลอดภัย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4</w:t>
            </w:r>
          </w:p>
        </w:tc>
        <w:tc>
          <w:tcPr>
            <w:tcW w:type="dxa" w:w="6406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มอบหมายงานให้เจ้าของระบบและบันทึกใน ID-REG-006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วิศวกรความมั่นคงปลอดภัย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5</w:t>
            </w:r>
          </w:p>
        </w:tc>
        <w:tc>
          <w:tcPr>
            <w:tcW w:type="dxa" w:w="6406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แก้ไขโดยติดตั้งแพตช์ (PR-PRC-007) หรือเปลี่ยนการตั้งค่า (PR-PRC-006)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เจ้าของระบบ ผู้จัดการฝ่ายโครงสร้างพื้นฐาน IT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6</w:t>
            </w:r>
          </w:p>
        </w:tc>
        <w:tc>
          <w:tcPr>
            <w:tcW w:type="dxa" w:w="6406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สแกนซ้ำเพื่อยืนยันการปิด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วิศวกรความมั่นคงปลอดภัย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7</w:t>
            </w:r>
          </w:p>
        </w:tc>
        <w:tc>
          <w:tcPr>
            <w:tcW w:type="dxa" w:w="6406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ยกระดับรายการที่เลยกำหนด และขอยกเว้นเมื่อจำเป็น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ผู้บริหารด้านความมั่นคงปลอดภัยสารสนเทศ (CISO) หรือ Security Manager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8</w:t>
            </w:r>
          </w:p>
        </w:tc>
        <w:tc>
          <w:tcPr>
            <w:tcW w:type="dxa" w:w="6406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รายงาน KPI ทุกเดือน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ผู้บริหารด้านความมั่นคงปลอดภัยสารสนเทศ (CISO) หรือ Security Manager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4.4 บันทึกที่เกิดจากกระบวนการนี้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ระบุแบบฟอร์ม บันทึก และทะเบียนที่เกิดจากกระบวนการนี้ และสถานที่จัดเก็บ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ID-REG-006: ทะเบียนติดตามการแก้ไขช่องโหว่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จัดเก็บบันทึกตามมาตรฐานการเก็บรักษาและการทำลายข้อมูล (PR-STD-007)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5. ส่วน B: แนวปฏิบัติที่ดี (Best Practice)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ติดตามประกาศของ ThaiCERT และประกาศด้านความมั่นคงปลอดภัยของผู้ขายสำหรับผลิตภัณฑ์สำคัญทุกรายการ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จัดประชุมทบทวนช่องโหว่ทุกเดือนร่วมกับเจ้าของโครงสร้างพื้นฐานและแอปพลิเคชัน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ข้อผิดพลาดที่พบบ่อย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ปิดงานโดยไม่สแกนซ้ำ ทำให้ช่องโหว่ที่ยังไม่แก้ไขถูกรายงานว่าปิดแล้ว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6. ภาคผนวก: การอ้างอิงและเอกสารที่เกี่ยวข้อง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ID.RA-01: ระบุ ยืนยัน และบันทึกช่องโหว่ของทรัพย์สิน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ID.RA-08: กำหนดกระบวนการรับ วิเคราะห์ และตอบสนองต่อการแจ้งช่องโหว่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PR.PS-02: ดูแล เปลี่ยน และถอดถอนซอฟต์แวร์ตามระดับความเสี่ยง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Annex A.8.8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RA-5, SI-2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กฎหมาย ระเบียบ และแหล่งอ้างอิงอื่น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Annex A 8.8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เอกสารแม่ (Parent)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ID-STD-002: มาตรฐานการสแกนและแก้ไขช่องโหว่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เอกสารลูก (Child)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ID-REG-006: ทะเบียนติดตามการแก้ไขช่องโหว่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ID-PRC-005: ระเบียบปฏิบัติการรับแจ้งช่องโหว่จากภายนอก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 xml:space="preserve">ระดับชั้นความลับ: ใช้ภายใน (Internal)    หน้า </w:t>
    </w:r>
    <w:r>
      <w:rPr>
        <w:rFonts w:ascii="TH Sarabun New" w:hAnsi="TH Sarabun New" w:cs="TH Sarabun New" w:eastAsia="TH Sarabun New"/>
        <w:color w:val="595959"/>
        <w:sz w:val="24"/>
        <w:szCs w:val="2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>[ชื่อองค์กร]  |  ID-PRC-002  |  ระเบียบปฏิบัติการบริหารจัดการช่องโหว่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