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40" w:before="0"/>
      </w:pPr>
      <w:r>
        <w:rPr>
          <w:rFonts w:ascii="TH Sarabun New" w:hAnsi="TH Sarabun New" w:cs="TH Sarabun New" w:eastAsia="TH Sarabun New"/>
          <w:b/>
          <w:i w:val="0"/>
          <w:color w:val="595959"/>
          <w:sz w:val="32"/>
          <w:szCs w:val="32"/>
          <w:bCs/>
        </w:rPr>
        <w:t>[ชื่อองค์กร]</w:t>
      </w:r>
    </w:p>
    <w:p>
      <w:pPr>
        <w:pStyle w:val="Heading1"/>
        <w:keepNext/>
        <w:spacing w:before="200" w:after="80"/>
      </w:pPr>
      <w:r>
        <w:rPr>
          <w:rFonts w:ascii="TH Sarabun New" w:hAnsi="TH Sarabun New" w:cs="TH Sarabun New" w:eastAsia="TH Sarabun New"/>
          <w:b/>
          <w:i w:val="0"/>
          <w:color w:val="1F3864"/>
          <w:sz w:val="48"/>
          <w:szCs w:val="48"/>
          <w:bCs/>
        </w:rPr>
        <w:t>คู่มือการรับมือฟิชชิ่งและการหลอกลวงทางอีเมลธุรกิจ (BEC)</w:t>
      </w:r>
    </w:p>
    <w:p>
      <w:pPr>
        <w:spacing w:after="80" w:before="0"/>
      </w:pPr>
      <w:r>
        <w:rPr>
          <w:rFonts w:ascii="TH Sarabun New" w:hAnsi="TH Sarabun New" w:cs="TH Sarabun New" w:eastAsia="TH Sarabun New"/>
          <w:b w:val="0"/>
          <w:i w:val="0"/>
          <w:color w:val="595959"/>
          <w:sz w:val="26"/>
          <w:szCs w:val="26"/>
        </w:rPr>
        <w:t>RS-PLB-002  |  คู่มือรับมือ (Playbook)  |  การบริหารจัดการเหตุการณ์ (RS.MA)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  <w:tblLayout w:type="fixed"/>
      </w:tblPr>
      <w:tblGrid>
        <w:gridCol w:w="9355"/>
      </w:tblGrid>
      <w:tr>
        <w:tc>
          <w:tcPr>
            <w:tcW w:type="dxa" w:w="9354"/>
            <w:shd w:val="clear" w:color="auto" w:fill="EAF0F7"/>
          </w:tcPr>
          <w:p>
            <w:r>
              <w:rPr>
                <w:rFonts w:ascii="TH Sarabun New" w:hAnsi="TH Sarabun New" w:cs="TH Sarabun New" w:eastAsia="TH Sarabun New"/>
                <w:b/>
                <w:i w:val="0"/>
                <w:color w:val="1F3864"/>
                <w:sz w:val="26"/>
                <w:szCs w:val="26"/>
                <w:bCs/>
              </w:rPr>
              <w:t xml:space="preserve">วิธีใช้แม่แบบนี้: </w:t>
            </w:r>
            <w:r>
              <w:rPr>
                <w:rFonts w:ascii="TH Sarabun New" w:hAnsi="TH Sarabun New" w:cs="TH Sarabun New" w:eastAsia="TH Sarabun New"/>
                <w:b w:val="0"/>
                <w:i w:val="0"/>
                <w:sz w:val="26"/>
                <w:szCs w:val="26"/>
              </w:rPr>
              <w:t>แทนที่ข้อความในวงเล็บเหลี่ยมด้วยข้อมูลขององค์กร คงทุกหัวข้อในส่วน A ไว้เพราะเป็นข้อกำหนดขั้นต่ำ ใช้ส่วน B เพื่อยกระดับความพร้อม ลบกล่องข้อกำหนดสีฟ้าและหมายเหตุนี้ก่อนประกาศใช้ แม่แบบนี้เป็นตัวอย่างและไม่ใช่คำปรึกษาทางกฎหมาย ให้ตรวจสอบรายการที่ระบุ [VERIFY] กับกฎระเบียบไทยฉบับปัจจุบันก่อนใช้งาน</w:t>
            </w:r>
          </w:p>
        </w:tc>
      </w:tr>
    </w:tbl>
    <w:p>
      <w:pPr>
        <w:spacing w:after="0"/>
      </w:pPr>
    </w:p>
    <w:p>
      <w:pPr>
        <w:pStyle w:val="Heading1"/>
        <w:keepNext/>
        <w:spacing w:before="200" w:after="80"/>
      </w:pPr>
      <w:r>
        <w:rPr>
          <w:rFonts w:ascii="TH Sarabun New" w:hAnsi="TH Sarabun New" w:cs="TH Sarabun New" w:eastAsia="TH Sarabun New"/>
          <w:b/>
          <w:i w:val="0"/>
          <w:color w:val="1F3864"/>
          <w:sz w:val="38"/>
          <w:szCs w:val="38"/>
          <w:bCs/>
        </w:rPr>
        <w:t>1. การควบคุมเอกสาร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  <w:tblLayout w:type="fixed"/>
      </w:tblPr>
      <w:tblGrid>
        <w:gridCol w:w="2835"/>
        <w:gridCol w:w="6520"/>
      </w:tblGrid>
      <w:tr>
        <w:tc>
          <w:tcPr>
            <w:tcW w:type="dxa" w:w="2835"/>
            <w:shd w:val="clear" w:color="auto" w:fill="EAF0F7"/>
          </w:tcPr>
          <w:p>
            <w:r>
              <w:rPr>
                <w:rFonts w:ascii="TH Sarabun New" w:hAnsi="TH Sarabun New" w:cs="TH Sarabun New" w:eastAsia="TH Sarabun New"/>
                <w:b/>
                <w:i w:val="0"/>
                <w:sz w:val="26"/>
                <w:szCs w:val="26"/>
                <w:bCs/>
              </w:rPr>
              <w:t>รหัสเอกสาร</w:t>
            </w:r>
          </w:p>
        </w:tc>
        <w:tc>
          <w:tcPr>
            <w:tcW w:type="dxa" w:w="6520"/>
          </w:tcPr>
          <w:p>
            <w:r>
              <w:rPr>
                <w:rFonts w:ascii="TH Sarabun New" w:hAnsi="TH Sarabun New" w:cs="TH Sarabun New" w:eastAsia="TH Sarabun New"/>
                <w:b w:val="0"/>
                <w:i w:val="0"/>
                <w:sz w:val="26"/>
                <w:szCs w:val="26"/>
              </w:rPr>
              <w:t>RS-PLB-002</w:t>
            </w:r>
          </w:p>
        </w:tc>
      </w:tr>
      <w:tr>
        <w:tc>
          <w:tcPr>
            <w:tcW w:type="dxa" w:w="2835"/>
            <w:shd w:val="clear" w:color="auto" w:fill="EAF0F7"/>
          </w:tcPr>
          <w:p>
            <w:r>
              <w:rPr>
                <w:rFonts w:ascii="TH Sarabun New" w:hAnsi="TH Sarabun New" w:cs="TH Sarabun New" w:eastAsia="TH Sarabun New"/>
                <w:b/>
                <w:i w:val="0"/>
                <w:sz w:val="26"/>
                <w:szCs w:val="26"/>
                <w:bCs/>
              </w:rPr>
              <w:t>ชื่อเอกสาร</w:t>
            </w:r>
          </w:p>
        </w:tc>
        <w:tc>
          <w:tcPr>
            <w:tcW w:type="dxa" w:w="6520"/>
          </w:tcPr>
          <w:p>
            <w:r>
              <w:rPr>
                <w:rFonts w:ascii="TH Sarabun New" w:hAnsi="TH Sarabun New" w:cs="TH Sarabun New" w:eastAsia="TH Sarabun New"/>
                <w:b w:val="0"/>
                <w:i w:val="0"/>
                <w:sz w:val="26"/>
                <w:szCs w:val="26"/>
              </w:rPr>
              <w:t>คู่มือการรับมือฟิชชิ่งและการหลอกลวงทางอีเมลธุรกิจ (BEC)</w:t>
            </w:r>
          </w:p>
        </w:tc>
      </w:tr>
      <w:tr>
        <w:tc>
          <w:tcPr>
            <w:tcW w:type="dxa" w:w="2835"/>
            <w:shd w:val="clear" w:color="auto" w:fill="EAF0F7"/>
          </w:tcPr>
          <w:p>
            <w:r>
              <w:rPr>
                <w:rFonts w:ascii="TH Sarabun New" w:hAnsi="TH Sarabun New" w:cs="TH Sarabun New" w:eastAsia="TH Sarabun New"/>
                <w:b/>
                <w:i w:val="0"/>
                <w:sz w:val="26"/>
                <w:szCs w:val="26"/>
                <w:bCs/>
              </w:rPr>
              <w:t>ฉบับที่</w:t>
            </w:r>
          </w:p>
        </w:tc>
        <w:tc>
          <w:tcPr>
            <w:tcW w:type="dxa" w:w="6520"/>
          </w:tcPr>
          <w:p>
            <w:r>
              <w:rPr>
                <w:rFonts w:ascii="TH Sarabun New" w:hAnsi="TH Sarabun New" w:cs="TH Sarabun New" w:eastAsia="TH Sarabun New"/>
                <w:b w:val="0"/>
                <w:i w:val="0"/>
                <w:sz w:val="26"/>
                <w:szCs w:val="26"/>
              </w:rPr>
              <w:t>1.0</w:t>
            </w:r>
          </w:p>
        </w:tc>
      </w:tr>
      <w:tr>
        <w:tc>
          <w:tcPr>
            <w:tcW w:type="dxa" w:w="2835"/>
            <w:shd w:val="clear" w:color="auto" w:fill="EAF0F7"/>
          </w:tcPr>
          <w:p>
            <w:r>
              <w:rPr>
                <w:rFonts w:ascii="TH Sarabun New" w:hAnsi="TH Sarabun New" w:cs="TH Sarabun New" w:eastAsia="TH Sarabun New"/>
                <w:b/>
                <w:i w:val="0"/>
                <w:sz w:val="26"/>
                <w:szCs w:val="26"/>
                <w:bCs/>
              </w:rPr>
              <w:t>สถานะ</w:t>
            </w:r>
          </w:p>
        </w:tc>
        <w:tc>
          <w:tcPr>
            <w:tcW w:type="dxa" w:w="6520"/>
          </w:tcPr>
          <w:p>
            <w:r>
              <w:rPr>
                <w:rFonts w:ascii="TH Sarabun New" w:hAnsi="TH Sarabun New" w:cs="TH Sarabun New" w:eastAsia="TH Sarabun New"/>
                <w:b w:val="0"/>
                <w:i w:val="0"/>
                <w:sz w:val="26"/>
                <w:szCs w:val="26"/>
              </w:rPr>
              <w:t>แม่แบบ (ยังไม่ได้อนุมัติ)</w:t>
            </w:r>
          </w:p>
        </w:tc>
      </w:tr>
      <w:tr>
        <w:tc>
          <w:tcPr>
            <w:tcW w:type="dxa" w:w="2835"/>
            <w:shd w:val="clear" w:color="auto" w:fill="EAF0F7"/>
          </w:tcPr>
          <w:p>
            <w:r>
              <w:rPr>
                <w:rFonts w:ascii="TH Sarabun New" w:hAnsi="TH Sarabun New" w:cs="TH Sarabun New" w:eastAsia="TH Sarabun New"/>
                <w:b/>
                <w:i w:val="0"/>
                <w:sz w:val="26"/>
                <w:szCs w:val="26"/>
                <w:bCs/>
              </w:rPr>
              <w:t>ระดับชั้นความลับ</w:t>
            </w:r>
          </w:p>
        </w:tc>
        <w:tc>
          <w:tcPr>
            <w:tcW w:type="dxa" w:w="6520"/>
          </w:tcPr>
          <w:p>
            <w:r>
              <w:rPr>
                <w:rFonts w:ascii="TH Sarabun New" w:hAnsi="TH Sarabun New" w:cs="TH Sarabun New" w:eastAsia="TH Sarabun New"/>
                <w:b w:val="0"/>
                <w:i w:val="0"/>
                <w:sz w:val="26"/>
                <w:szCs w:val="26"/>
              </w:rPr>
              <w:t>ใช้ภายใน (Internal)</w:t>
            </w:r>
          </w:p>
        </w:tc>
      </w:tr>
      <w:tr>
        <w:tc>
          <w:tcPr>
            <w:tcW w:type="dxa" w:w="2835"/>
            <w:shd w:val="clear" w:color="auto" w:fill="EAF0F7"/>
          </w:tcPr>
          <w:p>
            <w:r>
              <w:rPr>
                <w:rFonts w:ascii="TH Sarabun New" w:hAnsi="TH Sarabun New" w:cs="TH Sarabun New" w:eastAsia="TH Sarabun New"/>
                <w:b/>
                <w:i w:val="0"/>
                <w:sz w:val="26"/>
                <w:szCs w:val="26"/>
                <w:bCs/>
              </w:rPr>
              <w:t>เจ้าของเอกสาร</w:t>
            </w:r>
          </w:p>
        </w:tc>
        <w:tc>
          <w:tcPr>
            <w:tcW w:type="dxa" w:w="6520"/>
          </w:tcPr>
          <w:p>
            <w:r>
              <w:rPr>
                <w:rFonts w:ascii="TH Sarabun New" w:hAnsi="TH Sarabun New" w:cs="TH Sarabun New" w:eastAsia="TH Sarabun New"/>
                <w:b w:val="0"/>
                <w:i w:val="0"/>
                <w:sz w:val="26"/>
                <w:szCs w:val="26"/>
              </w:rPr>
              <w:t>ผู้บริหารด้านความมั่นคงปลอดภัยสารสนเทศ (CISO) หรือ Security Manager</w:t>
            </w:r>
          </w:p>
        </w:tc>
      </w:tr>
      <w:tr>
        <w:tc>
          <w:tcPr>
            <w:tcW w:type="dxa" w:w="2835"/>
            <w:shd w:val="clear" w:color="auto" w:fill="EAF0F7"/>
          </w:tcPr>
          <w:p>
            <w:r>
              <w:rPr>
                <w:rFonts w:ascii="TH Sarabun New" w:hAnsi="TH Sarabun New" w:cs="TH Sarabun New" w:eastAsia="TH Sarabun New"/>
                <w:b/>
                <w:i w:val="0"/>
                <w:sz w:val="26"/>
                <w:szCs w:val="26"/>
                <w:bCs/>
              </w:rPr>
              <w:t>ผู้อนุมัติ</w:t>
            </w:r>
          </w:p>
        </w:tc>
        <w:tc>
          <w:tcPr>
            <w:tcW w:type="dxa" w:w="6520"/>
          </w:tcPr>
          <w:p>
            <w:r>
              <w:rPr>
                <w:rFonts w:ascii="TH Sarabun New" w:hAnsi="TH Sarabun New" w:cs="TH Sarabun New" w:eastAsia="TH Sarabun New"/>
                <w:b w:val="0"/>
                <w:i w:val="0"/>
                <w:sz w:val="26"/>
                <w:szCs w:val="26"/>
              </w:rPr>
              <w:t>ประธานเจ้าหน้าที่บริหารด้านสารสนเทศ (CIO)</w:t>
            </w:r>
          </w:p>
        </w:tc>
      </w:tr>
      <w:tr>
        <w:tc>
          <w:tcPr>
            <w:tcW w:type="dxa" w:w="2835"/>
            <w:shd w:val="clear" w:color="auto" w:fill="EAF0F7"/>
          </w:tcPr>
          <w:p>
            <w:r>
              <w:rPr>
                <w:rFonts w:ascii="TH Sarabun New" w:hAnsi="TH Sarabun New" w:cs="TH Sarabun New" w:eastAsia="TH Sarabun New"/>
                <w:b/>
                <w:i w:val="0"/>
                <w:sz w:val="26"/>
                <w:szCs w:val="26"/>
                <w:bCs/>
              </w:rPr>
              <w:t>วันที่มีผลบังคับใช้</w:t>
            </w:r>
          </w:p>
        </w:tc>
        <w:tc>
          <w:tcPr>
            <w:tcW w:type="dxa" w:w="6520"/>
          </w:tcPr>
          <w:p>
            <w:r>
              <w:rPr>
                <w:rFonts w:ascii="TH Sarabun New" w:hAnsi="TH Sarabun New" w:cs="TH Sarabun New" w:eastAsia="TH Sarabun New"/>
                <w:b w:val="0"/>
                <w:i w:val="0"/>
                <w:sz w:val="26"/>
                <w:szCs w:val="26"/>
              </w:rPr>
              <w:t>[วว เดือน ปปปป]</w:t>
            </w:r>
          </w:p>
        </w:tc>
      </w:tr>
      <w:tr>
        <w:tc>
          <w:tcPr>
            <w:tcW w:type="dxa" w:w="2835"/>
            <w:shd w:val="clear" w:color="auto" w:fill="EAF0F7"/>
          </w:tcPr>
          <w:p>
            <w:r>
              <w:rPr>
                <w:rFonts w:ascii="TH Sarabun New" w:hAnsi="TH Sarabun New" w:cs="TH Sarabun New" w:eastAsia="TH Sarabun New"/>
                <w:b/>
                <w:i w:val="0"/>
                <w:sz w:val="26"/>
                <w:szCs w:val="26"/>
                <w:bCs/>
              </w:rPr>
              <w:t>รอบการทบทวน</w:t>
            </w:r>
          </w:p>
        </w:tc>
        <w:tc>
          <w:tcPr>
            <w:tcW w:type="dxa" w:w="6520"/>
          </w:tcPr>
          <w:p>
            <w:r>
              <w:rPr>
                <w:rFonts w:ascii="TH Sarabun New" w:hAnsi="TH Sarabun New" w:cs="TH Sarabun New" w:eastAsia="TH Sarabun New"/>
                <w:b w:val="0"/>
                <w:i w:val="0"/>
                <w:sz w:val="26"/>
                <w:szCs w:val="26"/>
              </w:rPr>
              <w:t>ทุกปี</w:t>
            </w:r>
          </w:p>
        </w:tc>
      </w:tr>
      <w:tr>
        <w:tc>
          <w:tcPr>
            <w:tcW w:type="dxa" w:w="2835"/>
            <w:shd w:val="clear" w:color="auto" w:fill="EAF0F7"/>
          </w:tcPr>
          <w:p>
            <w:r>
              <w:rPr>
                <w:rFonts w:ascii="TH Sarabun New" w:hAnsi="TH Sarabun New" w:cs="TH Sarabun New" w:eastAsia="TH Sarabun New"/>
                <w:b/>
                <w:i w:val="0"/>
                <w:sz w:val="26"/>
                <w:szCs w:val="26"/>
                <w:bCs/>
              </w:rPr>
              <w:t>วันที่ทบทวนครั้งถัดไป</w:t>
            </w:r>
          </w:p>
        </w:tc>
        <w:tc>
          <w:tcPr>
            <w:tcW w:type="dxa" w:w="6520"/>
          </w:tcPr>
          <w:p>
            <w:r>
              <w:rPr>
                <w:rFonts w:ascii="TH Sarabun New" w:hAnsi="TH Sarabun New" w:cs="TH Sarabun New" w:eastAsia="TH Sarabun New"/>
                <w:b w:val="0"/>
                <w:i w:val="0"/>
                <w:sz w:val="26"/>
                <w:szCs w:val="26"/>
              </w:rPr>
              <w:t>[วว เดือน ปปปป]</w:t>
            </w:r>
          </w:p>
        </w:tc>
      </w:tr>
    </w:tbl>
    <w:p>
      <w:pPr>
        <w:spacing w:after="40"/>
      </w:pPr>
    </w:p>
    <w:p>
      <w:pPr>
        <w:pStyle w:val="Heading1"/>
        <w:keepNext/>
        <w:spacing w:before="200" w:after="80"/>
      </w:pPr>
      <w:r>
        <w:rPr>
          <w:rFonts w:ascii="TH Sarabun New" w:hAnsi="TH Sarabun New" w:cs="TH Sarabun New" w:eastAsia="TH Sarabun New"/>
          <w:b/>
          <w:i w:val="0"/>
          <w:color w:val="1F3864"/>
          <w:sz w:val="38"/>
          <w:szCs w:val="38"/>
          <w:bCs/>
        </w:rPr>
        <w:t>2. ข้อมูลประจำเอกสาร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  <w:tblLayout w:type="fixed"/>
      </w:tblPr>
      <w:tblGrid>
        <w:gridCol w:w="2835"/>
        <w:gridCol w:w="6520"/>
      </w:tblGrid>
      <w:tr>
        <w:tc>
          <w:tcPr>
            <w:tcW w:type="dxa" w:w="2835"/>
            <w:shd w:val="clear" w:color="auto" w:fill="EAF0F7"/>
          </w:tcPr>
          <w:p>
            <w:r>
              <w:rPr>
                <w:rFonts w:ascii="TH Sarabun New" w:hAnsi="TH Sarabun New" w:cs="TH Sarabun New" w:eastAsia="TH Sarabun New"/>
                <w:b/>
                <w:i w:val="0"/>
                <w:sz w:val="26"/>
                <w:szCs w:val="26"/>
                <w:bCs/>
              </w:rPr>
              <w:t>ชั้นเอกสาร</w:t>
            </w:r>
          </w:p>
        </w:tc>
        <w:tc>
          <w:tcPr>
            <w:tcW w:type="dxa" w:w="6520"/>
          </w:tcPr>
          <w:p>
            <w:r>
              <w:rPr>
                <w:rFonts w:ascii="TH Sarabun New" w:hAnsi="TH Sarabun New" w:cs="TH Sarabun New" w:eastAsia="TH Sarabun New"/>
                <w:b w:val="0"/>
                <w:i w:val="0"/>
                <w:sz w:val="26"/>
                <w:szCs w:val="26"/>
              </w:rPr>
              <w:t>ชั้นที่ 3: ระเบียบปฏิบัติ แผน คู่มือ และแนวทาง</w:t>
            </w:r>
          </w:p>
        </w:tc>
      </w:tr>
      <w:tr>
        <w:tc>
          <w:tcPr>
            <w:tcW w:type="dxa" w:w="2835"/>
            <w:shd w:val="clear" w:color="auto" w:fill="EAF0F7"/>
          </w:tcPr>
          <w:p>
            <w:r>
              <w:rPr>
                <w:rFonts w:ascii="TH Sarabun New" w:hAnsi="TH Sarabun New" w:cs="TH Sarabun New" w:eastAsia="TH Sarabun New"/>
                <w:b/>
                <w:i w:val="0"/>
                <w:sz w:val="26"/>
                <w:szCs w:val="26"/>
                <w:bCs/>
              </w:rPr>
              <w:t>ประเภทเอกสาร</w:t>
            </w:r>
          </w:p>
        </w:tc>
        <w:tc>
          <w:tcPr>
            <w:tcW w:type="dxa" w:w="6520"/>
          </w:tcPr>
          <w:p>
            <w:r>
              <w:rPr>
                <w:rFonts w:ascii="TH Sarabun New" w:hAnsi="TH Sarabun New" w:cs="TH Sarabun New" w:eastAsia="TH Sarabun New"/>
                <w:b w:val="0"/>
                <w:i w:val="0"/>
                <w:sz w:val="26"/>
                <w:szCs w:val="26"/>
              </w:rPr>
              <w:t>คู่มือรับมือ (Playbook)</w:t>
            </w:r>
          </w:p>
        </w:tc>
      </w:tr>
      <w:tr>
        <w:tc>
          <w:tcPr>
            <w:tcW w:type="dxa" w:w="2835"/>
            <w:shd w:val="clear" w:color="auto" w:fill="EAF0F7"/>
          </w:tcPr>
          <w:p>
            <w:r>
              <w:rPr>
                <w:rFonts w:ascii="TH Sarabun New" w:hAnsi="TH Sarabun New" w:cs="TH Sarabun New" w:eastAsia="TH Sarabun New"/>
                <w:b/>
                <w:i w:val="0"/>
                <w:sz w:val="26"/>
                <w:szCs w:val="26"/>
                <w:bCs/>
              </w:rPr>
              <w:t>CSF Function</w:t>
            </w:r>
          </w:p>
        </w:tc>
        <w:tc>
          <w:tcPr>
            <w:tcW w:type="dxa" w:w="6520"/>
          </w:tcPr>
          <w:p>
            <w:r>
              <w:rPr>
                <w:rFonts w:ascii="TH Sarabun New" w:hAnsi="TH Sarabun New" w:cs="TH Sarabun New" w:eastAsia="TH Sarabun New"/>
                <w:b w:val="0"/>
                <w:i w:val="0"/>
                <w:sz w:val="26"/>
                <w:szCs w:val="26"/>
              </w:rPr>
              <w:t>ตอบสนอง (Respond, RS)</w:t>
            </w:r>
          </w:p>
        </w:tc>
      </w:tr>
      <w:tr>
        <w:tc>
          <w:tcPr>
            <w:tcW w:type="dxa" w:w="2835"/>
            <w:shd w:val="clear" w:color="auto" w:fill="EAF0F7"/>
          </w:tcPr>
          <w:p>
            <w:r>
              <w:rPr>
                <w:rFonts w:ascii="TH Sarabun New" w:hAnsi="TH Sarabun New" w:cs="TH Sarabun New" w:eastAsia="TH Sarabun New"/>
                <w:b/>
                <w:i w:val="0"/>
                <w:sz w:val="26"/>
                <w:szCs w:val="26"/>
                <w:bCs/>
              </w:rPr>
              <w:t>CSF Category</w:t>
            </w:r>
          </w:p>
        </w:tc>
        <w:tc>
          <w:tcPr>
            <w:tcW w:type="dxa" w:w="6520"/>
          </w:tcPr>
          <w:p>
            <w:r>
              <w:rPr>
                <w:rFonts w:ascii="TH Sarabun New" w:hAnsi="TH Sarabun New" w:cs="TH Sarabun New" w:eastAsia="TH Sarabun New"/>
                <w:b w:val="0"/>
                <w:i w:val="0"/>
                <w:sz w:val="26"/>
                <w:szCs w:val="26"/>
              </w:rPr>
              <w:t>การบริหารจัดการเหตุการณ์ (RS.MA)</w:t>
            </w:r>
          </w:p>
        </w:tc>
      </w:tr>
      <w:tr>
        <w:tc>
          <w:tcPr>
            <w:tcW w:type="dxa" w:w="2835"/>
            <w:shd w:val="clear" w:color="auto" w:fill="EAF0F7"/>
          </w:tcPr>
          <w:p>
            <w:r>
              <w:rPr>
                <w:rFonts w:ascii="TH Sarabun New" w:hAnsi="TH Sarabun New" w:cs="TH Sarabun New" w:eastAsia="TH Sarabun New"/>
                <w:b/>
                <w:i w:val="0"/>
                <w:sz w:val="26"/>
                <w:szCs w:val="26"/>
                <w:bCs/>
              </w:rPr>
              <w:t>ระดับความจำเป็น (Level)</w:t>
            </w:r>
          </w:p>
        </w:tc>
        <w:tc>
          <w:tcPr>
            <w:tcW w:type="dxa" w:w="6520"/>
          </w:tcPr>
          <w:p>
            <w:r>
              <w:rPr>
                <w:rFonts w:ascii="TH Sarabun New" w:hAnsi="TH Sarabun New" w:cs="TH Sarabun New" w:eastAsia="TH Sarabun New"/>
                <w:b w:val="0"/>
                <w:i w:val="0"/>
                <w:sz w:val="26"/>
                <w:szCs w:val="26"/>
              </w:rPr>
              <w:t>คาดหวัง (Expected)</w:t>
            </w:r>
          </w:p>
        </w:tc>
      </w:tr>
      <w:tr>
        <w:tc>
          <w:tcPr>
            <w:tcW w:type="dxa" w:w="2835"/>
            <w:shd w:val="clear" w:color="auto" w:fill="EAF0F7"/>
          </w:tcPr>
          <w:p>
            <w:r>
              <w:rPr>
                <w:rFonts w:ascii="TH Sarabun New" w:hAnsi="TH Sarabun New" w:cs="TH Sarabun New" w:eastAsia="TH Sarabun New"/>
                <w:b/>
                <w:i w:val="0"/>
                <w:sz w:val="26"/>
                <w:szCs w:val="26"/>
                <w:bCs/>
              </w:rPr>
              <w:t>เงื่อนไขที่ทำให้บังคับ (Trigger)</w:t>
            </w:r>
          </w:p>
        </w:tc>
        <w:tc>
          <w:tcPr>
            <w:tcW w:type="dxa" w:w="6520"/>
          </w:tcPr>
          <w:p>
            <w:r>
              <w:rPr>
                <w:rFonts w:ascii="TH Sarabun New" w:hAnsi="TH Sarabun New" w:cs="TH Sarabun New" w:eastAsia="TH Sarabun New"/>
                <w:b w:val="0"/>
                <w:i w:val="0"/>
                <w:sz w:val="26"/>
                <w:szCs w:val="26"/>
              </w:rPr>
              <w:t>ทุกองค์กร</w:t>
            </w:r>
          </w:p>
        </w:tc>
      </w:tr>
      <w:tr>
        <w:tc>
          <w:tcPr>
            <w:tcW w:type="dxa" w:w="2835"/>
            <w:shd w:val="clear" w:color="auto" w:fill="EAF0F7"/>
          </w:tcPr>
          <w:p>
            <w:r>
              <w:rPr>
                <w:rFonts w:ascii="TH Sarabun New" w:hAnsi="TH Sarabun New" w:cs="TH Sarabun New" w:eastAsia="TH Sarabun New"/>
                <w:b/>
                <w:i w:val="0"/>
                <w:sz w:val="26"/>
                <w:szCs w:val="26"/>
                <w:bCs/>
              </w:rPr>
              <w:t>แหล่งอ้างอิง (Basis)</w:t>
            </w:r>
          </w:p>
        </w:tc>
        <w:tc>
          <w:tcPr>
            <w:tcW w:type="dxa" w:w="6520"/>
          </w:tcPr>
          <w:p>
            <w:r>
              <w:rPr>
                <w:rFonts w:ascii="TH Sarabun New" w:hAnsi="TH Sarabun New" w:cs="TH Sarabun New" w:eastAsia="TH Sarabun New"/>
                <w:b w:val="0"/>
                <w:i w:val="0"/>
                <w:sz w:val="26"/>
                <w:szCs w:val="26"/>
              </w:rPr>
              <w:t>NIST SP 800-61 Rev. 3</w:t>
            </w:r>
          </w:p>
        </w:tc>
      </w:tr>
      <w:tr>
        <w:tc>
          <w:tcPr>
            <w:tcW w:type="dxa" w:w="2835"/>
            <w:shd w:val="clear" w:color="auto" w:fill="EAF0F7"/>
          </w:tcPr>
          <w:p>
            <w:r>
              <w:rPr>
                <w:rFonts w:ascii="TH Sarabun New" w:hAnsi="TH Sarabun New" w:cs="TH Sarabun New" w:eastAsia="TH Sarabun New"/>
                <w:b/>
                <w:i w:val="0"/>
                <w:sz w:val="26"/>
                <w:szCs w:val="26"/>
                <w:bCs/>
              </w:rPr>
              <w:t>ISO/IEC 27002 theme และ Tag</w:t>
            </w:r>
          </w:p>
        </w:tc>
        <w:tc>
          <w:tcPr>
            <w:tcW w:type="dxa" w:w="6520"/>
          </w:tcPr>
          <w:p>
            <w:r>
              <w:rPr>
                <w:rFonts w:ascii="TH Sarabun New" w:hAnsi="TH Sarabun New" w:cs="TH Sarabun New" w:eastAsia="TH Sarabun New"/>
                <w:b w:val="0"/>
                <w:i w:val="0"/>
                <w:sz w:val="26"/>
                <w:szCs w:val="26"/>
              </w:rPr>
              <w:t>องค์กร (Organizational, A.5); Tag: กระบวนการ</w:t>
            </w:r>
          </w:p>
        </w:tc>
      </w:tr>
      <w:tr>
        <w:tc>
          <w:tcPr>
            <w:tcW w:type="dxa" w:w="2835"/>
            <w:shd w:val="clear" w:color="auto" w:fill="EAF0F7"/>
          </w:tcPr>
          <w:p>
            <w:r>
              <w:rPr>
                <w:rFonts w:ascii="TH Sarabun New" w:hAnsi="TH Sarabun New" w:cs="TH Sarabun New" w:eastAsia="TH Sarabun New"/>
                <w:b/>
                <w:i w:val="0"/>
                <w:sz w:val="26"/>
                <w:szCs w:val="26"/>
                <w:bCs/>
              </w:rPr>
              <w:t>ชุดเอกสาร (Package)</w:t>
            </w:r>
          </w:p>
        </w:tc>
        <w:tc>
          <w:tcPr>
            <w:tcW w:type="dxa" w:w="6520"/>
          </w:tcPr>
          <w:p>
            <w:r>
              <w:rPr>
                <w:rFonts w:ascii="TH Sarabun New" w:hAnsi="TH Sarabun New" w:cs="TH Sarabun New" w:eastAsia="TH Sarabun New"/>
                <w:b w:val="0"/>
                <w:i w:val="0"/>
                <w:sz w:val="26"/>
                <w:szCs w:val="26"/>
              </w:rPr>
              <w:t>หลัก (Core)</w:t>
            </w:r>
          </w:p>
        </w:tc>
      </w:tr>
    </w:tbl>
    <w:p>
      <w:pPr>
        <w:spacing w:after="40"/>
      </w:pPr>
    </w:p>
    <w:p>
      <w:pPr>
        <w:pStyle w:val="Heading1"/>
        <w:keepNext/>
        <w:spacing w:before="200" w:after="80"/>
      </w:pPr>
      <w:r>
        <w:rPr>
          <w:rFonts w:ascii="TH Sarabun New" w:hAnsi="TH Sarabun New" w:cs="TH Sarabun New" w:eastAsia="TH Sarabun New"/>
          <w:b/>
          <w:i w:val="0"/>
          <w:color w:val="1F3864"/>
          <w:sz w:val="38"/>
          <w:szCs w:val="38"/>
          <w:bCs/>
        </w:rPr>
        <w:t>3. ประวัติการแก้ไข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  <w:tblLayout w:type="fixed"/>
      </w:tblPr>
      <w:tblGrid>
        <w:gridCol w:w="907"/>
        <w:gridCol w:w="1587"/>
        <w:gridCol w:w="3742"/>
        <w:gridCol w:w="1587"/>
        <w:gridCol w:w="1530"/>
      </w:tblGrid>
      <w:tr>
        <w:trPr>
          <w:tblHeader w:val="true"/>
        </w:trPr>
        <w:tc>
          <w:tcPr>
            <w:tcW w:type="dxa" w:w="907"/>
            <w:shd w:val="clear" w:color="auto" w:fill="1F3864"/>
          </w:tcPr>
          <w:p>
            <w:r/>
            <w:r>
              <w:rPr>
                <w:rFonts w:ascii="TH Sarabun New" w:hAnsi="TH Sarabun New" w:cs="TH Sarabun New" w:eastAsia="TH Sarabun New"/>
                <w:b/>
                <w:i w:val="0"/>
                <w:color w:val="FFFFFF"/>
                <w:sz w:val="26"/>
                <w:szCs w:val="26"/>
                <w:bCs/>
              </w:rPr>
              <w:t>ฉบับที่</w:t>
            </w:r>
          </w:p>
        </w:tc>
        <w:tc>
          <w:tcPr>
            <w:tcW w:type="dxa" w:w="1587"/>
            <w:shd w:val="clear" w:color="auto" w:fill="1F3864"/>
          </w:tcPr>
          <w:p>
            <w:r/>
            <w:r>
              <w:rPr>
                <w:rFonts w:ascii="TH Sarabun New" w:hAnsi="TH Sarabun New" w:cs="TH Sarabun New" w:eastAsia="TH Sarabun New"/>
                <w:b/>
                <w:i w:val="0"/>
                <w:color w:val="FFFFFF"/>
                <w:sz w:val="26"/>
                <w:szCs w:val="26"/>
                <w:bCs/>
              </w:rPr>
              <w:t>วันที่</w:t>
            </w:r>
          </w:p>
        </w:tc>
        <w:tc>
          <w:tcPr>
            <w:tcW w:type="dxa" w:w="3742"/>
            <w:shd w:val="clear" w:color="auto" w:fill="1F3864"/>
          </w:tcPr>
          <w:p>
            <w:r/>
            <w:r>
              <w:rPr>
                <w:rFonts w:ascii="TH Sarabun New" w:hAnsi="TH Sarabun New" w:cs="TH Sarabun New" w:eastAsia="TH Sarabun New"/>
                <w:b/>
                <w:i w:val="0"/>
                <w:color w:val="FFFFFF"/>
                <w:sz w:val="26"/>
                <w:szCs w:val="26"/>
                <w:bCs/>
              </w:rPr>
              <w:t>รายละเอียดการแก้ไข</w:t>
            </w:r>
          </w:p>
        </w:tc>
        <w:tc>
          <w:tcPr>
            <w:tcW w:type="dxa" w:w="1587"/>
            <w:shd w:val="clear" w:color="auto" w:fill="1F3864"/>
          </w:tcPr>
          <w:p>
            <w:r/>
            <w:r>
              <w:rPr>
                <w:rFonts w:ascii="TH Sarabun New" w:hAnsi="TH Sarabun New" w:cs="TH Sarabun New" w:eastAsia="TH Sarabun New"/>
                <w:b/>
                <w:i w:val="0"/>
                <w:color w:val="FFFFFF"/>
                <w:sz w:val="26"/>
                <w:szCs w:val="26"/>
                <w:bCs/>
              </w:rPr>
              <w:t>ผู้จัดทำ</w:t>
            </w:r>
          </w:p>
        </w:tc>
        <w:tc>
          <w:tcPr>
            <w:tcW w:type="dxa" w:w="1531"/>
            <w:shd w:val="clear" w:color="auto" w:fill="1F3864"/>
          </w:tcPr>
          <w:p>
            <w:r/>
            <w:r>
              <w:rPr>
                <w:rFonts w:ascii="TH Sarabun New" w:hAnsi="TH Sarabun New" w:cs="TH Sarabun New" w:eastAsia="TH Sarabun New"/>
                <w:b/>
                <w:i w:val="0"/>
                <w:color w:val="FFFFFF"/>
                <w:sz w:val="26"/>
                <w:szCs w:val="26"/>
                <w:bCs/>
              </w:rPr>
              <w:t>ผู้อนุมัติ</w:t>
            </w:r>
          </w:p>
        </w:tc>
      </w:tr>
      <w:tr>
        <w:tc>
          <w:tcPr>
            <w:tcW w:type="dxa" w:w="907"/>
          </w:tcPr>
          <w:p>
            <w:r/>
            <w:r>
              <w:rPr>
                <w:rFonts w:ascii="TH Sarabun New" w:hAnsi="TH Sarabun New" w:cs="TH Sarabun New" w:eastAsia="TH Sarabun New"/>
                <w:b w:val="0"/>
                <w:i w:val="0"/>
                <w:sz w:val="26"/>
                <w:szCs w:val="26"/>
              </w:rPr>
              <w:t>1.0</w:t>
            </w:r>
          </w:p>
        </w:tc>
        <w:tc>
          <w:tcPr>
            <w:tcW w:type="dxa" w:w="1587"/>
          </w:tcPr>
          <w:p>
            <w:r/>
            <w:r>
              <w:rPr>
                <w:rFonts w:ascii="TH Sarabun New" w:hAnsi="TH Sarabun New" w:cs="TH Sarabun New" w:eastAsia="TH Sarabun New"/>
                <w:b w:val="0"/>
                <w:i w:val="0"/>
                <w:sz w:val="26"/>
                <w:szCs w:val="26"/>
              </w:rPr>
              <w:t>[วว เดือน ปปปป]</w:t>
            </w:r>
          </w:p>
        </w:tc>
        <w:tc>
          <w:tcPr>
            <w:tcW w:type="dxa" w:w="3742"/>
          </w:tcPr>
          <w:p>
            <w:r/>
            <w:r>
              <w:rPr>
                <w:rFonts w:ascii="TH Sarabun New" w:hAnsi="TH Sarabun New" w:cs="TH Sarabun New" w:eastAsia="TH Sarabun New"/>
                <w:b w:val="0"/>
                <w:i w:val="0"/>
                <w:sz w:val="26"/>
                <w:szCs w:val="26"/>
              </w:rPr>
              <w:t>ประกาศใช้ครั้งแรก</w:t>
            </w:r>
          </w:p>
        </w:tc>
        <w:tc>
          <w:tcPr>
            <w:tcW w:type="dxa" w:w="1587"/>
          </w:tcPr>
          <w:p>
            <w:r/>
            <w:r>
              <w:rPr>
                <w:rFonts w:ascii="TH Sarabun New" w:hAnsi="TH Sarabun New" w:cs="TH Sarabun New" w:eastAsia="TH Sarabun New"/>
                <w:b w:val="0"/>
                <w:i w:val="0"/>
                <w:sz w:val="26"/>
                <w:szCs w:val="26"/>
              </w:rPr>
              <w:t>[ชื่อ ตำแหน่ง]</w:t>
            </w:r>
          </w:p>
        </w:tc>
        <w:tc>
          <w:tcPr>
            <w:tcW w:type="dxa" w:w="1531"/>
          </w:tcPr>
          <w:p>
            <w:r/>
            <w:r>
              <w:rPr>
                <w:rFonts w:ascii="TH Sarabun New" w:hAnsi="TH Sarabun New" w:cs="TH Sarabun New" w:eastAsia="TH Sarabun New"/>
                <w:b w:val="0"/>
                <w:i w:val="0"/>
                <w:sz w:val="26"/>
                <w:szCs w:val="26"/>
              </w:rPr>
              <w:t>[ชื่อ ตำแหน่ง]</w:t>
            </w:r>
          </w:p>
        </w:tc>
      </w:tr>
    </w:tbl>
    <w:p>
      <w:pPr>
        <w:spacing w:after="40"/>
      </w:pPr>
    </w:p>
    <w:p>
      <w:pPr>
        <w:pStyle w:val="Heading1"/>
        <w:keepNext/>
        <w:spacing w:before="200" w:after="80"/>
      </w:pPr>
      <w:r>
        <w:rPr>
          <w:rFonts w:ascii="TH Sarabun New" w:hAnsi="TH Sarabun New" w:cs="TH Sarabun New" w:eastAsia="TH Sarabun New"/>
          <w:b/>
          <w:i w:val="0"/>
          <w:color w:val="1F3864"/>
          <w:sz w:val="38"/>
          <w:szCs w:val="38"/>
          <w:bCs/>
        </w:rPr>
        <w:t>4. ส่วน A: ข้อกำหนดขั้นต่ำ (Requirement Fields)</w:t>
      </w:r>
    </w:p>
    <w:p>
      <w:pPr>
        <w:pStyle w:val="Heading2"/>
        <w:keepNext/>
        <w:spacing w:before="120" w:after="80"/>
      </w:pPr>
      <w:r>
        <w:rPr>
          <w:rFonts w:ascii="TH Sarabun New" w:hAnsi="TH Sarabun New" w:cs="TH Sarabun New" w:eastAsia="TH Sarabun New"/>
          <w:b/>
          <w:i w:val="0"/>
          <w:color w:val="1F3864"/>
          <w:sz w:val="33"/>
          <w:szCs w:val="33"/>
          <w:bCs/>
        </w:rPr>
        <w:t>4.1 วัตถุประสงค์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  <w:tblLayout w:type="fixed"/>
      </w:tblPr>
      <w:tblGrid>
        <w:gridCol w:w="9355"/>
      </w:tblGrid>
      <w:tr>
        <w:tc>
          <w:tcPr>
            <w:tcW w:type="dxa" w:w="9354"/>
            <w:shd w:val="clear" w:color="auto" w:fill="EAF0F7"/>
          </w:tcPr>
          <w:p>
            <w:r>
              <w:rPr>
                <w:rFonts w:ascii="TH Sarabun New" w:hAnsi="TH Sarabun New" w:cs="TH Sarabun New" w:eastAsia="TH Sarabun New"/>
                <w:b/>
                <w:i w:val="0"/>
                <w:color w:val="1F3864"/>
                <w:sz w:val="26"/>
                <w:szCs w:val="26"/>
                <w:bCs/>
              </w:rPr>
              <w:t xml:space="preserve">ข้อกำหนด: </w:t>
            </w:r>
            <w:r>
              <w:rPr>
                <w:rFonts w:ascii="TH Sarabun New" w:hAnsi="TH Sarabun New" w:cs="TH Sarabun New" w:eastAsia="TH Sarabun New"/>
                <w:b w:val="0"/>
                <w:i w:val="0"/>
                <w:sz w:val="26"/>
                <w:szCs w:val="26"/>
              </w:rPr>
              <w:t>ระบุเหตุผลของการมีเอกสารนี้และผลลัพธ์ที่เอกสารสนับสนุน</w:t>
            </w:r>
          </w:p>
        </w:tc>
      </w:tr>
    </w:tbl>
    <w:p>
      <w:pPr>
        <w:spacing w:after="0"/>
      </w:pPr>
    </w:p>
    <w:p>
      <w:pPr>
        <w:spacing w:after="40" w:before="0"/>
      </w:pPr>
      <w:r>
        <w:rPr>
          <w:rFonts w:ascii="TH Sarabun New" w:hAnsi="TH Sarabun New" w:cs="TH Sarabun New" w:eastAsia="TH Sarabun New"/>
          <w:b w:val="0"/>
          <w:i/>
          <w:color w:val="595959"/>
          <w:sz w:val="26"/>
          <w:szCs w:val="26"/>
        </w:rPr>
        <w:t>ตัวอย่างเนื้อหา</w:t>
      </w:r>
    </w:p>
    <w:p>
      <w:pPr>
        <w:spacing w:after="80" w:before="0"/>
      </w:pPr>
      <w:r>
        <w:rPr>
          <w:rFonts w:ascii="TH Sarabun New" w:hAnsi="TH Sarabun New" w:cs="TH Sarabun New" w:eastAsia="TH Sarabun New"/>
          <w:b w:val="0"/>
          <w:i w:val="0"/>
          <w:sz w:val="30"/>
          <w:szCs w:val="30"/>
        </w:rPr>
        <w:t>คู่มือนี้กำหนดการดำเนินการเฉพาะในการรับมือฟิชชิ่งและการหลอกลวงทางอีเมลธุรกิจ (BEC) รวมถึงความพยายามฉ้อโกงการชำระเงิน (RS.MI-01, RS.MI-02)</w:t>
      </w:r>
    </w:p>
    <w:p>
      <w:pPr>
        <w:pStyle w:val="Heading2"/>
        <w:keepNext/>
        <w:spacing w:before="120" w:after="80"/>
      </w:pPr>
      <w:r>
        <w:rPr>
          <w:rFonts w:ascii="TH Sarabun New" w:hAnsi="TH Sarabun New" w:cs="TH Sarabun New" w:eastAsia="TH Sarabun New"/>
          <w:b/>
          <w:i w:val="0"/>
          <w:color w:val="1F3864"/>
          <w:sz w:val="33"/>
          <w:szCs w:val="33"/>
          <w:bCs/>
        </w:rPr>
        <w:t>4.2 ขอบเขต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  <w:tblLayout w:type="fixed"/>
      </w:tblPr>
      <w:tblGrid>
        <w:gridCol w:w="9355"/>
      </w:tblGrid>
      <w:tr>
        <w:tc>
          <w:tcPr>
            <w:tcW w:type="dxa" w:w="9354"/>
            <w:shd w:val="clear" w:color="auto" w:fill="EAF0F7"/>
          </w:tcPr>
          <w:p>
            <w:r>
              <w:rPr>
                <w:rFonts w:ascii="TH Sarabun New" w:hAnsi="TH Sarabun New" w:cs="TH Sarabun New" w:eastAsia="TH Sarabun New"/>
                <w:b/>
                <w:i w:val="0"/>
                <w:color w:val="1F3864"/>
                <w:sz w:val="26"/>
                <w:szCs w:val="26"/>
                <w:bCs/>
              </w:rPr>
              <w:t xml:space="preserve">ข้อกำหนด: </w:t>
            </w:r>
            <w:r>
              <w:rPr>
                <w:rFonts w:ascii="TH Sarabun New" w:hAnsi="TH Sarabun New" w:cs="TH Sarabun New" w:eastAsia="TH Sarabun New"/>
                <w:b w:val="0"/>
                <w:i w:val="0"/>
                <w:sz w:val="26"/>
                <w:szCs w:val="26"/>
              </w:rPr>
              <w:t>ระบุหน่วยงาน บุคลากร ระบบ สถานที่ และบุคคลภายนอกที่อยู่ในขอบเขต พร้อมระบุข้อยกเว้น (ถ้ามี)</w:t>
            </w:r>
          </w:p>
        </w:tc>
      </w:tr>
    </w:tbl>
    <w:p>
      <w:pPr>
        <w:spacing w:after="0"/>
      </w:pPr>
    </w:p>
    <w:p>
      <w:pPr>
        <w:spacing w:after="40" w:before="0"/>
      </w:pPr>
      <w:r>
        <w:rPr>
          <w:rFonts w:ascii="TH Sarabun New" w:hAnsi="TH Sarabun New" w:cs="TH Sarabun New" w:eastAsia="TH Sarabun New"/>
          <w:b w:val="0"/>
          <w:i/>
          <w:color w:val="595959"/>
          <w:sz w:val="26"/>
          <w:szCs w:val="26"/>
        </w:rPr>
        <w:t>ตัวอย่างเนื้อหา</w:t>
      </w:r>
    </w:p>
    <w:p>
      <w:pPr>
        <w:spacing w:after="80" w:before="0"/>
      </w:pPr>
      <w:r>
        <w:rPr>
          <w:rFonts w:ascii="TH Sarabun New" w:hAnsi="TH Sarabun New" w:cs="TH Sarabun New" w:eastAsia="TH Sarabun New"/>
          <w:b w:val="0"/>
          <w:i w:val="0"/>
          <w:sz w:val="30"/>
          <w:szCs w:val="30"/>
        </w:rPr>
        <w:t>คู่มือรับมือ (Playbook)นี้ใช้กับทุกหน่วยงานและบุคลากรที่ดำเนินการหรือสนับสนุนกิจกรรมที่ระบุในเอกสารนี้ รวมถึงบุคคลภายนอกที่ปฏิบัติงานในนามของ [ชื่อองค์กร]</w:t>
      </w:r>
    </w:p>
    <w:p>
      <w:pPr>
        <w:pStyle w:val="Heading2"/>
        <w:keepNext/>
        <w:spacing w:before="120" w:after="80"/>
      </w:pPr>
      <w:r>
        <w:rPr>
          <w:rFonts w:ascii="TH Sarabun New" w:hAnsi="TH Sarabun New" w:cs="TH Sarabun New" w:eastAsia="TH Sarabun New"/>
          <w:b/>
          <w:i w:val="0"/>
          <w:color w:val="1F3864"/>
          <w:sz w:val="33"/>
          <w:szCs w:val="33"/>
          <w:bCs/>
        </w:rPr>
        <w:t>4.3 ขั้นตอนการรับมือ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  <w:tblLayout w:type="fixed"/>
      </w:tblPr>
      <w:tblGrid>
        <w:gridCol w:w="9355"/>
      </w:tblGrid>
      <w:tr>
        <w:tc>
          <w:tcPr>
            <w:tcW w:type="dxa" w:w="9354"/>
            <w:shd w:val="clear" w:color="auto" w:fill="EAF0F7"/>
          </w:tcPr>
          <w:p>
            <w:r>
              <w:rPr>
                <w:rFonts w:ascii="TH Sarabun New" w:hAnsi="TH Sarabun New" w:cs="TH Sarabun New" w:eastAsia="TH Sarabun New"/>
                <w:b/>
                <w:i w:val="0"/>
                <w:color w:val="1F3864"/>
                <w:sz w:val="26"/>
                <w:szCs w:val="26"/>
                <w:bCs/>
              </w:rPr>
              <w:t xml:space="preserve">ข้อกำหนด: </w:t>
            </w:r>
            <w:r>
              <w:rPr>
                <w:rFonts w:ascii="TH Sarabun New" w:hAnsi="TH Sarabun New" w:cs="TH Sarabun New" w:eastAsia="TH Sarabun New"/>
                <w:b w:val="0"/>
                <w:i w:val="0"/>
                <w:sz w:val="26"/>
                <w:szCs w:val="26"/>
              </w:rPr>
              <w:t>ระบุการดำเนินการตามสถานการณ์</w:t>
            </w:r>
          </w:p>
        </w:tc>
      </w:tr>
    </w:tbl>
    <w:p>
      <w:pPr>
        <w:spacing w:after="0"/>
      </w:pPr>
    </w:p>
    <w:p>
      <w:pPr>
        <w:spacing w:after="40" w:before="0"/>
      </w:pPr>
      <w:r>
        <w:rPr>
          <w:rFonts w:ascii="TH Sarabun New" w:hAnsi="TH Sarabun New" w:cs="TH Sarabun New" w:eastAsia="TH Sarabun New"/>
          <w:b w:val="0"/>
          <w:i/>
          <w:color w:val="595959"/>
          <w:sz w:val="26"/>
          <w:szCs w:val="26"/>
        </w:rPr>
        <w:t>ตัวอย่างเนื้อหา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  <w:tblLayout w:type="fixed"/>
      </w:tblPr>
      <w:tblGrid>
        <w:gridCol w:w="2551"/>
        <w:gridCol w:w="6804"/>
      </w:tblGrid>
      <w:tr>
        <w:trPr>
          <w:tblHeader w:val="true"/>
        </w:trPr>
        <w:tc>
          <w:tcPr>
            <w:tcW w:type="dxa" w:w="2551"/>
            <w:shd w:val="clear" w:color="auto" w:fill="1F3864"/>
          </w:tcPr>
          <w:p>
            <w:r/>
            <w:r>
              <w:rPr>
                <w:rFonts w:ascii="TH Sarabun New" w:hAnsi="TH Sarabun New" w:cs="TH Sarabun New" w:eastAsia="TH Sarabun New"/>
                <w:b/>
                <w:i w:val="0"/>
                <w:color w:val="FFFFFF"/>
                <w:sz w:val="26"/>
                <w:szCs w:val="26"/>
                <w:bCs/>
              </w:rPr>
              <w:t>สถานการณ์</w:t>
            </w:r>
          </w:p>
        </w:tc>
        <w:tc>
          <w:tcPr>
            <w:tcW w:type="dxa" w:w="6803"/>
            <w:shd w:val="clear" w:color="auto" w:fill="1F3864"/>
          </w:tcPr>
          <w:p>
            <w:r/>
            <w:r>
              <w:rPr>
                <w:rFonts w:ascii="TH Sarabun New" w:hAnsi="TH Sarabun New" w:cs="TH Sarabun New" w:eastAsia="TH Sarabun New"/>
                <w:b/>
                <w:i w:val="0"/>
                <w:color w:val="FFFFFF"/>
                <w:sz w:val="26"/>
                <w:szCs w:val="26"/>
                <w:bCs/>
              </w:rPr>
              <w:t>การดำเนินการ</w:t>
            </w:r>
          </w:p>
        </w:tc>
      </w:tr>
      <w:tr>
        <w:tc>
          <w:tcPr>
            <w:tcW w:type="dxa" w:w="2551"/>
          </w:tcPr>
          <w:p>
            <w:r/>
            <w:r>
              <w:rPr>
                <w:rFonts w:ascii="TH Sarabun New" w:hAnsi="TH Sarabun New" w:cs="TH Sarabun New" w:eastAsia="TH Sarabun New"/>
                <w:b w:val="0"/>
                <w:i w:val="0"/>
                <w:sz w:val="26"/>
                <w:szCs w:val="26"/>
              </w:rPr>
              <w:t>มีการรายงานฟิชชิ่ง แต่ไม่มีการคลิก</w:t>
            </w:r>
          </w:p>
        </w:tc>
        <w:tc>
          <w:tcPr>
            <w:tcW w:type="dxa" w:w="6803"/>
          </w:tcPr>
          <w:p>
            <w:r/>
            <w:r>
              <w:rPr>
                <w:rFonts w:ascii="TH Sarabun New" w:hAnsi="TH Sarabun New" w:cs="TH Sarabun New" w:eastAsia="TH Sarabun New"/>
                <w:b w:val="0"/>
                <w:i w:val="0"/>
                <w:sz w:val="26"/>
                <w:szCs w:val="26"/>
              </w:rPr>
              <w:t>ค้นหาและลบข้อความออกจากทุกกล่องจดหมาย บล็อกผู้ส่งและ URL และขอบคุณผู้รายงาน</w:t>
            </w:r>
          </w:p>
        </w:tc>
      </w:tr>
      <w:tr>
        <w:tc>
          <w:tcPr>
            <w:tcW w:type="dxa" w:w="2551"/>
          </w:tcPr>
          <w:p>
            <w:r/>
            <w:r>
              <w:rPr>
                <w:rFonts w:ascii="TH Sarabun New" w:hAnsi="TH Sarabun New" w:cs="TH Sarabun New" w:eastAsia="TH Sarabun New"/>
                <w:b w:val="0"/>
                <w:i w:val="0"/>
                <w:sz w:val="26"/>
                <w:szCs w:val="26"/>
              </w:rPr>
              <w:t>ผู้ใช้คลิกหรือกรอกรหัสผ่าน</w:t>
            </w:r>
          </w:p>
        </w:tc>
        <w:tc>
          <w:tcPr>
            <w:tcW w:type="dxa" w:w="6803"/>
          </w:tcPr>
          <w:p>
            <w:r/>
            <w:r>
              <w:rPr>
                <w:rFonts w:ascii="TH Sarabun New" w:hAnsi="TH Sarabun New" w:cs="TH Sarabun New" w:eastAsia="TH Sarabun New"/>
                <w:b w:val="0"/>
                <w:i w:val="0"/>
                <w:sz w:val="26"/>
                <w:szCs w:val="26"/>
              </w:rPr>
              <w:t>รีเซ็ตรหัสผ่าน ยกเลิกเซสชัน ตรวจสอบวิธี MFA ตรวจสอบการเข้าสู่ระบบและกฎกล่องจดหมายย้อนหลัง 30 วัน และสแกนเครื่อง</w:t>
            </w:r>
          </w:p>
        </w:tc>
      </w:tr>
      <w:tr>
        <w:tc>
          <w:tcPr>
            <w:tcW w:type="dxa" w:w="2551"/>
          </w:tcPr>
          <w:p>
            <w:r/>
            <w:r>
              <w:rPr>
                <w:rFonts w:ascii="TH Sarabun New" w:hAnsi="TH Sarabun New" w:cs="TH Sarabun New" w:eastAsia="TH Sarabun New"/>
                <w:b w:val="0"/>
                <w:i w:val="0"/>
                <w:sz w:val="26"/>
                <w:szCs w:val="26"/>
              </w:rPr>
              <w:t>กล่องจดหมายถูกยึด (BEC)</w:t>
            </w:r>
          </w:p>
        </w:tc>
        <w:tc>
          <w:tcPr>
            <w:tcW w:type="dxa" w:w="6803"/>
          </w:tcPr>
          <w:p>
            <w:r/>
            <w:r>
              <w:rPr>
                <w:rFonts w:ascii="TH Sarabun New" w:hAnsi="TH Sarabun New" w:cs="TH Sarabun New" w:eastAsia="TH Sarabun New"/>
                <w:b w:val="0"/>
                <w:i w:val="0"/>
                <w:sz w:val="26"/>
                <w:szCs w:val="26"/>
              </w:rPr>
              <w:t>ควบคุมบัญชี ลบกฎส่งต่ออีเมลที่เป็นอันตราย ระบุอีเมลที่ถูกส่งออก แจ้งเตือนผู้รับ และตรวจสอบการเข้าถึงข้อมูล</w:t>
            </w:r>
          </w:p>
        </w:tc>
      </w:tr>
      <w:tr>
        <w:tc>
          <w:tcPr>
            <w:tcW w:type="dxa" w:w="2551"/>
          </w:tcPr>
          <w:p>
            <w:r/>
            <w:r>
              <w:rPr>
                <w:rFonts w:ascii="TH Sarabun New" w:hAnsi="TH Sarabun New" w:cs="TH Sarabun New" w:eastAsia="TH Sarabun New"/>
                <w:b w:val="0"/>
                <w:i w:val="0"/>
                <w:sz w:val="26"/>
                <w:szCs w:val="26"/>
              </w:rPr>
              <w:t>ความพยายามฉ้อโกงการชำระเงิน</w:t>
            </w:r>
          </w:p>
        </w:tc>
        <w:tc>
          <w:tcPr>
            <w:tcW w:type="dxa" w:w="6803"/>
          </w:tcPr>
          <w:p>
            <w:r/>
            <w:r>
              <w:rPr>
                <w:rFonts w:ascii="TH Sarabun New" w:hAnsi="TH Sarabun New" w:cs="TH Sarabun New" w:eastAsia="TH Sarabun New"/>
                <w:b w:val="0"/>
                <w:i w:val="0"/>
                <w:sz w:val="26"/>
                <w:szCs w:val="26"/>
              </w:rPr>
              <w:t>ติดต่อธนาคารทันทีเพื่อระงับหรือเรียกคืนการโอน ตรวจสอบข้อมูลผู้ขายทางโทรศัพท์ แจ้งความ และเก็บรักษาพยานหลักฐาน</w:t>
            </w:r>
          </w:p>
        </w:tc>
      </w:tr>
    </w:tbl>
    <w:p>
      <w:pPr>
        <w:spacing w:after="40"/>
      </w:pPr>
    </w:p>
    <w:p>
      <w:pPr>
        <w:pStyle w:val="Heading2"/>
        <w:keepNext/>
        <w:spacing w:before="120" w:after="80"/>
      </w:pPr>
      <w:r>
        <w:rPr>
          <w:rFonts w:ascii="TH Sarabun New" w:hAnsi="TH Sarabun New" w:cs="TH Sarabun New" w:eastAsia="TH Sarabun New"/>
          <w:b/>
          <w:i w:val="0"/>
          <w:color w:val="1F3864"/>
          <w:sz w:val="33"/>
          <w:szCs w:val="33"/>
          <w:bCs/>
        </w:rPr>
        <w:t>4.4 บันทึกที่เกิดจากกระบวนการนี้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  <w:tblLayout w:type="fixed"/>
      </w:tblPr>
      <w:tblGrid>
        <w:gridCol w:w="9355"/>
      </w:tblGrid>
      <w:tr>
        <w:tc>
          <w:tcPr>
            <w:tcW w:type="dxa" w:w="9354"/>
            <w:shd w:val="clear" w:color="auto" w:fill="EAF0F7"/>
          </w:tcPr>
          <w:p>
            <w:r>
              <w:rPr>
                <w:rFonts w:ascii="TH Sarabun New" w:hAnsi="TH Sarabun New" w:cs="TH Sarabun New" w:eastAsia="TH Sarabun New"/>
                <w:b/>
                <w:i w:val="0"/>
                <w:color w:val="1F3864"/>
                <w:sz w:val="26"/>
                <w:szCs w:val="26"/>
                <w:bCs/>
              </w:rPr>
              <w:t xml:space="preserve">ข้อกำหนด: </w:t>
            </w:r>
            <w:r>
              <w:rPr>
                <w:rFonts w:ascii="TH Sarabun New" w:hAnsi="TH Sarabun New" w:cs="TH Sarabun New" w:eastAsia="TH Sarabun New"/>
                <w:b w:val="0"/>
                <w:i w:val="0"/>
                <w:sz w:val="26"/>
                <w:szCs w:val="26"/>
              </w:rPr>
              <w:t>ระบุแบบฟอร์ม บันทึก และทะเบียนที่เกิดจากกระบวนการนี้ และสถานที่จัดเก็บ</w:t>
            </w:r>
          </w:p>
        </w:tc>
      </w:tr>
    </w:tbl>
    <w:p>
      <w:pPr>
        <w:spacing w:after="0"/>
      </w:pPr>
    </w:p>
    <w:p>
      <w:pPr>
        <w:spacing w:after="40" w:before="0"/>
      </w:pPr>
      <w:r>
        <w:rPr>
          <w:rFonts w:ascii="TH Sarabun New" w:hAnsi="TH Sarabun New" w:cs="TH Sarabun New" w:eastAsia="TH Sarabun New"/>
          <w:b w:val="0"/>
          <w:i/>
          <w:color w:val="595959"/>
          <w:sz w:val="26"/>
          <w:szCs w:val="26"/>
        </w:rPr>
        <w:t>ตัวอย่างเนื้อหา</w:t>
      </w:r>
    </w:p>
    <w:p>
      <w:pPr>
        <w:spacing w:after="80" w:before="0"/>
      </w:pPr>
      <w:r>
        <w:rPr>
          <w:rFonts w:ascii="TH Sarabun New" w:hAnsi="TH Sarabun New" w:cs="TH Sarabun New" w:eastAsia="TH Sarabun New"/>
          <w:b w:val="0"/>
          <w:i w:val="0"/>
          <w:sz w:val="30"/>
          <w:szCs w:val="30"/>
        </w:rPr>
        <w:t>บันทึกที่เกิดจากเอกสารนี้ให้จัดเก็บตามมาตรฐานการเก็บรักษาและการทำลายข้อมูล (PR-STD-007)</w:t>
      </w:r>
    </w:p>
    <w:p>
      <w:pPr>
        <w:pStyle w:val="Heading1"/>
        <w:keepNext/>
        <w:spacing w:before="200" w:after="80"/>
      </w:pPr>
      <w:r>
        <w:rPr>
          <w:rFonts w:ascii="TH Sarabun New" w:hAnsi="TH Sarabun New" w:cs="TH Sarabun New" w:eastAsia="TH Sarabun New"/>
          <w:b/>
          <w:i w:val="0"/>
          <w:color w:val="1F3864"/>
          <w:sz w:val="38"/>
          <w:szCs w:val="38"/>
          <w:bCs/>
        </w:rPr>
        <w:t>5. ส่วน B: แนวปฏิบัติที่ดี (Best Practice)</w:t>
      </w:r>
    </w:p>
    <w:p>
      <w:pPr>
        <w:pStyle w:val="ListBullet"/>
        <w:spacing w:after="40"/>
      </w:pPr>
      <w:r>
        <w:rPr>
          <w:rFonts w:ascii="TH Sarabun New" w:hAnsi="TH Sarabun New" w:cs="TH Sarabun New" w:eastAsia="TH Sarabun New"/>
          <w:b w:val="0"/>
          <w:i w:val="0"/>
          <w:sz w:val="30"/>
          <w:szCs w:val="30"/>
        </w:rPr>
        <w:t>เปิดใช้ปุ่มรายงานแบบคลิกเดียว และวัดระยะเวลาตั้งแต่รายงานจนถึงการลบข้อความ</w:t>
      </w:r>
    </w:p>
    <w:p>
      <w:pPr>
        <w:pStyle w:val="ListBullet"/>
        <w:spacing w:after="40"/>
      </w:pPr>
      <w:r>
        <w:rPr>
          <w:rFonts w:ascii="TH Sarabun New" w:hAnsi="TH Sarabun New" w:cs="TH Sarabun New" w:eastAsia="TH Sarabun New"/>
          <w:b w:val="0"/>
          <w:i w:val="0"/>
          <w:sz w:val="30"/>
          <w:szCs w:val="30"/>
        </w:rPr>
        <w:t>กำหนดให้ยืนยันทางโทรศัพท์ทุกครั้งที่มีการเปลี่ยนข้อมูลบัญชีธนาคาร</w:t>
      </w:r>
    </w:p>
    <w:p>
      <w:pPr>
        <w:pStyle w:val="Heading2"/>
        <w:keepNext/>
        <w:spacing w:before="120" w:after="80"/>
      </w:pPr>
      <w:r>
        <w:rPr>
          <w:rFonts w:ascii="TH Sarabun New" w:hAnsi="TH Sarabun New" w:cs="TH Sarabun New" w:eastAsia="TH Sarabun New"/>
          <w:b/>
          <w:i w:val="0"/>
          <w:color w:val="1F3864"/>
          <w:sz w:val="33"/>
          <w:szCs w:val="33"/>
          <w:bCs/>
        </w:rPr>
        <w:t>ข้อผิดพลาดที่พบบ่อย</w:t>
      </w:r>
    </w:p>
    <w:p>
      <w:pPr>
        <w:pStyle w:val="ListBullet"/>
        <w:spacing w:after="40"/>
      </w:pPr>
      <w:r>
        <w:rPr>
          <w:rFonts w:ascii="TH Sarabun New" w:hAnsi="TH Sarabun New" w:cs="TH Sarabun New" w:eastAsia="TH Sarabun New"/>
          <w:b w:val="0"/>
          <w:i w:val="0"/>
          <w:sz w:val="30"/>
          <w:szCs w:val="30"/>
        </w:rPr>
        <w:t>รีเซ็ตรหัสผ่านอย่างเดียวโดยไม่ตรวจสอบกฎกล่องจดหมายและการลงทะเบียน MFA ที่ผู้โจมตีเพิ่มไว้</w:t>
      </w:r>
    </w:p>
    <w:p>
      <w:pPr>
        <w:pStyle w:val="Heading1"/>
        <w:keepNext/>
        <w:spacing w:before="200" w:after="80"/>
      </w:pPr>
      <w:r>
        <w:rPr>
          <w:rFonts w:ascii="TH Sarabun New" w:hAnsi="TH Sarabun New" w:cs="TH Sarabun New" w:eastAsia="TH Sarabun New"/>
          <w:b/>
          <w:i w:val="0"/>
          <w:color w:val="1F3864"/>
          <w:sz w:val="38"/>
          <w:szCs w:val="38"/>
          <w:bCs/>
        </w:rPr>
        <w:t>6. ภาคผนวก: การอ้างอิงและเอกสารที่เกี่ยวข้อง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  <w:tblLayout w:type="fixed"/>
      </w:tblPr>
      <w:tblGrid>
        <w:gridCol w:w="2835"/>
        <w:gridCol w:w="6520"/>
      </w:tblGrid>
      <w:tr>
        <w:tc>
          <w:tcPr>
            <w:tcW w:type="dxa" w:w="2835"/>
            <w:shd w:val="clear" w:color="auto" w:fill="EAF0F7"/>
          </w:tcPr>
          <w:p>
            <w:r>
              <w:rPr>
                <w:rFonts w:ascii="TH Sarabun New" w:hAnsi="TH Sarabun New" w:cs="TH Sarabun New" w:eastAsia="TH Sarabun New"/>
                <w:b/>
                <w:i w:val="0"/>
                <w:sz w:val="26"/>
                <w:szCs w:val="26"/>
                <w:bCs/>
              </w:rPr>
              <w:t>NIST CSF 2.0 Subcategories</w:t>
            </w:r>
          </w:p>
        </w:tc>
        <w:tc>
          <w:tcPr>
            <w:tcW w:type="dxa" w:w="6520"/>
          </w:tcPr>
          <w:p>
            <w:r>
              <w:rPr>
                <w:rFonts w:ascii="TH Sarabun New" w:hAnsi="TH Sarabun New" w:cs="TH Sarabun New" w:eastAsia="TH Sarabun New"/>
                <w:b w:val="0"/>
                <w:i w:val="0"/>
                <w:sz w:val="26"/>
                <w:szCs w:val="26"/>
              </w:rPr>
              <w:t>RS.MI-01: ควบคุมการแพร่กระจายของเหตุการณ์</w:t>
            </w:r>
          </w:p>
          <w:p>
            <w:r>
              <w:rPr>
                <w:rFonts w:ascii="TH Sarabun New" w:hAnsi="TH Sarabun New" w:cs="TH Sarabun New" w:eastAsia="TH Sarabun New"/>
                <w:b w:val="0"/>
                <w:i w:val="0"/>
                <w:sz w:val="26"/>
                <w:szCs w:val="26"/>
              </w:rPr>
              <w:t>RS.MI-02: กำจัดต้นเหตุของเหตุการณ์</w:t>
            </w:r>
          </w:p>
          <w:p>
            <w:r>
              <w:rPr>
                <w:rFonts w:ascii="TH Sarabun New" w:hAnsi="TH Sarabun New" w:cs="TH Sarabun New" w:eastAsia="TH Sarabun New"/>
                <w:b w:val="0"/>
                <w:i w:val="0"/>
                <w:sz w:val="26"/>
                <w:szCs w:val="26"/>
              </w:rPr>
              <w:t>RS.AN-03: วิเคราะห์เพื่อระบุสิ่งที่เกิดขึ้นระหว่างเหตุการณ์และสาเหตุที่แท้จริง</w:t>
            </w:r>
          </w:p>
        </w:tc>
      </w:tr>
      <w:tr>
        <w:tc>
          <w:tcPr>
            <w:tcW w:type="dxa" w:w="2835"/>
            <w:shd w:val="clear" w:color="auto" w:fill="EAF0F7"/>
          </w:tcPr>
          <w:p>
            <w:r>
              <w:rPr>
                <w:rFonts w:ascii="TH Sarabun New" w:hAnsi="TH Sarabun New" w:cs="TH Sarabun New" w:eastAsia="TH Sarabun New"/>
                <w:b/>
                <w:i w:val="0"/>
                <w:sz w:val="26"/>
                <w:szCs w:val="26"/>
                <w:bCs/>
              </w:rPr>
              <w:t>ISO/IEC 27001:2022</w:t>
            </w:r>
          </w:p>
        </w:tc>
        <w:tc>
          <w:tcPr>
            <w:tcW w:type="dxa" w:w="6520"/>
          </w:tcPr>
          <w:p>
            <w:r>
              <w:rPr>
                <w:rFonts w:ascii="TH Sarabun New" w:hAnsi="TH Sarabun New" w:cs="TH Sarabun New" w:eastAsia="TH Sarabun New"/>
                <w:b w:val="0"/>
                <w:i w:val="0"/>
                <w:sz w:val="26"/>
                <w:szCs w:val="26"/>
              </w:rPr>
              <w:t>Annex A.5.26</w:t>
            </w:r>
          </w:p>
        </w:tc>
      </w:tr>
      <w:tr>
        <w:tc>
          <w:tcPr>
            <w:tcW w:type="dxa" w:w="2835"/>
            <w:shd w:val="clear" w:color="auto" w:fill="EAF0F7"/>
          </w:tcPr>
          <w:p>
            <w:r>
              <w:rPr>
                <w:rFonts w:ascii="TH Sarabun New" w:hAnsi="TH Sarabun New" w:cs="TH Sarabun New" w:eastAsia="TH Sarabun New"/>
                <w:b/>
                <w:i w:val="0"/>
                <w:sz w:val="26"/>
                <w:szCs w:val="26"/>
                <w:bCs/>
              </w:rPr>
              <w:t>NIST SP 800-53 Rev. 5</w:t>
            </w:r>
          </w:p>
        </w:tc>
        <w:tc>
          <w:tcPr>
            <w:tcW w:type="dxa" w:w="6520"/>
          </w:tcPr>
          <w:p>
            <w:r>
              <w:rPr>
                <w:rFonts w:ascii="TH Sarabun New" w:hAnsi="TH Sarabun New" w:cs="TH Sarabun New" w:eastAsia="TH Sarabun New"/>
                <w:b w:val="0"/>
                <w:i w:val="0"/>
                <w:sz w:val="26"/>
                <w:szCs w:val="26"/>
              </w:rPr>
              <w:t>IR-4</w:t>
            </w:r>
          </w:p>
        </w:tc>
      </w:tr>
      <w:tr>
        <w:tc>
          <w:tcPr>
            <w:tcW w:type="dxa" w:w="2835"/>
            <w:shd w:val="clear" w:color="auto" w:fill="EAF0F7"/>
          </w:tcPr>
          <w:p>
            <w:r>
              <w:rPr>
                <w:rFonts w:ascii="TH Sarabun New" w:hAnsi="TH Sarabun New" w:cs="TH Sarabun New" w:eastAsia="TH Sarabun New"/>
                <w:b/>
                <w:i w:val="0"/>
                <w:sz w:val="26"/>
                <w:szCs w:val="26"/>
                <w:bCs/>
              </w:rPr>
              <w:t>กฎหมาย ระเบียบ และแหล่งอ้างอิงอื่น</w:t>
            </w:r>
          </w:p>
        </w:tc>
        <w:tc>
          <w:tcPr>
            <w:tcW w:type="dxa" w:w="6520"/>
          </w:tcPr>
          <w:p>
            <w:r>
              <w:rPr>
                <w:rFonts w:ascii="TH Sarabun New" w:hAnsi="TH Sarabun New" w:cs="TH Sarabun New" w:eastAsia="TH Sarabun New"/>
                <w:b w:val="0"/>
                <w:i w:val="0"/>
                <w:sz w:val="26"/>
                <w:szCs w:val="26"/>
              </w:rPr>
              <w:t>NIST SP 800-61 Rev. 3</w:t>
            </w:r>
          </w:p>
        </w:tc>
      </w:tr>
      <w:tr>
        <w:tc>
          <w:tcPr>
            <w:tcW w:type="dxa" w:w="2835"/>
            <w:shd w:val="clear" w:color="auto" w:fill="EAF0F7"/>
          </w:tcPr>
          <w:p>
            <w:r>
              <w:rPr>
                <w:rFonts w:ascii="TH Sarabun New" w:hAnsi="TH Sarabun New" w:cs="TH Sarabun New" w:eastAsia="TH Sarabun New"/>
                <w:b/>
                <w:i w:val="0"/>
                <w:sz w:val="26"/>
                <w:szCs w:val="26"/>
                <w:bCs/>
              </w:rPr>
              <w:t>เอกสารแม่ (Parent)</w:t>
            </w:r>
          </w:p>
        </w:tc>
        <w:tc>
          <w:tcPr>
            <w:tcW w:type="dxa" w:w="6520"/>
          </w:tcPr>
          <w:p>
            <w:r>
              <w:rPr>
                <w:rFonts w:ascii="TH Sarabun New" w:hAnsi="TH Sarabun New" w:cs="TH Sarabun New" w:eastAsia="TH Sarabun New"/>
                <w:b w:val="0"/>
                <w:i w:val="0"/>
                <w:sz w:val="26"/>
                <w:szCs w:val="26"/>
              </w:rPr>
              <w:t>RS-PRC-001: ระเบียบปฏิบัติการจัดการเหตุการณ์ความมั่นคงปลอดภัย</w:t>
            </w:r>
          </w:p>
        </w:tc>
      </w:tr>
      <w:tr>
        <w:tc>
          <w:tcPr>
            <w:tcW w:type="dxa" w:w="2835"/>
            <w:shd w:val="clear" w:color="auto" w:fill="EAF0F7"/>
          </w:tcPr>
          <w:p>
            <w:r>
              <w:rPr>
                <w:rFonts w:ascii="TH Sarabun New" w:hAnsi="TH Sarabun New" w:cs="TH Sarabun New" w:eastAsia="TH Sarabun New"/>
                <w:b/>
                <w:i w:val="0"/>
                <w:sz w:val="26"/>
                <w:szCs w:val="26"/>
                <w:bCs/>
              </w:rPr>
              <w:t>เอกสารลูก (Child)</w:t>
            </w:r>
          </w:p>
        </w:tc>
        <w:tc>
          <w:tcPr>
            <w:tcW w:type="dxa" w:w="6520"/>
          </w:tcPr>
          <w:p>
            <w:r>
              <w:rPr>
                <w:rFonts w:ascii="TH Sarabun New" w:hAnsi="TH Sarabun New" w:cs="TH Sarabun New" w:eastAsia="TH Sarabun New"/>
                <w:b w:val="0"/>
                <w:i w:val="0"/>
                <w:sz w:val="26"/>
                <w:szCs w:val="26"/>
              </w:rPr>
              <w:t>ไม่มี</w:t>
            </w:r>
          </w:p>
        </w:tc>
      </w:tr>
    </w:tbl>
    <w:p>
      <w:pPr>
        <w:spacing w:after="40"/>
      </w:pPr>
    </w:p>
    <w:sectPr w:rsidR="00FC693F" w:rsidRPr="0006063C" w:rsidSect="00034616">
      <w:headerReference w:type="default" r:id="rId9"/>
      <w:footerReference w:type="default" r:id="rId10"/>
      <w:pgSz w:w="11906" w:h="16838"/>
      <w:pgMar w:top="1134" w:right="1247" w:bottom="1020" w:left="124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>
      <w:rPr>
        <w:rFonts w:ascii="TH Sarabun New" w:hAnsi="TH Sarabun New" w:cs="TH Sarabun New" w:eastAsia="TH Sarabun New"/>
        <w:b w:val="0"/>
        <w:i w:val="0"/>
        <w:color w:val="595959"/>
        <w:sz w:val="24"/>
        <w:szCs w:val="24"/>
      </w:rPr>
      <w:t xml:space="preserve">ระดับชั้นความลับ: ใช้ภายใน (Internal)    หน้า </w:t>
    </w:r>
    <w:r>
      <w:rPr>
        <w:rFonts w:ascii="TH Sarabun New" w:hAnsi="TH Sarabun New" w:cs="TH Sarabun New" w:eastAsia="TH Sarabun New"/>
        <w:color w:val="595959"/>
        <w:sz w:val="24"/>
        <w:szCs w:val="24"/>
      </w:rPr>
      <w:fldChar w:fldCharType="begin"/>
      <w:instrText xml:space="preserve">PAGE</w:instrText>
      <w:fldChar w:fldCharType="end"/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  <w:r>
      <w:rPr>
        <w:rFonts w:ascii="TH Sarabun New" w:hAnsi="TH Sarabun New" w:cs="TH Sarabun New" w:eastAsia="TH Sarabun New"/>
        <w:b w:val="0"/>
        <w:i w:val="0"/>
        <w:color w:val="595959"/>
        <w:sz w:val="24"/>
        <w:szCs w:val="24"/>
      </w:rPr>
      <w:t>[ชื่อองค์กร]  |  RS-PLB-002  |  คู่มือการรับมือฟิชชิ่งและการหลอกลวงทางอีเมลธุรกิจ (BEC)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TH Sarabun New" w:hAnsi="TH Sarabun New" w:cs="TH Sarabun New" w:eastAsia="TH Sarabun New"/>
      <w:sz w:val="3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