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  <w:r>
        <w:rPr>
          <w:rFonts w:ascii="TH Sarabun New" w:hAnsi="TH Sarabun New" w:cs="TH Sarabun New" w:eastAsia="TH Sarabun New"/>
          <w:b/>
          <w:i w:val="0"/>
          <w:color w:val="595959"/>
          <w:sz w:val="32"/>
          <w:szCs w:val="32"/>
          <w:bCs/>
        </w:rPr>
        <w:t>[ชื่อองค์กร]</w:t>
      </w:r>
    </w:p>
    <w:p>
      <w:pPr>
        <w:pStyle w:val="Heading1"/>
        <w:keepNext/>
        <w:spacing w:before="20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48"/>
          <w:szCs w:val="48"/>
          <w:bCs/>
        </w:rPr>
        <w:t>แผนความต่อเนื่องทางธุรกิจ (BCP)</w:t>
      </w:r>
    </w:p>
    <w:p>
      <w:pPr>
        <w:spacing w:after="80" w:before="0"/>
      </w:pPr>
      <w:r>
        <w:rPr>
          <w:rFonts w:ascii="TH Sarabun New" w:hAnsi="TH Sarabun New" w:cs="TH Sarabun New" w:eastAsia="TH Sarabun New"/>
          <w:b w:val="0"/>
          <w:i w:val="0"/>
          <w:color w:val="595959"/>
          <w:sz w:val="26"/>
          <w:szCs w:val="26"/>
        </w:rPr>
        <w:t>RC-PLN-001  |  แผน  |  การดำเนินการตามแผนกู้คืน (RC.RP)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color w:val="1F3864"/>
                <w:sz w:val="26"/>
                <w:szCs w:val="26"/>
                <w:bCs/>
              </w:rPr>
              <w:t xml:space="preserve">วิธีใช้แม่แบบนี้: </w:t>
            </w:r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แทนที่ข้อความในวงเล็บเหลี่ยมด้วยข้อมูลขององค์กร คงทุกหัวข้อในส่วน A ไว้เพราะเป็นข้อกำหนดขั้นต่ำ ใช้ส่วน B เพื่อยกระดับความพร้อม ลบกล่องข้อกำหนดสีฟ้าและหมายเหตุนี้ก่อนประกาศใช้ แม่แบบนี้เป็นตัวอย่างและไม่ใช่คำปรึกษาทางกฎหมาย ให้ตรวจสอบรายการที่ระบุ [VERIFY] กับกฎระเบียบไทยฉบับปัจจุบันก่อนใช้งาน</w:t>
            </w:r>
          </w:p>
        </w:tc>
      </w:tr>
    </w:tbl>
    <w:p>
      <w:pPr>
        <w:spacing w:after="0"/>
      </w:pPr>
    </w:p>
    <w:p>
      <w:pPr>
        <w:pStyle w:val="Heading1"/>
        <w:keepNext/>
        <w:spacing w:before="20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8"/>
          <w:szCs w:val="38"/>
          <w:bCs/>
        </w:rPr>
        <w:t>1. การควบคุมเอกสาร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2835"/>
        <w:gridCol w:w="6520"/>
      </w:tblGrid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รหัสเอกสาร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RC-PLN-001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ชื่อเอกสาร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แผนความต่อเนื่องทางธุรกิจ (BCP)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ฉบับที่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1.0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สถานะ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แม่แบบ (ยังไม่ได้อนุมัติ)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ระดับชั้นความลับ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ใช้ภายใน (Internal)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เจ้าของเอกสาร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ผู้ประสานงานการบริหารความต่อเนื่องทางธุรกิจ (BCM)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ผู้อนุมัติ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ประธานเจ้าหน้าที่บริหาร (CEO)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วันที่มีผลบังคับใช้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[วว เดือน ปปปป]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รอบการทบทวน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ทุกปี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วันที่ทบทวนครั้งถัดไป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[วว เดือน ปปปป]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20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8"/>
          <w:szCs w:val="38"/>
          <w:bCs/>
        </w:rPr>
        <w:t>2. ข้อมูลประจำเอกสาร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2835"/>
        <w:gridCol w:w="6520"/>
      </w:tblGrid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ชั้นเอกสาร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ชั้นที่ 3: ระเบียบปฏิบัติ แผน คู่มือ และแนวทาง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ประเภทเอกสาร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แผน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CSF Function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กู้คืน (Recover, RC)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CSF Category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การดำเนินการตามแผนกู้คืน (RC.RP)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ระดับความจำเป็น (Level)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บังคับ (Required)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เงื่อนไขที่ทำให้บังคับ (Trigger)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CII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แหล่งอ้างอิง (Basis)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ประกาศคณะกรรมการกำกับดูแลด้านความมั่นคงปลอดภัยไซเบอร์ว่าด้วยหน้าที่ของหน่วยงานโครงสร้างพื้นฐานสำคัญทางสารสนเทศ (2567) (จัดทำ BCP ตามหลักเกณฑ์ที่กำหนด) [VERIFY]; ISO 22301:2019 ข้อ 8.4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ISO/IEC 27002 theme และ Tag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องค์กร (Organizational, A.5); Tag: กระบวนการ, กฎหมายและกฎระเบียบ, ความยืดหยุ่น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ชุดเอกสาร (Package)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จำเป็นขั้นต้น (Essential)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20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8"/>
          <w:szCs w:val="38"/>
          <w:bCs/>
        </w:rPr>
        <w:t>3. ประวัติการแก้ไข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07"/>
        <w:gridCol w:w="1587"/>
        <w:gridCol w:w="3742"/>
        <w:gridCol w:w="1587"/>
        <w:gridCol w:w="1530"/>
      </w:tblGrid>
      <w:tr>
        <w:trPr>
          <w:tblHeader w:val="true"/>
        </w:trPr>
        <w:tc>
          <w:tcPr>
            <w:tcW w:type="dxa" w:w="907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6"/>
                <w:szCs w:val="26"/>
                <w:bCs/>
              </w:rPr>
              <w:t>ฉบับที่</w:t>
            </w:r>
          </w:p>
        </w:tc>
        <w:tc>
          <w:tcPr>
            <w:tcW w:type="dxa" w:w="1587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6"/>
                <w:szCs w:val="26"/>
                <w:bCs/>
              </w:rPr>
              <w:t>วันที่</w:t>
            </w:r>
          </w:p>
        </w:tc>
        <w:tc>
          <w:tcPr>
            <w:tcW w:type="dxa" w:w="3742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6"/>
                <w:szCs w:val="26"/>
                <w:bCs/>
              </w:rPr>
              <w:t>รายละเอียดการแก้ไข</w:t>
            </w:r>
          </w:p>
        </w:tc>
        <w:tc>
          <w:tcPr>
            <w:tcW w:type="dxa" w:w="1587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6"/>
                <w:szCs w:val="26"/>
                <w:bCs/>
              </w:rPr>
              <w:t>ผู้จัดทำ</w:t>
            </w:r>
          </w:p>
        </w:tc>
        <w:tc>
          <w:tcPr>
            <w:tcW w:type="dxa" w:w="1531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6"/>
                <w:szCs w:val="26"/>
                <w:bCs/>
              </w:rPr>
              <w:t>ผู้อนุมัติ</w:t>
            </w:r>
          </w:p>
        </w:tc>
      </w:tr>
      <w:tr>
        <w:tc>
          <w:tcPr>
            <w:tcW w:type="dxa" w:w="907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1.0</w:t>
            </w:r>
          </w:p>
        </w:tc>
        <w:tc>
          <w:tcPr>
            <w:tcW w:type="dxa" w:w="1587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[วว เดือน ปปปป]</w:t>
            </w:r>
          </w:p>
        </w:tc>
        <w:tc>
          <w:tcPr>
            <w:tcW w:type="dxa" w:w="3742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ประกาศใช้ครั้งแรก</w:t>
            </w:r>
          </w:p>
        </w:tc>
        <w:tc>
          <w:tcPr>
            <w:tcW w:type="dxa" w:w="1587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[ชื่อ ตำแหน่ง]</w:t>
            </w:r>
          </w:p>
        </w:tc>
        <w:tc>
          <w:tcPr>
            <w:tcW w:type="dxa" w:w="1531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[ชื่อ ตำแหน่ง]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20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8"/>
          <w:szCs w:val="38"/>
          <w:bCs/>
        </w:rPr>
        <w:t>4. ส่วน A: ข้อกำหนดขั้นต่ำ (Requirement Fields)</w:t>
      </w:r>
    </w:p>
    <w:p>
      <w:pPr>
        <w:pStyle w:val="Heading2"/>
        <w:keepNext/>
        <w:spacing w:before="12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3"/>
          <w:szCs w:val="33"/>
          <w:bCs/>
        </w:rPr>
        <w:t>4.1 วัตถุประสงค์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color w:val="1F3864"/>
                <w:sz w:val="26"/>
                <w:szCs w:val="26"/>
                <w:bCs/>
              </w:rPr>
              <w:t xml:space="preserve">ข้อกำหนด: </w:t>
            </w:r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ระบุเหตุผลของการมีเอกสารนี้และผลลัพธ์ที่เอกสารสนับสนุน</w:t>
            </w:r>
          </w:p>
        </w:tc>
      </w:tr>
    </w:tbl>
    <w:p>
      <w:pPr>
        <w:spacing w:after="0"/>
      </w:pPr>
    </w:p>
    <w:p>
      <w:pPr>
        <w:spacing w:after="40" w:before="0"/>
      </w:pPr>
      <w:r>
        <w:rPr>
          <w:rFonts w:ascii="TH Sarabun New" w:hAnsi="TH Sarabun New" w:cs="TH Sarabun New" w:eastAsia="TH Sarabun New"/>
          <w:b w:val="0"/>
          <w:i/>
          <w:color w:val="595959"/>
          <w:sz w:val="26"/>
          <w:szCs w:val="26"/>
        </w:rPr>
        <w:t>ตัวอย่างเนื้อหา</w:t>
      </w:r>
    </w:p>
    <w:p>
      <w:pPr>
        <w:spacing w:after="80" w:before="0"/>
      </w:pPr>
      <w:r>
        <w:rPr>
          <w:rFonts w:ascii="TH Sarabun New" w:hAnsi="TH Sarabun New" w:cs="TH Sarabun New" w:eastAsia="TH Sarabun New"/>
          <w:b w:val="0"/>
          <w:i w:val="0"/>
          <w:sz w:val="30"/>
          <w:szCs w:val="30"/>
        </w:rPr>
        <w:t>แผนนี้อธิบายวิธีที่ [ชื่อองค์กร] รักษาบริการสำคัญระหว่างการหยุดชะงัก ได้แก่ การเปิดใช้แผน บทบาท ทางเลือกทดแทน การสื่อสาร และการกลับสู่การดำเนินงานปกติ (RC.RP-01, RC.RP-02, RC.RP-04, RC.RP-06)</w:t>
      </w:r>
    </w:p>
    <w:p>
      <w:pPr>
        <w:pStyle w:val="Heading2"/>
        <w:keepNext/>
        <w:spacing w:before="12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3"/>
          <w:szCs w:val="33"/>
          <w:bCs/>
        </w:rPr>
        <w:t>4.2 ขอบเขต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color w:val="1F3864"/>
                <w:sz w:val="26"/>
                <w:szCs w:val="26"/>
                <w:bCs/>
              </w:rPr>
              <w:t xml:space="preserve">ข้อกำหนด: </w:t>
            </w:r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ระบุหน่วยงาน บุคลากร ระบบ สถานที่ และบุคคลภายนอกที่อยู่ในขอบเขต พร้อมระบุข้อยกเว้น (ถ้ามี)</w:t>
            </w:r>
          </w:p>
        </w:tc>
      </w:tr>
    </w:tbl>
    <w:p>
      <w:pPr>
        <w:spacing w:after="0"/>
      </w:pPr>
    </w:p>
    <w:p>
      <w:pPr>
        <w:spacing w:after="40" w:before="0"/>
      </w:pPr>
      <w:r>
        <w:rPr>
          <w:rFonts w:ascii="TH Sarabun New" w:hAnsi="TH Sarabun New" w:cs="TH Sarabun New" w:eastAsia="TH Sarabun New"/>
          <w:b w:val="0"/>
          <w:i/>
          <w:color w:val="595959"/>
          <w:sz w:val="26"/>
          <w:szCs w:val="26"/>
        </w:rPr>
        <w:t>ตัวอย่างเนื้อหา</w:t>
      </w:r>
    </w:p>
    <w:p>
      <w:pPr>
        <w:spacing w:after="80" w:before="0"/>
      </w:pPr>
      <w:r>
        <w:rPr>
          <w:rFonts w:ascii="TH Sarabun New" w:hAnsi="TH Sarabun New" w:cs="TH Sarabun New" w:eastAsia="TH Sarabun New"/>
          <w:b w:val="0"/>
          <w:i w:val="0"/>
          <w:sz w:val="30"/>
          <w:szCs w:val="30"/>
        </w:rPr>
        <w:t>แผนนี้ใช้กับทุกหน่วยงานและบุคลากรที่ดำเนินการหรือสนับสนุนกิจกรรมที่ระบุในเอกสารนี้ รวมถึงบุคคลภายนอกที่ปฏิบัติงานในนามของ [ชื่อองค์กร]</w:t>
      </w:r>
    </w:p>
    <w:p>
      <w:pPr>
        <w:pStyle w:val="Heading2"/>
        <w:keepNext/>
        <w:spacing w:before="12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3"/>
          <w:szCs w:val="33"/>
          <w:bCs/>
        </w:rPr>
        <w:t>4.3 เกณฑ์การเปิดใช้แผน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color w:val="1F3864"/>
                <w:sz w:val="26"/>
                <w:szCs w:val="26"/>
                <w:bCs/>
              </w:rPr>
              <w:t xml:space="preserve">ข้อกำหนด: </w:t>
            </w:r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กำหนดเวลาและผู้มีอำนาจเปิดใช้แผน</w:t>
            </w:r>
          </w:p>
        </w:tc>
      </w:tr>
    </w:tbl>
    <w:p>
      <w:pPr>
        <w:spacing w:after="0"/>
      </w:pPr>
    </w:p>
    <w:p>
      <w:pPr>
        <w:spacing w:after="40" w:before="0"/>
      </w:pPr>
      <w:r>
        <w:rPr>
          <w:rFonts w:ascii="TH Sarabun New" w:hAnsi="TH Sarabun New" w:cs="TH Sarabun New" w:eastAsia="TH Sarabun New"/>
          <w:b w:val="0"/>
          <w:i/>
          <w:color w:val="595959"/>
          <w:sz w:val="26"/>
          <w:szCs w:val="26"/>
        </w:rPr>
        <w:t>ตัวอย่างเนื้อหา</w:t>
      </w:r>
    </w:p>
    <w:p>
      <w:pPr>
        <w:pStyle w:val="ListBullet"/>
        <w:spacing w:after="40"/>
      </w:pPr>
      <w:r>
        <w:rPr>
          <w:rFonts w:ascii="TH Sarabun New" w:hAnsi="TH Sarabun New" w:cs="TH Sarabun New" w:eastAsia="TH Sarabun New"/>
          <w:b w:val="0"/>
          <w:i w:val="0"/>
          <w:sz w:val="30"/>
          <w:szCs w:val="30"/>
        </w:rPr>
        <w:t>บริการสำคัญหยุดชะงักหรือจะหยุดชะงักเกิน RTO</w:t>
      </w:r>
    </w:p>
    <w:p>
      <w:pPr>
        <w:pStyle w:val="ListBullet"/>
        <w:spacing w:after="40"/>
      </w:pPr>
      <w:r>
        <w:rPr>
          <w:rFonts w:ascii="TH Sarabun New" w:hAnsi="TH Sarabun New" w:cs="TH Sarabun New" w:eastAsia="TH Sarabun New"/>
          <w:b w:val="0"/>
          <w:i w:val="0"/>
          <w:sz w:val="30"/>
          <w:szCs w:val="30"/>
        </w:rPr>
        <w:t>เหตุการณ์ไซเบอร์ SEV-1 กระทบระบบสำคัญ</w:t>
      </w:r>
    </w:p>
    <w:p>
      <w:pPr>
        <w:pStyle w:val="ListBullet"/>
        <w:spacing w:after="40"/>
      </w:pPr>
      <w:r>
        <w:rPr>
          <w:rFonts w:ascii="TH Sarabun New" w:hAnsi="TH Sarabun New" w:cs="TH Sarabun New" w:eastAsia="TH Sarabun New"/>
          <w:b w:val="0"/>
          <w:i w:val="0"/>
          <w:sz w:val="30"/>
          <w:szCs w:val="30"/>
        </w:rPr>
        <w:t>สูญเสียสถานที่ สาธารณูปโภค หรือผู้ให้บริการหลัก</w:t>
      </w:r>
    </w:p>
    <w:p>
      <w:pPr>
        <w:pStyle w:val="ListBullet"/>
        <w:spacing w:after="40"/>
      </w:pPr>
      <w:r>
        <w:rPr>
          <w:rFonts w:ascii="TH Sarabun New" w:hAnsi="TH Sarabun New" w:cs="TH Sarabun New" w:eastAsia="TH Sarabun New"/>
          <w:b w:val="0"/>
          <w:i w:val="0"/>
          <w:sz w:val="30"/>
          <w:szCs w:val="30"/>
        </w:rPr>
        <w:t>ผู้มีอำนาจเปิดใช้แผน: ประธานเจ้าหน้าที่บริหาร (CEO) หรือผู้ได้รับมอบหมาย ตามคำแนะนำของผู้ประสานงาน ผู้ประสานงานการบริหารความต่อเนื่องทางธุรกิจ (BCM) และผู้บัญชาการเหตุการณ์</w:t>
      </w:r>
    </w:p>
    <w:p>
      <w:pPr>
        <w:pStyle w:val="Heading2"/>
        <w:keepNext/>
        <w:spacing w:before="12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3"/>
          <w:szCs w:val="33"/>
          <w:bCs/>
        </w:rPr>
        <w:t>4.4 กลยุทธ์ความต่อเนื่องตามบริการ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color w:val="1F3864"/>
                <w:sz w:val="26"/>
                <w:szCs w:val="26"/>
                <w:bCs/>
              </w:rPr>
              <w:t xml:space="preserve">ข้อกำหนด: </w:t>
            </w:r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อธิบายทางเลือกทดแทนและทรัพยากรของบริการสำคัญแต่ละบริการ</w:t>
            </w:r>
          </w:p>
        </w:tc>
      </w:tr>
    </w:tbl>
    <w:p>
      <w:pPr>
        <w:spacing w:after="0"/>
      </w:pPr>
    </w:p>
    <w:p>
      <w:pPr>
        <w:spacing w:after="40" w:before="0"/>
      </w:pPr>
      <w:r>
        <w:rPr>
          <w:rFonts w:ascii="TH Sarabun New" w:hAnsi="TH Sarabun New" w:cs="TH Sarabun New" w:eastAsia="TH Sarabun New"/>
          <w:b w:val="0"/>
          <w:i/>
          <w:color w:val="595959"/>
          <w:sz w:val="26"/>
          <w:szCs w:val="26"/>
        </w:rPr>
        <w:t>ตัวอย่างเนื้อหา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871"/>
        <w:gridCol w:w="1871"/>
        <w:gridCol w:w="1871"/>
        <w:gridCol w:w="1871"/>
        <w:gridCol w:w="1871"/>
      </w:tblGrid>
      <w:tr>
        <w:trPr>
          <w:tblHeader w:val="true"/>
        </w:trPr>
        <w:tc>
          <w:tcPr>
            <w:tcW w:type="dxa" w:w="1871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6"/>
                <w:szCs w:val="26"/>
                <w:bCs/>
              </w:rPr>
              <w:t>บริการสำคัญ</w:t>
            </w:r>
          </w:p>
        </w:tc>
        <w:tc>
          <w:tcPr>
            <w:tcW w:type="dxa" w:w="1871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6"/>
                <w:szCs w:val="26"/>
                <w:bCs/>
              </w:rPr>
              <w:t>RTO</w:t>
            </w:r>
          </w:p>
        </w:tc>
        <w:tc>
          <w:tcPr>
            <w:tcW w:type="dxa" w:w="1871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6"/>
                <w:szCs w:val="26"/>
                <w:bCs/>
              </w:rPr>
              <w:t>ทางเลือกทดแทน</w:t>
            </w:r>
          </w:p>
        </w:tc>
        <w:tc>
          <w:tcPr>
            <w:tcW w:type="dxa" w:w="1871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6"/>
                <w:szCs w:val="26"/>
                <w:bCs/>
              </w:rPr>
              <w:t>ทรัพยากรที่ต้องใช้</w:t>
            </w:r>
          </w:p>
        </w:tc>
        <w:tc>
          <w:tcPr>
            <w:tcW w:type="dxa" w:w="1871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6"/>
                <w:szCs w:val="26"/>
                <w:bCs/>
              </w:rPr>
              <w:t>เจ้าของ</w:t>
            </w:r>
          </w:p>
        </w:tc>
      </w:tr>
      <w:tr>
        <w:tc>
          <w:tcPr>
            <w:tcW w:type="dxa" w:w="1871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[บริการ]</w:t>
            </w:r>
          </w:p>
        </w:tc>
        <w:tc>
          <w:tcPr>
            <w:tcW w:type="dxa" w:w="1871"/>
          </w:tcPr>
          <w:p>
            <w:r/>
          </w:p>
        </w:tc>
        <w:tc>
          <w:tcPr>
            <w:tcW w:type="dxa" w:w="1871"/>
          </w:tcPr>
          <w:p>
            <w:r/>
          </w:p>
        </w:tc>
        <w:tc>
          <w:tcPr>
            <w:tcW w:type="dxa" w:w="1871"/>
          </w:tcPr>
          <w:p>
            <w:r/>
          </w:p>
        </w:tc>
        <w:tc>
          <w:tcPr>
            <w:tcW w:type="dxa" w:w="1871"/>
          </w:tcPr>
          <w:p>
            <w:r/>
          </w:p>
        </w:tc>
      </w:tr>
      <w:tr>
        <w:tc>
          <w:tcPr>
            <w:tcW w:type="dxa" w:w="1871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[บริการ]</w:t>
            </w:r>
          </w:p>
        </w:tc>
        <w:tc>
          <w:tcPr>
            <w:tcW w:type="dxa" w:w="1871"/>
          </w:tcPr>
          <w:p>
            <w:r/>
          </w:p>
        </w:tc>
        <w:tc>
          <w:tcPr>
            <w:tcW w:type="dxa" w:w="1871"/>
          </w:tcPr>
          <w:p>
            <w:r/>
          </w:p>
        </w:tc>
        <w:tc>
          <w:tcPr>
            <w:tcW w:type="dxa" w:w="1871"/>
          </w:tcPr>
          <w:p>
            <w:r/>
          </w:p>
        </w:tc>
        <w:tc>
          <w:tcPr>
            <w:tcW w:type="dxa" w:w="1871"/>
          </w:tcPr>
          <w:p>
            <w:r/>
          </w:p>
        </w:tc>
      </w:tr>
    </w:tbl>
    <w:p>
      <w:pPr>
        <w:spacing w:after="40"/>
      </w:pPr>
    </w:p>
    <w:p>
      <w:pPr>
        <w:pStyle w:val="Heading2"/>
        <w:keepNext/>
        <w:spacing w:before="12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3"/>
          <w:szCs w:val="33"/>
          <w:bCs/>
        </w:rPr>
        <w:t>4.5 บทบาทและการสื่อสาร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color w:val="1F3864"/>
                <w:sz w:val="26"/>
                <w:szCs w:val="26"/>
                <w:bCs/>
              </w:rPr>
              <w:t xml:space="preserve">ข้อกำหนด: </w:t>
            </w:r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กำหนดบทบาทด้านความต่อเนื่องและลำดับการสื่อสาร</w:t>
            </w:r>
          </w:p>
        </w:tc>
      </w:tr>
    </w:tbl>
    <w:p>
      <w:pPr>
        <w:spacing w:after="0"/>
      </w:pPr>
    </w:p>
    <w:p>
      <w:pPr>
        <w:spacing w:after="40" w:before="0"/>
      </w:pPr>
      <w:r>
        <w:rPr>
          <w:rFonts w:ascii="TH Sarabun New" w:hAnsi="TH Sarabun New" w:cs="TH Sarabun New" w:eastAsia="TH Sarabun New"/>
          <w:b w:val="0"/>
          <w:i/>
          <w:color w:val="595959"/>
          <w:sz w:val="26"/>
          <w:szCs w:val="26"/>
        </w:rPr>
        <w:t>ตัวอย่างเนื้อหา</w:t>
      </w:r>
    </w:p>
    <w:p>
      <w:pPr>
        <w:pStyle w:val="ListBullet"/>
        <w:spacing w:after="40"/>
      </w:pPr>
      <w:r>
        <w:rPr>
          <w:rFonts w:ascii="TH Sarabun New" w:hAnsi="TH Sarabun New" w:cs="TH Sarabun New" w:eastAsia="TH Sarabun New"/>
          <w:b w:val="0"/>
          <w:i w:val="0"/>
          <w:sz w:val="30"/>
          <w:szCs w:val="30"/>
        </w:rPr>
        <w:t>ทีมบริหารภาวะวิกฤต (RC-PLN-003) กำหนดลำดับความสำคัญและอนุมัติการสื่อสาร</w:t>
      </w:r>
    </w:p>
    <w:p>
      <w:pPr>
        <w:pStyle w:val="ListBullet"/>
        <w:spacing w:after="40"/>
      </w:pPr>
      <w:r>
        <w:rPr>
          <w:rFonts w:ascii="TH Sarabun New" w:hAnsi="TH Sarabun New" w:cs="TH Sarabun New" w:eastAsia="TH Sarabun New"/>
          <w:b w:val="0"/>
          <w:i w:val="0"/>
          <w:sz w:val="30"/>
          <w:szCs w:val="30"/>
        </w:rPr>
        <w:t>ผู้นำความต่อเนื่องของแต่ละหน่วยงานดำเนินการตามทางเลือกทดแทน และรายงานสถานะทุก [4] ชั่วโมง</w:t>
      </w:r>
    </w:p>
    <w:p>
      <w:pPr>
        <w:pStyle w:val="ListBullet"/>
        <w:spacing w:after="40"/>
      </w:pPr>
      <w:r>
        <w:rPr>
          <w:rFonts w:ascii="TH Sarabun New" w:hAnsi="TH Sarabun New" w:cs="TH Sarabun New" w:eastAsia="TH Sarabun New"/>
          <w:b w:val="0"/>
          <w:i w:val="0"/>
          <w:sz w:val="30"/>
          <w:szCs w:val="30"/>
        </w:rPr>
        <w:t>การกู้คืนระบบ IT เป็นไปตาม RC-PLN-002 และรายงานความคืบหน้าต่อทีมบริหารภาวะวิกฤต (RC.CO-03)</w:t>
      </w:r>
    </w:p>
    <w:p>
      <w:pPr>
        <w:pStyle w:val="ListBullet"/>
        <w:spacing w:after="40"/>
      </w:pPr>
      <w:r>
        <w:rPr>
          <w:rFonts w:ascii="TH Sarabun New" w:hAnsi="TH Sarabun New" w:cs="TH Sarabun New" w:eastAsia="TH Sarabun New"/>
          <w:b w:val="0"/>
          <w:i w:val="0"/>
          <w:sz w:val="30"/>
          <w:szCs w:val="30"/>
        </w:rPr>
        <w:t>การแจ้งบุคลากรเป็นไปตาม RC-PRC-002</w:t>
      </w:r>
    </w:p>
    <w:p>
      <w:pPr>
        <w:pStyle w:val="Heading2"/>
        <w:keepNext/>
        <w:spacing w:before="12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3"/>
          <w:szCs w:val="33"/>
          <w:bCs/>
        </w:rPr>
        <w:t>4.6 การกลับสู่ภาวะปกติและการยุติแผน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color w:val="1F3864"/>
                <w:sz w:val="26"/>
                <w:szCs w:val="26"/>
                <w:bCs/>
              </w:rPr>
              <w:t xml:space="preserve">ข้อกำหนด: </w:t>
            </w:r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กำหนดวิธีกลับสู่การดำเนินงานปกติและการปิดแผน (RC.RP-04, RC.RP-06)</w:t>
            </w:r>
          </w:p>
        </w:tc>
      </w:tr>
    </w:tbl>
    <w:p>
      <w:pPr>
        <w:spacing w:after="0"/>
      </w:pPr>
    </w:p>
    <w:p>
      <w:pPr>
        <w:spacing w:after="40" w:before="0"/>
      </w:pPr>
      <w:r>
        <w:rPr>
          <w:rFonts w:ascii="TH Sarabun New" w:hAnsi="TH Sarabun New" w:cs="TH Sarabun New" w:eastAsia="TH Sarabun New"/>
          <w:b w:val="0"/>
          <w:i/>
          <w:color w:val="595959"/>
          <w:sz w:val="26"/>
          <w:szCs w:val="26"/>
        </w:rPr>
        <w:t>ตัวอย่างเนื้อหา</w:t>
      </w:r>
    </w:p>
    <w:p>
      <w:pPr>
        <w:pStyle w:val="ListBullet"/>
        <w:spacing w:after="40"/>
      </w:pPr>
      <w:r>
        <w:rPr>
          <w:rFonts w:ascii="TH Sarabun New" w:hAnsi="TH Sarabun New" w:cs="TH Sarabun New" w:eastAsia="TH Sarabun New"/>
          <w:b w:val="0"/>
          <w:i w:val="0"/>
          <w:sz w:val="30"/>
          <w:szCs w:val="30"/>
        </w:rPr>
        <w:t>ยืนยันว่ากู้คืนระบบและตรวจสอบแล้ว (RC-FRM-001)</w:t>
      </w:r>
    </w:p>
    <w:p>
      <w:pPr>
        <w:pStyle w:val="ListBullet"/>
        <w:spacing w:after="40"/>
      </w:pPr>
      <w:r>
        <w:rPr>
          <w:rFonts w:ascii="TH Sarabun New" w:hAnsi="TH Sarabun New" w:cs="TH Sarabun New" w:eastAsia="TH Sarabun New"/>
          <w:b w:val="0"/>
          <w:i w:val="0"/>
          <w:sz w:val="30"/>
          <w:szCs w:val="30"/>
        </w:rPr>
        <w:t>บันทึกข้อมูลจากเอกสารกระดาษเข้าสู่ระบบและกระทบยอด</w:t>
      </w:r>
    </w:p>
    <w:p>
      <w:pPr>
        <w:pStyle w:val="ListBullet"/>
        <w:spacing w:after="40"/>
      </w:pPr>
      <w:r>
        <w:rPr>
          <w:rFonts w:ascii="TH Sarabun New" w:hAnsi="TH Sarabun New" w:cs="TH Sarabun New" w:eastAsia="TH Sarabun New"/>
          <w:b w:val="0"/>
          <w:i w:val="0"/>
          <w:sz w:val="30"/>
          <w:szCs w:val="30"/>
        </w:rPr>
        <w:t>ประกาศสิ้นสุดเหตุการณ์ด้านความต่อเนื่องและบันทึกการตัดสินใจ</w:t>
      </w:r>
    </w:p>
    <w:p>
      <w:pPr>
        <w:pStyle w:val="ListBullet"/>
        <w:spacing w:after="40"/>
      </w:pPr>
      <w:r>
        <w:rPr>
          <w:rFonts w:ascii="TH Sarabun New" w:hAnsi="TH Sarabun New" w:cs="TH Sarabun New" w:eastAsia="TH Sarabun New"/>
          <w:b w:val="0"/>
          <w:i w:val="0"/>
          <w:sz w:val="30"/>
          <w:szCs w:val="30"/>
        </w:rPr>
        <w:t>จัดทบทวนบทเรียนที่ได้รับ (ID-TPL-001)</w:t>
      </w:r>
    </w:p>
    <w:p>
      <w:pPr>
        <w:pStyle w:val="Heading2"/>
        <w:keepNext/>
        <w:spacing w:before="12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3"/>
          <w:szCs w:val="33"/>
          <w:bCs/>
        </w:rPr>
        <w:t>4.7 บันทึกที่เกิดจากกระบวนการนี้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color w:val="1F3864"/>
                <w:sz w:val="26"/>
                <w:szCs w:val="26"/>
                <w:bCs/>
              </w:rPr>
              <w:t xml:space="preserve">ข้อกำหนด: </w:t>
            </w:r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ระบุแบบฟอร์ม บันทึก และทะเบียนที่เกิดจากกระบวนการนี้ และสถานที่จัดเก็บ</w:t>
            </w:r>
          </w:p>
        </w:tc>
      </w:tr>
    </w:tbl>
    <w:p>
      <w:pPr>
        <w:spacing w:after="0"/>
      </w:pPr>
    </w:p>
    <w:p>
      <w:pPr>
        <w:spacing w:after="40" w:before="0"/>
      </w:pPr>
      <w:r>
        <w:rPr>
          <w:rFonts w:ascii="TH Sarabun New" w:hAnsi="TH Sarabun New" w:cs="TH Sarabun New" w:eastAsia="TH Sarabun New"/>
          <w:b w:val="0"/>
          <w:i/>
          <w:color w:val="595959"/>
          <w:sz w:val="26"/>
          <w:szCs w:val="26"/>
        </w:rPr>
        <w:t>ตัวอย่างเนื้อหา</w:t>
      </w:r>
    </w:p>
    <w:p>
      <w:pPr>
        <w:spacing w:after="80" w:before="0"/>
      </w:pPr>
      <w:r>
        <w:rPr>
          <w:rFonts w:ascii="TH Sarabun New" w:hAnsi="TH Sarabun New" w:cs="TH Sarabun New" w:eastAsia="TH Sarabun New"/>
          <w:b w:val="0"/>
          <w:i w:val="0"/>
          <w:sz w:val="30"/>
          <w:szCs w:val="30"/>
        </w:rPr>
        <w:t>บันทึกที่เกิดจากเอกสารนี้ให้จัดเก็บตามมาตรฐานการเก็บรักษาและการทำลายข้อมูล (PR-STD-007)</w:t>
      </w:r>
    </w:p>
    <w:p>
      <w:pPr>
        <w:pStyle w:val="Heading1"/>
        <w:keepNext/>
        <w:spacing w:before="20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8"/>
          <w:szCs w:val="38"/>
          <w:bCs/>
        </w:rPr>
        <w:t>5. ส่วน B: แนวปฏิบัติที่ดี (Best Practice)</w:t>
      </w:r>
    </w:p>
    <w:p>
      <w:pPr>
        <w:pStyle w:val="ListBullet"/>
        <w:spacing w:after="40"/>
      </w:pPr>
      <w:r>
        <w:rPr>
          <w:rFonts w:ascii="TH Sarabun New" w:hAnsi="TH Sarabun New" w:cs="TH Sarabun New" w:eastAsia="TH Sarabun New"/>
          <w:b w:val="0"/>
          <w:i w:val="0"/>
          <w:sz w:val="30"/>
          <w:szCs w:val="30"/>
        </w:rPr>
        <w:t>ทดสอบทางเลือกทดแทนกับผู้ที่จะใช้งานจริง ไม่ใช่เฉพาะผู้เขียนแผน</w:t>
      </w:r>
    </w:p>
    <w:p>
      <w:pPr>
        <w:pStyle w:val="ListBullet"/>
        <w:spacing w:after="40"/>
      </w:pPr>
      <w:r>
        <w:rPr>
          <w:rFonts w:ascii="TH Sarabun New" w:hAnsi="TH Sarabun New" w:cs="TH Sarabun New" w:eastAsia="TH Sarabun New"/>
          <w:b w:val="0"/>
          <w:i w:val="0"/>
          <w:sz w:val="30"/>
          <w:szCs w:val="30"/>
        </w:rPr>
        <w:t>พิมพ์หรือส่งออกรายการสำคัญ (ผู้ป่วย ลูกค้า คำสั่งซื้อ) ไว้ล่วงหน้าอย่างสม่ำเสมอสำหรับช่วงที่ระบบหยุด</w:t>
      </w:r>
    </w:p>
    <w:p>
      <w:pPr>
        <w:pStyle w:val="Heading2"/>
        <w:keepNext/>
        <w:spacing w:before="12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3"/>
          <w:szCs w:val="33"/>
          <w:bCs/>
        </w:rPr>
        <w:t>ข้อผิดพลาดที่พบบ่อย</w:t>
      </w:r>
    </w:p>
    <w:p>
      <w:pPr>
        <w:pStyle w:val="ListBullet"/>
        <w:spacing w:after="40"/>
      </w:pPr>
      <w:r>
        <w:rPr>
          <w:rFonts w:ascii="TH Sarabun New" w:hAnsi="TH Sarabun New" w:cs="TH Sarabun New" w:eastAsia="TH Sarabun New"/>
          <w:b w:val="0"/>
          <w:i w:val="0"/>
          <w:sz w:val="30"/>
          <w:szCs w:val="30"/>
        </w:rPr>
        <w:t>ทางเลือกทดแทนต้องพึ่งพาระบบเดียวกับที่หยุดทำงาน (เช่น แบบฟอร์มเก็บไว้บนไฟล์เซิร์ฟเวอร์)</w:t>
      </w:r>
    </w:p>
    <w:p>
      <w:pPr>
        <w:pStyle w:val="Heading1"/>
        <w:keepNext/>
        <w:spacing w:before="20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8"/>
          <w:szCs w:val="38"/>
          <w:bCs/>
        </w:rPr>
        <w:t>6. ภาคผนวก: การอ้างอิงและเอกสารที่เกี่ยวข้อง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2835"/>
        <w:gridCol w:w="6520"/>
      </w:tblGrid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NIST CSF 2.0 Subcategories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RC.RP-01: ดำเนินการส่วนการกู้คืนของแผนรับมือเหตุการณ์เมื่อเริ่มกระบวนการ</w:t>
            </w:r>
          </w:p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RC.RP-02: เลือก กำหนดขอบเขต จัดลำดับ และดำเนินการกู้คืน</w:t>
            </w:r>
          </w:p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RC.RP-04: พิจารณาหน้าที่สำคัญต่อพันธกิจและการบริหารความเสี่ยงด้านไซเบอร์ในการกำหนดสภาพการทำงานหลังเหตุการณ์</w:t>
            </w:r>
          </w:p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RC.RP-06: ประกาศสิ้นสุดการกู้คืนตามเกณฑ์ และจัดทำเอกสารที่เกี่ยวข้องกับเหตุการณ์ให้ครบถ้วน</w:t>
            </w:r>
          </w:p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RC.CO-03: สื่อสารกิจกรรมการกู้คืนและความคืบหน้าในการฟื้นฟูขีดความสามารถไปยังผู้มีส่วนได้ส่วนเสียที่กำหนด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ISO/IEC 27001:2022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Annex A.5.29, Annex A.5.30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NIST SP 800-53 Rev. 5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CP-2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กฎหมาย ระเบียบ และแหล่งอ้างอิงอื่น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ประกาศคณะกรรมการกำกับดูแลด้านความมั่นคงปลอดภัยไซเบอร์ว่าด้วยหน้าที่ของหน่วยงานโครงสร้างพื้นฐานสำคัญทางสารสนเทศ (2567) (จัดทำ BCP ตามหลักเกณฑ์ที่กำหนด) [VERIFY]; ISO 22301:2019 ข้อ 8.4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เอกสารแม่ (Parent)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RC-POL-001: นโยบายการบริหารความต่อเนื่องทางธุรกิจ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เอกสารลูก (Child)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RC-PLN-002: แผนการกู้คืนระบบสารสนเทศ (DRP)</w:t>
            </w:r>
          </w:p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RC-PRC-002: ระเบียบปฏิบัติการสื่อสารในภาวะวิกฤต</w:t>
            </w:r>
          </w:p>
        </w:tc>
      </w:tr>
    </w:tbl>
    <w:p>
      <w:pPr>
        <w:spacing w:after="4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247" w:bottom="102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rFonts w:ascii="TH Sarabun New" w:hAnsi="TH Sarabun New" w:cs="TH Sarabun New" w:eastAsia="TH Sarabun New"/>
        <w:b w:val="0"/>
        <w:i w:val="0"/>
        <w:color w:val="595959"/>
        <w:sz w:val="24"/>
        <w:szCs w:val="24"/>
      </w:rPr>
      <w:t xml:space="preserve">ระดับชั้นความลับ: ใช้ภายใน (Internal)    หน้า </w:t>
    </w:r>
    <w:r>
      <w:rPr>
        <w:rFonts w:ascii="TH Sarabun New" w:hAnsi="TH Sarabun New" w:cs="TH Sarabun New" w:eastAsia="TH Sarabun New"/>
        <w:color w:val="595959"/>
        <w:sz w:val="24"/>
        <w:szCs w:val="24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TH Sarabun New" w:hAnsi="TH Sarabun New" w:cs="TH Sarabun New" w:eastAsia="TH Sarabun New"/>
        <w:b w:val="0"/>
        <w:i w:val="0"/>
        <w:color w:val="595959"/>
        <w:sz w:val="24"/>
        <w:szCs w:val="24"/>
      </w:rPr>
      <w:t>[ชื่อองค์กร]  |  RC-PLN-001  |  แผนความต่อเนื่องทางธุรกิจ (BCP)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H Sarabun New" w:hAnsi="TH Sarabun New" w:cs="TH Sarabun New" w:eastAsia="TH Sarabun New"/>
      <w:sz w:val="3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