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Cybersecurity Governance Charter</w:t>
      </w:r>
    </w:p>
    <w:p>
      <w:pPr>
        <w:spacing w:after="80" w:before="0"/>
      </w:pPr>
      <w:r>
        <w:rPr>
          <w:rFonts w:ascii="Calibri" w:hAnsi="Calibri" w:cs="Calibri" w:eastAsia="Calibri"/>
          <w:b w:val="0"/>
          <w:i w:val="0"/>
          <w:color w:val="595959"/>
          <w:sz w:val="18"/>
          <w:szCs w:val="18"/>
        </w:rPr>
        <w:t>GV-CHR-001  |  Charter  |  Organizational Context (GV.OC)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GV-CHR-001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Governance Charter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Board of Directors</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0: Charter, Strategy, and Statement</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Charter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Organizational Context (GV.OC)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5.1 and 5.3; CSA s.44 (CII)</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charter establishes the mandate, authority, and governance structure for cybersecurity at [Organization Name], and makes leadership accountable for cybersecurity risk.</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charter covers [Organization Name] as a whole, including all business units, sites, and outsourced services.</w:t>
      </w:r>
    </w:p>
    <w:p>
      <w:pPr>
        <w:pStyle w:val="Heading2"/>
        <w:keepNext/>
        <w:spacing w:before="120" w:after="80"/>
      </w:pPr>
      <w:r>
        <w:rPr>
          <w:rFonts w:ascii="Calibri" w:hAnsi="Calibri" w:cs="Calibri" w:eastAsia="Calibri"/>
          <w:b/>
          <w:i w:val="0"/>
          <w:color w:val="1F3864"/>
          <w:sz w:val="24"/>
          <w:szCs w:val="24"/>
          <w:bCs/>
        </w:rPr>
        <w:t>4.3 Mandate and Authority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authority the Board grants to the security function, including access to information and escalation rights.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Board of Directors establishes the cybersecurity program and delegates its operation to Chief Executive Officer (CEO).</w:t>
      </w:r>
    </w:p>
    <w:p>
      <w:pPr>
        <w:pStyle w:val="ListBullet"/>
        <w:spacing w:after="40"/>
      </w:pPr>
      <w:r>
        <w:rPr>
          <w:rFonts w:ascii="Calibri" w:hAnsi="Calibri" w:cs="Calibri" w:eastAsia="Calibri"/>
          <w:b w:val="0"/>
          <w:i w:val="0"/>
          <w:sz w:val="21"/>
          <w:szCs w:val="21"/>
        </w:rPr>
        <w:t>The Chief Information Security Officer (CISO) or Security Manager has authority to set security requirements, access any system or record needed to assess risk, and stop activities that create unacceptable risk, subject to escalation to Chief Executive Officer (CEO).</w:t>
      </w:r>
    </w:p>
    <w:p>
      <w:pPr>
        <w:pStyle w:val="ListBullet"/>
        <w:spacing w:after="40"/>
      </w:pPr>
      <w:r>
        <w:rPr>
          <w:rFonts w:ascii="Calibri" w:hAnsi="Calibri" w:cs="Calibri" w:eastAsia="Calibri"/>
          <w:b w:val="0"/>
          <w:i w:val="0"/>
          <w:sz w:val="21"/>
          <w:szCs w:val="21"/>
        </w:rPr>
        <w:t>The Chief Information Security Officer (CISO) or Security Manager has direct access to the Board of Directors or its delegated committee for matters that management does not resolve.</w:t>
      </w:r>
    </w:p>
    <w:p>
      <w:pPr>
        <w:pStyle w:val="Heading2"/>
        <w:keepNext/>
        <w:spacing w:before="120" w:after="80"/>
      </w:pPr>
      <w:r>
        <w:rPr>
          <w:rFonts w:ascii="Calibri" w:hAnsi="Calibri" w:cs="Calibri" w:eastAsia="Calibri"/>
          <w:b/>
          <w:i w:val="0"/>
          <w:color w:val="1F3864"/>
          <w:sz w:val="24"/>
          <w:szCs w:val="24"/>
          <w:bCs/>
        </w:rPr>
        <w:t>4.4 Governance Structure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bodies involved, their composition, and reporting lines.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2551"/>
        <w:gridCol w:w="3118"/>
        <w:gridCol w:w="1417"/>
      </w:tblGrid>
      <w:tr>
        <w:trPr>
          <w:tblHeader w:val="true"/>
        </w:trPr>
        <w:tc>
          <w:tcPr>
            <w:tcW w:type="dxa" w:w="2268"/>
            <w:shd w:val="clear" w:color="auto" w:fill="1F3864"/>
          </w:tcPr>
          <w:p>
            <w:r/>
            <w:r>
              <w:rPr>
                <w:rFonts w:ascii="Calibri" w:hAnsi="Calibri" w:cs="Calibri" w:eastAsia="Calibri"/>
                <w:b/>
                <w:i w:val="0"/>
                <w:color w:val="FFFFFF"/>
                <w:sz w:val="18"/>
                <w:szCs w:val="18"/>
                <w:bCs/>
              </w:rPr>
              <w:t>Body</w:t>
            </w:r>
          </w:p>
        </w:tc>
        <w:tc>
          <w:tcPr>
            <w:tcW w:type="dxa" w:w="2551"/>
            <w:shd w:val="clear" w:color="auto" w:fill="1F3864"/>
          </w:tcPr>
          <w:p>
            <w:r/>
            <w:r>
              <w:rPr>
                <w:rFonts w:ascii="Calibri" w:hAnsi="Calibri" w:cs="Calibri" w:eastAsia="Calibri"/>
                <w:b/>
                <w:i w:val="0"/>
                <w:color w:val="FFFFFF"/>
                <w:sz w:val="18"/>
                <w:szCs w:val="18"/>
                <w:bCs/>
              </w:rPr>
              <w:t>Composition</w:t>
            </w:r>
          </w:p>
        </w:tc>
        <w:tc>
          <w:tcPr>
            <w:tcW w:type="dxa" w:w="3118"/>
            <w:shd w:val="clear" w:color="auto" w:fill="1F3864"/>
          </w:tcPr>
          <w:p>
            <w:r/>
            <w:r>
              <w:rPr>
                <w:rFonts w:ascii="Calibri" w:hAnsi="Calibri" w:cs="Calibri" w:eastAsia="Calibri"/>
                <w:b/>
                <w:i w:val="0"/>
                <w:color w:val="FFFFFF"/>
                <w:sz w:val="18"/>
                <w:szCs w:val="18"/>
                <w:bCs/>
              </w:rPr>
              <w:t>Role</w:t>
            </w:r>
          </w:p>
        </w:tc>
        <w:tc>
          <w:tcPr>
            <w:tcW w:type="dxa" w:w="1417"/>
            <w:shd w:val="clear" w:color="auto" w:fill="1F3864"/>
          </w:tcPr>
          <w:p>
            <w:r/>
            <w:r>
              <w:rPr>
                <w:rFonts w:ascii="Calibri" w:hAnsi="Calibri" w:cs="Calibri" w:eastAsia="Calibri"/>
                <w:b/>
                <w:i w:val="0"/>
                <w:color w:val="FFFFFF"/>
                <w:sz w:val="18"/>
                <w:szCs w:val="18"/>
                <w:bCs/>
              </w:rPr>
              <w:t>Frequency</w:t>
            </w:r>
          </w:p>
        </w:tc>
      </w:tr>
      <w:tr>
        <w:tc>
          <w:tcPr>
            <w:tcW w:type="dxa" w:w="2268"/>
          </w:tcPr>
          <w:p>
            <w:r/>
            <w:r>
              <w:rPr>
                <w:rFonts w:ascii="Calibri" w:hAnsi="Calibri" w:cs="Calibri" w:eastAsia="Calibri"/>
                <w:b w:val="0"/>
                <w:i w:val="0"/>
                <w:sz w:val="18"/>
                <w:szCs w:val="18"/>
              </w:rPr>
              <w:t>Board of Directors (or Risk or Audit Committee)</w:t>
            </w:r>
          </w:p>
        </w:tc>
        <w:tc>
          <w:tcPr>
            <w:tcW w:type="dxa" w:w="2551"/>
          </w:tcPr>
          <w:p>
            <w:r/>
            <w:r>
              <w:rPr>
                <w:rFonts w:ascii="Calibri" w:hAnsi="Calibri" w:cs="Calibri" w:eastAsia="Calibri"/>
                <w:b w:val="0"/>
                <w:i w:val="0"/>
                <w:sz w:val="18"/>
                <w:szCs w:val="18"/>
              </w:rPr>
              <w:t>Board members</w:t>
            </w:r>
          </w:p>
        </w:tc>
        <w:tc>
          <w:tcPr>
            <w:tcW w:type="dxa" w:w="3118"/>
          </w:tcPr>
          <w:p>
            <w:r/>
            <w:r>
              <w:rPr>
                <w:rFonts w:ascii="Calibri" w:hAnsi="Calibri" w:cs="Calibri" w:eastAsia="Calibri"/>
                <w:b w:val="0"/>
                <w:i w:val="0"/>
                <w:sz w:val="18"/>
                <w:szCs w:val="18"/>
              </w:rPr>
              <w:t>Sets risk appetite, approves charter and strategy, monitors performance</w:t>
            </w:r>
          </w:p>
        </w:tc>
        <w:tc>
          <w:tcPr>
            <w:tcW w:type="dxa" w:w="1417"/>
          </w:tcPr>
          <w:p>
            <w:r/>
            <w:r>
              <w:rPr>
                <w:rFonts w:ascii="Calibri" w:hAnsi="Calibri" w:cs="Calibri" w:eastAsia="Calibri"/>
                <w:b w:val="0"/>
                <w:i w:val="0"/>
                <w:sz w:val="18"/>
                <w:szCs w:val="18"/>
              </w:rPr>
              <w:t>At least twice a year</w:t>
            </w:r>
          </w:p>
        </w:tc>
      </w:tr>
      <w:tr>
        <w:tc>
          <w:tcPr>
            <w:tcW w:type="dxa" w:w="2268"/>
          </w:tcPr>
          <w:p>
            <w:r/>
            <w:r>
              <w:rPr>
                <w:rFonts w:ascii="Calibri" w:hAnsi="Calibri" w:cs="Calibri" w:eastAsia="Calibri"/>
                <w:b w:val="0"/>
                <w:i w:val="0"/>
                <w:sz w:val="18"/>
                <w:szCs w:val="18"/>
              </w:rPr>
              <w:t>Information Security Steering Committee (ISSC)</w:t>
            </w:r>
          </w:p>
        </w:tc>
        <w:tc>
          <w:tcPr>
            <w:tcW w:type="dxa" w:w="2551"/>
          </w:tcPr>
          <w:p>
            <w:r/>
            <w:r>
              <w:rPr>
                <w:rFonts w:ascii="Calibri" w:hAnsi="Calibri" w:cs="Calibri" w:eastAsia="Calibri"/>
                <w:b w:val="0"/>
                <w:i w:val="0"/>
                <w:sz w:val="18"/>
                <w:szCs w:val="18"/>
              </w:rPr>
              <w:t>Chief Executive Officer (CEO) (chair), Chief Information Officer (CIO), Chief Financial Officer (CFO), Chief Information Security Officer (CISO) or Security Manager, Data Protection Officer (DPO), Chief Risk Officer (CRO) or Enterprise Risk Manager, business heads</w:t>
            </w:r>
          </w:p>
        </w:tc>
        <w:tc>
          <w:tcPr>
            <w:tcW w:type="dxa" w:w="3118"/>
          </w:tcPr>
          <w:p>
            <w:r/>
            <w:r>
              <w:rPr>
                <w:rFonts w:ascii="Calibri" w:hAnsi="Calibri" w:cs="Calibri" w:eastAsia="Calibri"/>
                <w:b w:val="0"/>
                <w:i w:val="0"/>
                <w:sz w:val="18"/>
                <w:szCs w:val="18"/>
              </w:rPr>
              <w:t>Directs and oversees the program, approves standards and major exceptions</w:t>
            </w:r>
          </w:p>
        </w:tc>
        <w:tc>
          <w:tcPr>
            <w:tcW w:type="dxa" w:w="1417"/>
          </w:tcPr>
          <w:p>
            <w:r/>
            <w:r>
              <w:rPr>
                <w:rFonts w:ascii="Calibri" w:hAnsi="Calibri" w:cs="Calibri" w:eastAsia="Calibri"/>
                <w:b w:val="0"/>
                <w:i w:val="0"/>
                <w:sz w:val="18"/>
                <w:szCs w:val="18"/>
              </w:rPr>
              <w:t>Quarterly</w:t>
            </w:r>
          </w:p>
        </w:tc>
      </w:tr>
      <w:tr>
        <w:tc>
          <w:tcPr>
            <w:tcW w:type="dxa" w:w="2268"/>
          </w:tcPr>
          <w:p>
            <w:r/>
            <w:r>
              <w:rPr>
                <w:rFonts w:ascii="Calibri" w:hAnsi="Calibri" w:cs="Calibri" w:eastAsia="Calibri"/>
                <w:b w:val="0"/>
                <w:i w:val="0"/>
                <w:sz w:val="18"/>
                <w:szCs w:val="18"/>
              </w:rPr>
              <w:t>Security function</w:t>
            </w:r>
          </w:p>
        </w:tc>
        <w:tc>
          <w:tcPr>
            <w:tcW w:type="dxa" w:w="2551"/>
          </w:tcPr>
          <w:p>
            <w:r/>
            <w:r>
              <w:rPr>
                <w:rFonts w:ascii="Calibri" w:hAnsi="Calibri" w:cs="Calibri" w:eastAsia="Calibri"/>
                <w:b w:val="0"/>
                <w:i w:val="0"/>
                <w:sz w:val="18"/>
                <w:szCs w:val="18"/>
              </w:rPr>
              <w:t>Chief Information Security Officer (CISO) or Security Manager and team</w:t>
            </w:r>
          </w:p>
        </w:tc>
        <w:tc>
          <w:tcPr>
            <w:tcW w:type="dxa" w:w="3118"/>
          </w:tcPr>
          <w:p>
            <w:r/>
            <w:r>
              <w:rPr>
                <w:rFonts w:ascii="Calibri" w:hAnsi="Calibri" w:cs="Calibri" w:eastAsia="Calibri"/>
                <w:b w:val="0"/>
                <w:i w:val="0"/>
                <w:sz w:val="18"/>
                <w:szCs w:val="18"/>
              </w:rPr>
              <w:t>Runs the program day to day</w:t>
            </w:r>
          </w:p>
        </w:tc>
        <w:tc>
          <w:tcPr>
            <w:tcW w:type="dxa" w:w="1417"/>
          </w:tcPr>
          <w:p>
            <w:r/>
            <w:r>
              <w:rPr>
                <w:rFonts w:ascii="Calibri" w:hAnsi="Calibri" w:cs="Calibri" w:eastAsia="Calibri"/>
                <w:b w:val="0"/>
                <w:i w:val="0"/>
                <w:sz w:val="18"/>
                <w:szCs w:val="18"/>
              </w:rPr>
              <w:t>Ongoing</w:t>
            </w:r>
          </w:p>
        </w:tc>
      </w:tr>
      <w:tr>
        <w:tc>
          <w:tcPr>
            <w:tcW w:type="dxa" w:w="2268"/>
          </w:tcPr>
          <w:p>
            <w:r/>
            <w:r>
              <w:rPr>
                <w:rFonts w:ascii="Calibri" w:hAnsi="Calibri" w:cs="Calibri" w:eastAsia="Calibri"/>
                <w:b w:val="0"/>
                <w:i w:val="0"/>
                <w:sz w:val="18"/>
                <w:szCs w:val="18"/>
              </w:rPr>
              <w:t>Internal audit</w:t>
            </w:r>
          </w:p>
        </w:tc>
        <w:tc>
          <w:tcPr>
            <w:tcW w:type="dxa" w:w="2551"/>
          </w:tcPr>
          <w:p>
            <w:r/>
            <w:r>
              <w:rPr>
                <w:rFonts w:ascii="Calibri" w:hAnsi="Calibri" w:cs="Calibri" w:eastAsia="Calibri"/>
                <w:b w:val="0"/>
                <w:i w:val="0"/>
                <w:sz w:val="18"/>
                <w:szCs w:val="18"/>
              </w:rPr>
              <w:t>Head of Internal Audit</w:t>
            </w:r>
          </w:p>
        </w:tc>
        <w:tc>
          <w:tcPr>
            <w:tcW w:type="dxa" w:w="3118"/>
          </w:tcPr>
          <w:p>
            <w:r/>
            <w:r>
              <w:rPr>
                <w:rFonts w:ascii="Calibri" w:hAnsi="Calibri" w:cs="Calibri" w:eastAsia="Calibri"/>
                <w:b w:val="0"/>
                <w:i w:val="0"/>
                <w:sz w:val="18"/>
                <w:szCs w:val="18"/>
              </w:rPr>
              <w:t>Provides independent assurance</w:t>
            </w:r>
          </w:p>
        </w:tc>
        <w:tc>
          <w:tcPr>
            <w:tcW w:type="dxa" w:w="1417"/>
          </w:tcPr>
          <w:p>
            <w:r/>
            <w:r>
              <w:rPr>
                <w:rFonts w:ascii="Calibri" w:hAnsi="Calibri" w:cs="Calibri" w:eastAsia="Calibri"/>
                <w:b w:val="0"/>
                <w:i w:val="0"/>
                <w:sz w:val="18"/>
                <w:szCs w:val="18"/>
              </w:rPr>
              <w:t>Annual audit plan</w:t>
            </w:r>
          </w:p>
        </w:tc>
      </w:tr>
    </w:tbl>
    <w:p>
      <w:pPr>
        <w:spacing w:after="40"/>
      </w:pPr>
    </w:p>
    <w:p>
      <w:pPr>
        <w:pStyle w:val="Heading2"/>
        <w:keepNext/>
        <w:spacing w:before="120" w:after="80"/>
      </w:pPr>
      <w:r>
        <w:rPr>
          <w:rFonts w:ascii="Calibri" w:hAnsi="Calibri" w:cs="Calibri" w:eastAsia="Calibri"/>
          <w:b/>
          <w:i w:val="0"/>
          <w:color w:val="1F3864"/>
          <w:sz w:val="24"/>
          <w:szCs w:val="24"/>
          <w:bCs/>
        </w:rPr>
        <w:t>4.5 Three Lines Model</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Show how first-line, second-line, and third-line responsibilities are separated.</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3402"/>
        <w:gridCol w:w="4252"/>
      </w:tblGrid>
      <w:tr>
        <w:trPr>
          <w:tblHeader w:val="true"/>
        </w:trPr>
        <w:tc>
          <w:tcPr>
            <w:tcW w:type="dxa" w:w="1701"/>
            <w:shd w:val="clear" w:color="auto" w:fill="1F3864"/>
          </w:tcPr>
          <w:p>
            <w:r/>
            <w:r>
              <w:rPr>
                <w:rFonts w:ascii="Calibri" w:hAnsi="Calibri" w:cs="Calibri" w:eastAsia="Calibri"/>
                <w:b/>
                <w:i w:val="0"/>
                <w:color w:val="FFFFFF"/>
                <w:sz w:val="18"/>
                <w:szCs w:val="18"/>
                <w:bCs/>
              </w:rPr>
              <w:t>Line</w:t>
            </w:r>
          </w:p>
        </w:tc>
        <w:tc>
          <w:tcPr>
            <w:tcW w:type="dxa" w:w="3402"/>
            <w:shd w:val="clear" w:color="auto" w:fill="1F3864"/>
          </w:tcPr>
          <w:p>
            <w:r/>
            <w:r>
              <w:rPr>
                <w:rFonts w:ascii="Calibri" w:hAnsi="Calibri" w:cs="Calibri" w:eastAsia="Calibri"/>
                <w:b/>
                <w:i w:val="0"/>
                <w:color w:val="FFFFFF"/>
                <w:sz w:val="18"/>
                <w:szCs w:val="18"/>
                <w:bCs/>
              </w:rPr>
              <w:t>Who</w:t>
            </w:r>
          </w:p>
        </w:tc>
        <w:tc>
          <w:tcPr>
            <w:tcW w:type="dxa" w:w="4252"/>
            <w:shd w:val="clear" w:color="auto" w:fill="1F3864"/>
          </w:tcPr>
          <w:p>
            <w:r/>
            <w:r>
              <w:rPr>
                <w:rFonts w:ascii="Calibri" w:hAnsi="Calibri" w:cs="Calibri" w:eastAsia="Calibri"/>
                <w:b/>
                <w:i w:val="0"/>
                <w:color w:val="FFFFFF"/>
                <w:sz w:val="18"/>
                <w:szCs w:val="18"/>
                <w:bCs/>
              </w:rPr>
              <w:t>Responsibility</w:t>
            </w:r>
          </w:p>
        </w:tc>
      </w:tr>
      <w:tr>
        <w:tc>
          <w:tcPr>
            <w:tcW w:type="dxa" w:w="1701"/>
          </w:tcPr>
          <w:p>
            <w:r/>
            <w:r>
              <w:rPr>
                <w:rFonts w:ascii="Calibri" w:hAnsi="Calibri" w:cs="Calibri" w:eastAsia="Calibri"/>
                <w:b w:val="0"/>
                <w:i w:val="0"/>
                <w:sz w:val="18"/>
                <w:szCs w:val="18"/>
              </w:rPr>
              <w:t>First line</w:t>
            </w:r>
          </w:p>
        </w:tc>
        <w:tc>
          <w:tcPr>
            <w:tcW w:type="dxa" w:w="3402"/>
          </w:tcPr>
          <w:p>
            <w:r/>
            <w:r>
              <w:rPr>
                <w:rFonts w:ascii="Calibri" w:hAnsi="Calibri" w:cs="Calibri" w:eastAsia="Calibri"/>
                <w:b w:val="0"/>
                <w:i w:val="0"/>
                <w:sz w:val="18"/>
                <w:szCs w:val="18"/>
              </w:rPr>
              <w:t>Business units, IT operations, system owners</w:t>
            </w:r>
          </w:p>
        </w:tc>
        <w:tc>
          <w:tcPr>
            <w:tcW w:type="dxa" w:w="4252"/>
          </w:tcPr>
          <w:p>
            <w:r/>
            <w:r>
              <w:rPr>
                <w:rFonts w:ascii="Calibri" w:hAnsi="Calibri" w:cs="Calibri" w:eastAsia="Calibri"/>
                <w:b w:val="0"/>
                <w:i w:val="0"/>
                <w:sz w:val="18"/>
                <w:szCs w:val="18"/>
              </w:rPr>
              <w:t>Own risks and operate controls</w:t>
            </w:r>
          </w:p>
        </w:tc>
      </w:tr>
      <w:tr>
        <w:tc>
          <w:tcPr>
            <w:tcW w:type="dxa" w:w="1701"/>
          </w:tcPr>
          <w:p>
            <w:r/>
            <w:r>
              <w:rPr>
                <w:rFonts w:ascii="Calibri" w:hAnsi="Calibri" w:cs="Calibri" w:eastAsia="Calibri"/>
                <w:b w:val="0"/>
                <w:i w:val="0"/>
                <w:sz w:val="18"/>
                <w:szCs w:val="18"/>
              </w:rPr>
              <w:t>Second line</w:t>
            </w:r>
          </w:p>
        </w:tc>
        <w:tc>
          <w:tcPr>
            <w:tcW w:type="dxa" w:w="3402"/>
          </w:tcPr>
          <w:p>
            <w:r/>
            <w:r>
              <w:rPr>
                <w:rFonts w:ascii="Calibri" w:hAnsi="Calibri" w:cs="Calibri" w:eastAsia="Calibri"/>
                <w:b w:val="0"/>
                <w:i w:val="0"/>
                <w:sz w:val="18"/>
                <w:szCs w:val="18"/>
              </w:rPr>
              <w:t>Chief Information Security Officer (CISO) or Security Manager, Data Protection Officer (DPO), Chief Risk Officer (CRO) or Enterprise Risk Manager</w:t>
            </w:r>
          </w:p>
        </w:tc>
        <w:tc>
          <w:tcPr>
            <w:tcW w:type="dxa" w:w="4252"/>
          </w:tcPr>
          <w:p>
            <w:r/>
            <w:r>
              <w:rPr>
                <w:rFonts w:ascii="Calibri" w:hAnsi="Calibri" w:cs="Calibri" w:eastAsia="Calibri"/>
                <w:b w:val="0"/>
                <w:i w:val="0"/>
                <w:sz w:val="18"/>
                <w:szCs w:val="18"/>
              </w:rPr>
              <w:t>Set policy and standards, monitor and challenge</w:t>
            </w:r>
          </w:p>
        </w:tc>
      </w:tr>
      <w:tr>
        <w:tc>
          <w:tcPr>
            <w:tcW w:type="dxa" w:w="1701"/>
          </w:tcPr>
          <w:p>
            <w:r/>
            <w:r>
              <w:rPr>
                <w:rFonts w:ascii="Calibri" w:hAnsi="Calibri" w:cs="Calibri" w:eastAsia="Calibri"/>
                <w:b w:val="0"/>
                <w:i w:val="0"/>
                <w:sz w:val="18"/>
                <w:szCs w:val="18"/>
              </w:rPr>
              <w:t>Third line</w:t>
            </w:r>
          </w:p>
        </w:tc>
        <w:tc>
          <w:tcPr>
            <w:tcW w:type="dxa" w:w="3402"/>
          </w:tcPr>
          <w:p>
            <w:r/>
            <w:r>
              <w:rPr>
                <w:rFonts w:ascii="Calibri" w:hAnsi="Calibri" w:cs="Calibri" w:eastAsia="Calibri"/>
                <w:b w:val="0"/>
                <w:i w:val="0"/>
                <w:sz w:val="18"/>
                <w:szCs w:val="18"/>
              </w:rPr>
              <w:t>Head of Internal Audit</w:t>
            </w:r>
          </w:p>
        </w:tc>
        <w:tc>
          <w:tcPr>
            <w:tcW w:type="dxa" w:w="4252"/>
          </w:tcPr>
          <w:p>
            <w:r/>
            <w:r>
              <w:rPr>
                <w:rFonts w:ascii="Calibri" w:hAnsi="Calibri" w:cs="Calibri" w:eastAsia="Calibri"/>
                <w:b w:val="0"/>
                <w:i w:val="0"/>
                <w:sz w:val="18"/>
                <w:szCs w:val="18"/>
              </w:rPr>
              <w:t>Independent assurance to the Board of Directors</w:t>
            </w:r>
          </w:p>
        </w:tc>
      </w:tr>
    </w:tbl>
    <w:p>
      <w:pPr>
        <w:spacing w:after="40"/>
      </w:pPr>
    </w:p>
    <w:p>
      <w:pPr>
        <w:pStyle w:val="Heading2"/>
        <w:keepNext/>
        <w:spacing w:before="120" w:after="80"/>
      </w:pPr>
      <w:r>
        <w:rPr>
          <w:rFonts w:ascii="Calibri" w:hAnsi="Calibri" w:cs="Calibri" w:eastAsia="Calibri"/>
          <w:b/>
          <w:i w:val="0"/>
          <w:color w:val="1F3864"/>
          <w:sz w:val="24"/>
          <w:szCs w:val="24"/>
          <w:bCs/>
        </w:rPr>
        <w:t>4.6 Reporting to the Board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what the Board receives and how often.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Top cyber risks against risk appetite, with trend.</w:t>
      </w:r>
    </w:p>
    <w:p>
      <w:pPr>
        <w:pStyle w:val="ListBullet"/>
        <w:spacing w:after="40"/>
      </w:pPr>
      <w:r>
        <w:rPr>
          <w:rFonts w:ascii="Calibri" w:hAnsi="Calibri" w:cs="Calibri" w:eastAsia="Calibri"/>
          <w:b w:val="0"/>
          <w:i w:val="0"/>
          <w:sz w:val="21"/>
          <w:szCs w:val="21"/>
        </w:rPr>
        <w:t>Program progress against the strategy and budget.</w:t>
      </w:r>
    </w:p>
    <w:p>
      <w:pPr>
        <w:pStyle w:val="ListBullet"/>
        <w:spacing w:after="40"/>
      </w:pPr>
      <w:r>
        <w:rPr>
          <w:rFonts w:ascii="Calibri" w:hAnsi="Calibri" w:cs="Calibri" w:eastAsia="Calibri"/>
          <w:b w:val="0"/>
          <w:i w:val="0"/>
          <w:sz w:val="21"/>
          <w:szCs w:val="21"/>
        </w:rPr>
        <w:t>Significant incidents and regulatory notifications.</w:t>
      </w:r>
    </w:p>
    <w:p>
      <w:pPr>
        <w:pStyle w:val="ListBullet"/>
        <w:spacing w:after="40"/>
      </w:pPr>
      <w:r>
        <w:rPr>
          <w:rFonts w:ascii="Calibri" w:hAnsi="Calibri" w:cs="Calibri" w:eastAsia="Calibri"/>
          <w:b w:val="0"/>
          <w:i w:val="0"/>
          <w:sz w:val="21"/>
          <w:szCs w:val="21"/>
        </w:rPr>
        <w:t>Audit findings and overdue actions.</w:t>
      </w:r>
    </w:p>
    <w:p>
      <w:pPr>
        <w:pStyle w:val="ListBullet"/>
        <w:spacing w:after="40"/>
      </w:pPr>
      <w:r>
        <w:rPr>
          <w:rFonts w:ascii="Calibri" w:hAnsi="Calibri" w:cs="Calibri" w:eastAsia="Calibri"/>
          <w:b w:val="0"/>
          <w:i w:val="0"/>
          <w:sz w:val="21"/>
          <w:szCs w:val="21"/>
        </w:rPr>
        <w:t>Format: Board Cybersecurity Report Template (GV-TPL-005).</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Give the CISO a reporting path that does not depend only on the CIO, to manage the conflict between delivery speed and security.</w:t>
      </w:r>
    </w:p>
    <w:p>
      <w:pPr>
        <w:pStyle w:val="ListBullet"/>
        <w:spacing w:after="40"/>
      </w:pPr>
      <w:r>
        <w:rPr>
          <w:rFonts w:ascii="Calibri" w:hAnsi="Calibri" w:cs="Calibri" w:eastAsia="Calibri"/>
          <w:b w:val="0"/>
          <w:i w:val="0"/>
          <w:sz w:val="21"/>
          <w:szCs w:val="21"/>
        </w:rPr>
        <w:t>Keep the charter to two or three pages and review it when the organization structure changes.</w:t>
      </w:r>
    </w:p>
    <w:p>
      <w:pPr>
        <w:pStyle w:val="ListBullet"/>
        <w:spacing w:after="40"/>
      </w:pPr>
      <w:r>
        <w:rPr>
          <w:rFonts w:ascii="Calibri" w:hAnsi="Calibri" w:cs="Calibri" w:eastAsia="Calibri"/>
          <w:b w:val="0"/>
          <w:i w:val="0"/>
          <w:sz w:val="21"/>
          <w:szCs w:val="21"/>
        </w:rPr>
        <w:t>Map the charter to CII contact officer duties (CSA s.46) where the organization is designated CII.</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Placing the security function under IT operations with no escalation path, so risks are filtered before management sees them.</w:t>
      </w:r>
    </w:p>
    <w:p>
      <w:pPr>
        <w:pStyle w:val="ListBullet"/>
        <w:spacing w:after="40"/>
      </w:pPr>
      <w:r>
        <w:rPr>
          <w:rFonts w:ascii="Calibri" w:hAnsi="Calibri" w:cs="Calibri" w:eastAsia="Calibri"/>
          <w:b w:val="0"/>
          <w:i w:val="0"/>
          <w:sz w:val="21"/>
          <w:szCs w:val="21"/>
        </w:rPr>
        <w:t>Creating a steering committee that never meets or only receives status updates without decisions.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GV.OC-01: Organizational mission is understood and informs cybersecurity risk management</w:t>
            </w:r>
          </w:p>
          <w:p>
            <w:r>
              <w:rPr>
                <w:rFonts w:ascii="Calibri" w:hAnsi="Calibri" w:cs="Calibri" w:eastAsia="Calibri"/>
                <w:b w:val="0"/>
                <w:i w:val="0"/>
                <w:sz w:val="18"/>
                <w:szCs w:val="18"/>
              </w:rPr>
              <w:t>GV.RR-01: Leadership is responsible and accountable for cybersecurity risk and fosters a risk-aware culture</w:t>
            </w:r>
          </w:p>
          <w:p>
            <w:r>
              <w:rPr>
                <w:rFonts w:ascii="Calibri" w:hAnsi="Calibri" w:cs="Calibri" w:eastAsia="Calibri"/>
                <w:b w:val="0"/>
                <w:i w:val="0"/>
                <w:sz w:val="18"/>
                <w:szCs w:val="18"/>
              </w:rPr>
              <w:t>GV.OV-01: Risk management strategy outcomes are reviewed to inform and adjust strategy and direction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5.1, Clause 5.3, Annex A.5.4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 PM-2, PM-29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5.1 and 5.3; CSA s.44 (CII)</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None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GV-STR-001: Cybersecurity Strategy and Roadmap</w:t>
            </w:r>
          </w:p>
          <w:p>
            <w:r>
              <w:rPr>
                <w:rFonts w:ascii="Calibri" w:hAnsi="Calibri" w:cs="Calibri" w:eastAsia="Calibri"/>
                <w:b w:val="0"/>
                <w:i w:val="0"/>
                <w:sz w:val="18"/>
                <w:szCs w:val="18"/>
              </w:rPr>
              <w:t>GV-RPT-001: Organizational Context and ISMS Scope Statement</w:t>
            </w:r>
          </w:p>
          <w:p>
            <w:r>
              <w:rPr>
                <w:rFonts w:ascii="Calibri" w:hAnsi="Calibri" w:cs="Calibri" w:eastAsia="Calibri"/>
                <w:b w:val="0"/>
                <w:i w:val="0"/>
                <w:sz w:val="18"/>
                <w:szCs w:val="18"/>
              </w:rPr>
              <w:t>GV-STM-001: Risk Appetite and Tolerance Statement</w:t>
            </w:r>
          </w:p>
          <w:p>
            <w:r>
              <w:rPr>
                <w:rFonts w:ascii="Calibri" w:hAnsi="Calibri" w:cs="Calibri" w:eastAsia="Calibri"/>
                <w:b w:val="0"/>
                <w:i w:val="0"/>
                <w:sz w:val="18"/>
                <w:szCs w:val="18"/>
              </w:rPr>
              <w:t>GV-CHR-002: Information Security Steering Committee Terms of Reference</w:t>
            </w:r>
          </w:p>
          <w:p>
            <w:r>
              <w:rPr>
                <w:rFonts w:ascii="Calibri" w:hAnsi="Calibri" w:cs="Calibri" w:eastAsia="Calibri"/>
                <w:b w:val="0"/>
                <w:i w:val="0"/>
                <w:sz w:val="18"/>
                <w:szCs w:val="18"/>
              </w:rPr>
              <w:t>GV-REG-003: Cybersecurity Roles, Responsibilities, and RACI Matrix</w:t>
            </w:r>
          </w:p>
          <w:p>
            <w:r>
              <w:rPr>
                <w:rFonts w:ascii="Calibri" w:hAnsi="Calibri" w:cs="Calibri" w:eastAsia="Calibri"/>
                <w:b w:val="0"/>
                <w:i w:val="0"/>
                <w:sz w:val="18"/>
                <w:szCs w:val="18"/>
              </w:rPr>
              <w:t>GV-POL-001: Information Security Policy</w:t>
            </w:r>
          </w:p>
          <w:p>
            <w:r>
              <w:rPr>
                <w:rFonts w:ascii="Calibri" w:hAnsi="Calibri" w:cs="Calibri" w:eastAsia="Calibri"/>
                <w:b w:val="0"/>
                <w:i w:val="0"/>
                <w:sz w:val="18"/>
                <w:szCs w:val="18"/>
              </w:rPr>
              <w:t>GV-PRC-007: Internal Audit Procedure</w:t>
            </w:r>
          </w:p>
          <w:p>
            <w:r>
              <w:rPr>
                <w:rFonts w:ascii="Calibri" w:hAnsi="Calibri" w:cs="Calibri" w:eastAsia="Calibri"/>
                <w:b w:val="0"/>
                <w:i w:val="0"/>
                <w:sz w:val="18"/>
                <w:szCs w:val="18"/>
              </w:rPr>
              <w:t>RC-POL-001: Business Continuity Management Policy</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GV-CHR-001  |  Cybersecurity Governance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