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Management Review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GV-PRC-006  |  Procedure  |  Oversight (GV.OV)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Management Review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Oversight (GV.OV)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 27001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9.3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defines how top management reviews the security program at planned intervals to confirm it remains suitable, adequate, and effective (ISO/IEC 27001:2022 Clause 9.3).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Review Inputs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mandatory inputs (ISO/IEC 27001:2022 Clause 9.3.2).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Status of actions from previous reviews.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Changes in external and internal issues and interested party needs.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Feedback on security performance: nonconformities and corrective actions, monitoring and measurement results, audit results, and fulfillment of objectives.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Feedback from interested parties.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Results of risk assessment and status of the risk treatment plan.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Opportunities for continual improvement.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Review Outputs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the decisions the review must produce (Clause 9.3.3).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Decisions on continual improvement opportunities.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Any need for changes to the ISMS, including resources and objectives.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Actions with owners and due dates, recorded in the minutes (GV-REC-001) and the Corrective Action and Improvement Register (ID-REG-007).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Schedule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when the review takes place.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Information Security Steering Committee (ISSC) conducts a full management review at least once a year, before the annual budget cycle, and after any major incident or significant change.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GV-REC-001: Management Review Minutes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Hold the review before budget planning so decisions can be funded.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a standard agenda that mirrors Clause 9.3.2 so auditors can trace every input.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Holding the review as a slide presentation with no recorded decisions.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GV.OV-01: Risk management strategy outcomes are reviewed to inform and adjust strategy and direction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GV.OV-02: Risk management strategy is reviewed and adjusted to ensure coverage of requirements and risks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GV.OV-03: Risk management performance is evaluated and reviewed for adjustments needed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9.3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PM-6, PM-9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9.3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GV-CHR-002: Information Security Steering Committee Terms of Reference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GV-REC-001: Management Review Minutes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GV-PRC-006  |  Management Review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