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Internal Audit Report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GV-TPL-006  |  Template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Audit Report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Head of Internal Audit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 Committee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9.2.2 (audit results); CSA s.54 (summary report to NCSA within 30 days)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Legal and Regulatory,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standardizes internal and CII audit reports so findings are clear, rated consistently, and traceable to corrective actions.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(GV-PRC-007)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Report Sections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 the minimum sections of an audit report.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Executive summary: overall opinion and key findings.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Scope, criteria, period, and method.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Findings: condition, criteria, cause, effect (risk), recommendation, rating, management response, owner, and due date.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Status of previous findings.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Distribution list and approval.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Finding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Write each finding in a consistent structure.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Element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Finding ID and title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Condition (what we found)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Criteria (what should be)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Cause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Effect (risk)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Rating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Critical, High, Medium, Low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Recommendation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Management response, owner, due date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Write findings so a reader outside IT understands the business risk.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Agree facts with auditees before issuing, to avoid disputes later.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Findings describe symptoms without root cause, so the same issue returns.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ID.IM-01: Improvements are identified from evaluations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9.2.2 (audit results); CSA s.54 (summary report to NCSA within 30 days)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GV-PRC-007: Internal Audit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GV-TPL-006  |  Internal Audit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