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Policy Exception Request Form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GV-FRM-004  |  Form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Exception Request 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captures the information needed to assess and approve a temporary exception to a security policy or standard.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(GV-PRC-003)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 ID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ID assigned by the security team.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EXC-2026-001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 and unit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Name, position, and department of the requester.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Somchai K., IT Infrastructure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or standard affected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ID and clause that cannot be met.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PR-STD-007 clause 4.3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Systems or assets affected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IDs from the inventory.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SRV-APP-014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justification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Why the control cannot be applied now.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Vendor does not support the required patch level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if the exception is granted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Threat, impact, and likelihood in plain language.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Compensating controls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Controls that reduce the risk during the exception period.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Network isolation and enhanced monitoring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Residual risk rating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Rating per GV-PRC-001 (Low, Medium, High, Critical), completed by the security team.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Medium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Requested start and expiry date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Maximum 12 months.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01/07/2026 to 31/12/2026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Remediation plan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How and when the control will be fully applied.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Make the form electronic so it routes automatically to the correct approver based on risk rating.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Reject requests that have no compensating controls or no remediation date.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requester rates their own risk as Low without security review.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ID.RA-07: Changes and exceptions are managed, assessed for risk impact, recorded, and tracked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GV-PRC-003: Policy Exception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GV-FRM-004  |  Policy Exception Request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