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Data Subject Request Form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GV-FRM-005  |  Form  |  Policy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GV-FRM-005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Subject Request 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s.30 to s.36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Privacy,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records a data subject's request to exercise PDPA rights and the organization's handling of it.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(GV-PRC-005)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 number and date received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Assigned on receipt.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DSR-2026-001, 05/03/2026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subject name and contact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 provided.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Relationship to the organization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Customer, employee, applicant, other.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Customer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Requester if acting on behalf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Name and proof of authority.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Right requested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Tick: withdraw consent, access, portability, object, erasure, restriction, rectification.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Access and copy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Details of the request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and period concerned.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verification method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Document checked or verification step.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National ID card sighted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Decision and legal basis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Fulfilled, partly fulfilled, refused with reason.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Response date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Within 30 days of receipt.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Offer the form online and at service counters, but accept requests made in any form.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Requiring the form as a condition before accepting a request, which delays the legal clock without stopping it.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GV.OC-03: Legal, regulatory, and contractual cybersecurity requirements are understood and managed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PT-1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s.30 to s.36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GV-PRC-005: Data Subject Rights Request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GV-FRM-005  |  Data Subject Request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