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[Organization Name]</w:t>
      </w:r>
    </w:p>
    <w:p>
      <w:pPr>
        <w:pStyle w:val="Heading1"/>
        <w:keepNext/>
        <w:spacing w:before="200" w:after="80"/>
      </w:pPr>
      <w:r>
        <w:rPr>
          <w:rFonts w:ascii="Calibri" w:hAnsi="Calibri" w:cs="Calibri" w:eastAsia="Calibri"/>
          <w:b/>
          <w:i w:val="0"/>
          <w:color w:val="1F3864"/>
          <w:sz w:val="39"/>
          <w:szCs w:val="39"/>
          <w:bCs/>
        </w:rPr>
        <w:t>Acceptable Use Policy</w:t>
      </w:r>
    </w:p>
    <w:p>
      <w:pPr>
        <w:spacing w:after="80" w:before="0"/>
      </w:pPr>
      <w:r>
        <w:rPr>
          <w:rFonts w:ascii="Calibri" w:hAnsi="Calibri" w:cs="Calibri" w:eastAsia="Calibri"/>
          <w:b w:val="0"/>
          <w:i w:val="0"/>
          <w:color w:val="595959"/>
          <w:sz w:val="18"/>
          <w:szCs w:val="18"/>
        </w:rPr>
        <w:t>GV-POL-003  |  Policy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How to Use This Template: </w:t>
            </w:r>
            <w:r>
              <w:rPr>
                <w:rFonts w:ascii="Calibri" w:hAnsi="Calibri" w:cs="Calibri" w:eastAsia="Calibri"/>
                <w:b w:val="0"/>
                <w:i w:val="0"/>
                <w:sz w:val="18"/>
                <w:szCs w:val="18"/>
              </w:rPr>
              <w:t>Replace text in square brackets with your organization's details. Keep every Part A section, because each one is a minimum requirement. Use Part B to raise maturity. Delete the blue requirement boxes and this note before you issue the document. This template is a sample and is not legal advice; confirm items marked [VERIFY] with current Thai regulations before use.</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GV-POL-003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Acceptable Use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1.0</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Template (not 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Chief Information Security Officer (CISO) or 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[DD Month YYYY]</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[DD Month YYYY]</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5.10, 6.7, and 7.7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People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[DD Month YYYY]</w:t>
            </w:r>
          </w:p>
        </w:tc>
        <w:tc>
          <w:tcPr>
            <w:tcW w:type="dxa" w:w="3742"/>
          </w:tcPr>
          <w:p>
            <w:r/>
            <w:r>
              <w:rPr>
                <w:rFonts w:ascii="Calibri" w:hAnsi="Calibri" w:cs="Calibri" w:eastAsia="Calibri"/>
                <w:b w:val="0"/>
                <w:i w:val="0"/>
                <w:sz w:val="18"/>
                <w:szCs w:val="18"/>
              </w:rPr>
              <w:t>Initial release</w:t>
            </w:r>
          </w:p>
        </w:tc>
        <w:tc>
          <w:tcPr>
            <w:tcW w:type="dxa" w:w="1587"/>
          </w:tcPr>
          <w:p>
            <w:r/>
            <w:r>
              <w:rPr>
                <w:rFonts w:ascii="Calibri" w:hAnsi="Calibri" w:cs="Calibri" w:eastAsia="Calibri"/>
                <w:b w:val="0"/>
                <w:i w:val="0"/>
                <w:sz w:val="18"/>
                <w:szCs w:val="18"/>
              </w:rPr>
              <w:t>[Name, Role]</w:t>
            </w:r>
          </w:p>
        </w:tc>
        <w:tc>
          <w:tcPr>
            <w:tcW w:type="dxa" w:w="1531"/>
          </w:tcPr>
          <w:p>
            <w:r/>
            <w:r>
              <w:rPr>
                <w:rFonts w:ascii="Calibri" w:hAnsi="Calibri" w:cs="Calibri" w:eastAsia="Calibri"/>
                <w:b w:val="0"/>
                <w:i w:val="0"/>
                <w:sz w:val="18"/>
                <w:szCs w:val="18"/>
              </w:rPr>
              <w:t>[Name, Role]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defines acceptable and prohibited use of [Organization Name] information, systems, devices, email, internet, and messaging, so users know their responsibilities.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[Organization Name] information or information systems, at all sites, including cloud services operated on behalf of [Organization Name].</w:t>
      </w:r>
    </w:p>
    <w:p>
      <w:pPr>
        <w:pStyle w:val="Heading2"/>
        <w:keepNext/>
        <w:spacing w:before="120" w:after="80"/>
      </w:pPr>
      <w:r>
        <w:rPr>
          <w:rFonts w:ascii="Calibri" w:hAnsi="Calibri" w:cs="Calibri" w:eastAsia="Calibri"/>
          <w:b/>
          <w:i w:val="0"/>
          <w:color w:val="1F3864"/>
          <w:sz w:val="24"/>
          <w:szCs w:val="24"/>
          <w:bCs/>
        </w:rPr>
        <w:t>4.3 General Use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principle that assets are provided for business use and set limits on personal use.</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Organization assets are provided for business purposes. Limited personal use is allowed if it does not affect work, security, or the law.</w:t>
      </w:r>
    </w:p>
    <w:p>
      <w:pPr>
        <w:pStyle w:val="ListBullet"/>
        <w:spacing w:after="40"/>
      </w:pPr>
      <w:r>
        <w:rPr>
          <w:rFonts w:ascii="Calibri" w:hAnsi="Calibri" w:cs="Calibri" w:eastAsia="Calibri"/>
          <w:b w:val="0"/>
          <w:i w:val="0"/>
          <w:sz w:val="21"/>
          <w:szCs w:val="21"/>
        </w:rPr>
        <w:t>Users must protect their credentials and must never share passwords or one-time codes.</w:t>
      </w:r>
    </w:p>
    <w:p>
      <w:pPr>
        <w:pStyle w:val="ListBullet"/>
        <w:spacing w:after="40"/>
      </w:pPr>
      <w:r>
        <w:rPr>
          <w:rFonts w:ascii="Calibri" w:hAnsi="Calibri" w:cs="Calibri" w:eastAsia="Calibri"/>
          <w:b w:val="0"/>
          <w:i w:val="0"/>
          <w:sz w:val="21"/>
          <w:szCs w:val="21"/>
        </w:rPr>
        <w:t>Users must lock their screens when leaving a device and log off shared workstations after use.</w:t>
      </w:r>
    </w:p>
    <w:p>
      <w:pPr>
        <w:pStyle w:val="ListBullet"/>
        <w:spacing w:after="40"/>
      </w:pPr>
      <w:r>
        <w:rPr>
          <w:rFonts w:ascii="Calibri" w:hAnsi="Calibri" w:cs="Calibri" w:eastAsia="Calibri"/>
          <w:b w:val="0"/>
          <w:i w:val="0"/>
          <w:sz w:val="21"/>
          <w:szCs w:val="21"/>
        </w:rPr>
        <w:t>Users must keep their desks and screens clear of confidential information when unattended (clear desk and clear screen).</w:t>
      </w:r>
    </w:p>
    <w:p>
      <w:pPr>
        <w:pStyle w:val="Heading2"/>
        <w:keepNext/>
        <w:spacing w:before="120" w:after="80"/>
      </w:pPr>
      <w:r>
        <w:rPr>
          <w:rFonts w:ascii="Calibri" w:hAnsi="Calibri" w:cs="Calibri" w:eastAsia="Calibri"/>
          <w:b/>
          <w:i w:val="0"/>
          <w:color w:val="1F3864"/>
          <w:sz w:val="24"/>
          <w:szCs w:val="24"/>
          <w:bCs/>
        </w:rPr>
        <w:t>4.4 Prohibited Activities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activities that are not allowed under any circumstances.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Accessing information or systems without authorization, or attempting to bypass security controls.</w:t>
      </w:r>
    </w:p>
    <w:p>
      <w:pPr>
        <w:pStyle w:val="ListBullet"/>
        <w:spacing w:after="40"/>
      </w:pPr>
      <w:r>
        <w:rPr>
          <w:rFonts w:ascii="Calibri" w:hAnsi="Calibri" w:cs="Calibri" w:eastAsia="Calibri"/>
          <w:b w:val="0"/>
          <w:i w:val="0"/>
          <w:sz w:val="21"/>
          <w:szCs w:val="21"/>
        </w:rPr>
        <w:t>Installing unapproved software or connecting unapproved devices to the network.</w:t>
      </w:r>
    </w:p>
    <w:p>
      <w:pPr>
        <w:pStyle w:val="ListBullet"/>
        <w:spacing w:after="40"/>
      </w:pPr>
      <w:r>
        <w:rPr>
          <w:rFonts w:ascii="Calibri" w:hAnsi="Calibri" w:cs="Calibri" w:eastAsia="Calibri"/>
          <w:b w:val="0"/>
          <w:i w:val="0"/>
          <w:sz w:val="21"/>
          <w:szCs w:val="21"/>
        </w:rPr>
        <w:t>Sending confidential or personal data to personal email, personal cloud storage, or public AI tools.</w:t>
      </w:r>
    </w:p>
    <w:p>
      <w:pPr>
        <w:pStyle w:val="ListBullet"/>
        <w:spacing w:after="40"/>
      </w:pPr>
      <w:r>
        <w:rPr>
          <w:rFonts w:ascii="Calibri" w:hAnsi="Calibri" w:cs="Calibri" w:eastAsia="Calibri"/>
          <w:b w:val="0"/>
          <w:i w:val="0"/>
          <w:sz w:val="21"/>
          <w:szCs w:val="21"/>
        </w:rPr>
        <w:t>Using organization systems for illegal activity, harassment, or content that breaches the Computer Crime Act B.E. 2550.</w:t>
      </w:r>
    </w:p>
    <w:p>
      <w:pPr>
        <w:pStyle w:val="ListBullet"/>
        <w:spacing w:after="40"/>
      </w:pPr>
      <w:r>
        <w:rPr>
          <w:rFonts w:ascii="Calibri" w:hAnsi="Calibri" w:cs="Calibri" w:eastAsia="Calibri"/>
          <w:b w:val="0"/>
          <w:i w:val="0"/>
          <w:sz w:val="21"/>
          <w:szCs w:val="21"/>
        </w:rPr>
        <w:t>Disabling antivirus, endpoint detection and response (EDR), encryption, or logging.</w:t>
      </w:r>
    </w:p>
    <w:p>
      <w:pPr>
        <w:pStyle w:val="Heading2"/>
        <w:keepNext/>
        <w:spacing w:before="120" w:after="80"/>
      </w:pPr>
      <w:r>
        <w:rPr>
          <w:rFonts w:ascii="Calibri" w:hAnsi="Calibri" w:cs="Calibri" w:eastAsia="Calibri"/>
          <w:b/>
          <w:i w:val="0"/>
          <w:color w:val="1F3864"/>
          <w:sz w:val="24"/>
          <w:szCs w:val="24"/>
          <w:bCs/>
        </w:rPr>
        <w:t>4.5 Email, Messaging, and Social Media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rules for business communication channels and public posting.</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Use only approved channels for business communication. Personal messaging apps may not carry confidential or personal data unless an approved secure option exists.</w:t>
      </w:r>
    </w:p>
    <w:p>
      <w:pPr>
        <w:pStyle w:val="ListBullet"/>
        <w:spacing w:after="40"/>
      </w:pPr>
      <w:r>
        <w:rPr>
          <w:rFonts w:ascii="Calibri" w:hAnsi="Calibri" w:cs="Calibri" w:eastAsia="Calibri"/>
          <w:b w:val="0"/>
          <w:i w:val="0"/>
          <w:sz w:val="21"/>
          <w:szCs w:val="21"/>
        </w:rPr>
        <w:t>Report suspicious email with the report button or to the service desk; do not forward it to colleagues.</w:t>
      </w:r>
    </w:p>
    <w:p>
      <w:pPr>
        <w:pStyle w:val="ListBullet"/>
        <w:spacing w:after="40"/>
      </w:pPr>
      <w:r>
        <w:rPr>
          <w:rFonts w:ascii="Calibri" w:hAnsi="Calibri" w:cs="Calibri" w:eastAsia="Calibri"/>
          <w:b w:val="0"/>
          <w:i w:val="0"/>
          <w:sz w:val="21"/>
          <w:szCs w:val="21"/>
        </w:rPr>
        <w:t>Do not post confidential information, photos of work areas that show screens or documents, or customer information on social media.</w:t>
      </w:r>
    </w:p>
    <w:p>
      <w:pPr>
        <w:pStyle w:val="Heading2"/>
        <w:keepNext/>
        <w:spacing w:before="120" w:after="80"/>
      </w:pPr>
      <w:r>
        <w:rPr>
          <w:rFonts w:ascii="Calibri" w:hAnsi="Calibri" w:cs="Calibri" w:eastAsia="Calibri"/>
          <w:b/>
          <w:i w:val="0"/>
          <w:color w:val="1F3864"/>
          <w:sz w:val="24"/>
          <w:szCs w:val="24"/>
          <w:bCs/>
        </w:rPr>
        <w:t>4.6 Monitoring and Privacy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Inform users that use of organization systems is monitored, consistent with the PDPA privacy notice for employees.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[Organization Name] monitors the use of its systems, email, and internet to protect security and meet legal obligations, including log retention under the Computer Crime Act B.E. 2550 s.26. Monitoring follows the employee privacy notice and is proportionate to the purpose.</w:t>
      </w:r>
    </w:p>
    <w:p>
      <w:pPr>
        <w:pStyle w:val="Heading2"/>
        <w:keepNext/>
        <w:spacing w:before="120" w:after="80"/>
      </w:pPr>
      <w:r>
        <w:rPr>
          <w:rFonts w:ascii="Calibri" w:hAnsi="Calibri" w:cs="Calibri" w:eastAsia="Calibri"/>
          <w:b/>
          <w:i w:val="0"/>
          <w:color w:val="1F3864"/>
          <w:sz w:val="24"/>
          <w:szCs w:val="24"/>
          <w:bCs/>
        </w:rPr>
        <w:t>4.7 User Acknowledgment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Require each user to acknowledge the policy before receiving access and each year.</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I have read and understood the Acceptable Use Policy and agree to follow it. I understand that violations may lead to disciplinary action and legal liability.</w:t>
      </w:r>
    </w:p>
    <w:p>
      <w:pPr>
        <w:spacing w:after="80" w:before="0"/>
      </w:pPr>
      <w:r>
        <w:rPr>
          <w:rFonts w:ascii="Calibri" w:hAnsi="Calibri" w:cs="Calibri" w:eastAsia="Calibri"/>
          <w:b w:val="0"/>
          <w:i w:val="0"/>
          <w:sz w:val="21"/>
          <w:szCs w:val="21"/>
        </w:rPr>
        <w:t>Name: ____________  Signature: ____________  Date: ____________</w:t>
      </w:r>
    </w:p>
    <w:p>
      <w:pPr>
        <w:pStyle w:val="Heading2"/>
        <w:keepNext/>
        <w:spacing w:before="120" w:after="80"/>
      </w:pPr>
      <w:r>
        <w:rPr>
          <w:rFonts w:ascii="Calibri" w:hAnsi="Calibri" w:cs="Calibri" w:eastAsia="Calibri"/>
          <w:b/>
          <w:i w:val="0"/>
          <w:color w:val="1F3864"/>
          <w:sz w:val="24"/>
          <w:szCs w:val="24"/>
          <w:bCs/>
        </w:rPr>
        <w:t>4.8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Chief Information Security Officer (CISO) or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Write the policy in plain language with examples relevant to each staff group; test readability with non-IT staff.</w:t>
      </w:r>
    </w:p>
    <w:p>
      <w:pPr>
        <w:pStyle w:val="ListBullet"/>
        <w:spacing w:after="40"/>
      </w:pPr>
      <w:r>
        <w:rPr>
          <w:rFonts w:ascii="Calibri" w:hAnsi="Calibri" w:cs="Calibri" w:eastAsia="Calibri"/>
          <w:b w:val="0"/>
          <w:i w:val="0"/>
          <w:sz w:val="21"/>
          <w:szCs w:val="21"/>
        </w:rPr>
        <w:t>Collect acknowledgment electronically at first login and during annual training.</w:t>
      </w:r>
    </w:p>
    <w:p>
      <w:pPr>
        <w:pStyle w:val="ListBullet"/>
        <w:spacing w:after="40"/>
      </w:pPr>
      <w:r>
        <w:rPr>
          <w:rFonts w:ascii="Calibri" w:hAnsi="Calibri" w:cs="Calibri" w:eastAsia="Calibri"/>
          <w:b w:val="0"/>
          <w:i w:val="0"/>
          <w:sz w:val="21"/>
          <w:szCs w:val="21"/>
        </w:rPr>
        <w:t>Pair every prohibition with an approved alternative (for example, an approved file-sharing tool) so users are not pushed toward shadow IT.</w:t>
      </w:r>
    </w:p>
    <w:p>
      <w:pPr>
        <w:pStyle w:val="ListBullet"/>
        <w:spacing w:after="40"/>
      </w:pPr>
      <w:r>
        <w:rPr>
          <w:rFonts w:ascii="Calibri" w:hAnsi="Calibri" w:cs="Calibri" w:eastAsia="Calibri"/>
          <w:b w:val="0"/>
          <w:i w:val="0"/>
          <w:sz w:val="21"/>
          <w:szCs w:val="21"/>
        </w:rPr>
        <w:t>Align monitoring statements with the employee privacy notice to stay consistent with the PDPA.</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Banning tools staff depend on without offering an approved option, which drives data into personal apps.</w:t>
      </w:r>
    </w:p>
    <w:p>
      <w:pPr>
        <w:pStyle w:val="ListBullet"/>
        <w:spacing w:after="40"/>
      </w:pPr>
      <w:r>
        <w:rPr>
          <w:rFonts w:ascii="Calibri" w:hAnsi="Calibri" w:cs="Calibri" w:eastAsia="Calibri"/>
          <w:b w:val="0"/>
          <w:i w:val="0"/>
          <w:sz w:val="21"/>
          <w:szCs w:val="21"/>
        </w:rPr>
        <w:t>Monitoring staff without telling them, which conflicts with PDPA transparency duties.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GV.PO-01: Cybersecurity policy is established, communicated, and enforced based on context, strategy, and priorities</w:t>
            </w:r>
          </w:p>
          <w:p>
            <w:r>
              <w:rPr>
                <w:rFonts w:ascii="Calibri" w:hAnsi="Calibri" w:cs="Calibri" w:eastAsia="Calibri"/>
                <w:b w:val="0"/>
                <w:i w:val="0"/>
                <w:sz w:val="18"/>
                <w:szCs w:val="18"/>
              </w:rPr>
              <w:t>PR.AT-01: Personnel are provided with awareness and training for general tasks with cybersecurity risks in mind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A.5.10, Annex A.6.7, Annex A.7.7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PL-4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5.10, 6.7, and 7.7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GV-POL-005: Generative AI Acceptable Use Policy</w:t>
            </w:r>
          </w:p>
          <w:p>
            <w:r>
              <w:rPr>
                <w:rFonts w:ascii="Calibri" w:hAnsi="Calibri" w:cs="Calibri" w:eastAsia="Calibri"/>
                <w:b w:val="0"/>
                <w:i w:val="0"/>
                <w:sz w:val="18"/>
                <w:szCs w:val="18"/>
              </w:rPr>
              <w:t>PR-STD-009: Mobile Device and BYOD Standard</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[Organization Name]  |  GV-POL-003  |  Acceptable Use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