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[Organization Name]</w:t>
      </w:r>
    </w:p>
    <w:p>
      <w:pPr>
        <w:pStyle w:val="Heading1"/>
        <w:keepNext/>
        <w:spacing w:before="200" w:after="80"/>
      </w:pPr>
      <w:r>
        <w:rPr>
          <w:rFonts w:ascii="Calibri" w:hAnsi="Calibri" w:cs="Calibri" w:eastAsia="Calibri"/>
          <w:b/>
          <w:i w:val="0"/>
          <w:color w:val="1F3864"/>
          <w:sz w:val="39"/>
          <w:szCs w:val="39"/>
          <w:bCs/>
        </w:rPr>
        <w:t>Personal Data Protection Policy</w:t>
      </w:r>
    </w:p>
    <w:p>
      <w:pPr>
        <w:spacing w:after="80" w:before="0"/>
      </w:pPr>
      <w:r>
        <w:rPr>
          <w:rFonts w:ascii="Calibri" w:hAnsi="Calibri" w:cs="Calibri" w:eastAsia="Calibri"/>
          <w:b w:val="0"/>
          <w:i w:val="0"/>
          <w:color w:val="595959"/>
          <w:sz w:val="18"/>
          <w:szCs w:val="18"/>
        </w:rPr>
        <w:t>GV-POL-004  |  Policy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How to Use This Template: </w:t>
            </w:r>
            <w:r>
              <w:rPr>
                <w:rFonts w:ascii="Calibri" w:hAnsi="Calibri" w:cs="Calibri" w:eastAsia="Calibri"/>
                <w:b w:val="0"/>
                <w:i w:val="0"/>
                <w:sz w:val="18"/>
                <w:szCs w:val="18"/>
              </w:rPr>
              <w:t>Replace text in square brackets with your organization's details. Keep every Part A section, because each one is a minimum requirement. Use Part B to raise maturity. Delete the blue requirement boxes and this note before you issue the document. This template is a sample and is not legal advice; confirm items marked [VERIFY] with current Thai regulations before use.</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GV-POL-004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Personal Data Protection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1.0</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Template (not 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[DD Month YYYY]</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[DD Month YYYY]</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s.37(1); PDPC Notification on Security Measures B.E. 2565</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[DD Month YYYY]</w:t>
            </w:r>
          </w:p>
        </w:tc>
        <w:tc>
          <w:tcPr>
            <w:tcW w:type="dxa" w:w="3742"/>
          </w:tcPr>
          <w:p>
            <w:r/>
            <w:r>
              <w:rPr>
                <w:rFonts w:ascii="Calibri" w:hAnsi="Calibri" w:cs="Calibri" w:eastAsia="Calibri"/>
                <w:b w:val="0"/>
                <w:i w:val="0"/>
                <w:sz w:val="18"/>
                <w:szCs w:val="18"/>
              </w:rPr>
              <w:t>Initial release</w:t>
            </w:r>
          </w:p>
        </w:tc>
        <w:tc>
          <w:tcPr>
            <w:tcW w:type="dxa" w:w="1587"/>
          </w:tcPr>
          <w:p>
            <w:r/>
            <w:r>
              <w:rPr>
                <w:rFonts w:ascii="Calibri" w:hAnsi="Calibri" w:cs="Calibri" w:eastAsia="Calibri"/>
                <w:b w:val="0"/>
                <w:i w:val="0"/>
                <w:sz w:val="18"/>
                <w:szCs w:val="18"/>
              </w:rPr>
              <w:t>[Name, Role]</w:t>
            </w:r>
          </w:p>
        </w:tc>
        <w:tc>
          <w:tcPr>
            <w:tcW w:type="dxa" w:w="1531"/>
          </w:tcPr>
          <w:p>
            <w:r/>
            <w:r>
              <w:rPr>
                <w:rFonts w:ascii="Calibri" w:hAnsi="Calibri" w:cs="Calibri" w:eastAsia="Calibri"/>
                <w:b w:val="0"/>
                <w:i w:val="0"/>
                <w:sz w:val="18"/>
                <w:szCs w:val="18"/>
              </w:rPr>
              <w:t>[Name, Role]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sets the principles and responsibilities for collecting, using, disclosing, and protecting personal data in line with the Personal Data Protection Act B.E. 2562 (PDPA).</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[Organization Name] information or information systems, at all sites, including cloud services operated on behalf of [Organization Name].</w:t>
      </w:r>
    </w:p>
    <w:p>
      <w:pPr>
        <w:pStyle w:val="Heading2"/>
        <w:keepNext/>
        <w:spacing w:before="120" w:after="80"/>
      </w:pPr>
      <w:r>
        <w:rPr>
          <w:rFonts w:ascii="Calibri" w:hAnsi="Calibri" w:cs="Calibri" w:eastAsia="Calibri"/>
          <w:b/>
          <w:i w:val="0"/>
          <w:color w:val="1F3864"/>
          <w:sz w:val="24"/>
          <w:szCs w:val="24"/>
          <w:bCs/>
        </w:rPr>
        <w:t>4.3 Data Protection Principles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processing principles the organization follows.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Process personal data only with a lawful basis under PDPA s.24 or, for sensitive data, s.26.</w:t>
      </w:r>
    </w:p>
    <w:p>
      <w:pPr>
        <w:pStyle w:val="ListBullet"/>
        <w:spacing w:after="40"/>
      </w:pPr>
      <w:r>
        <w:rPr>
          <w:rFonts w:ascii="Calibri" w:hAnsi="Calibri" w:cs="Calibri" w:eastAsia="Calibri"/>
          <w:b w:val="0"/>
          <w:i w:val="0"/>
          <w:sz w:val="21"/>
          <w:szCs w:val="21"/>
        </w:rPr>
        <w:t>Collect only the data needed for a stated purpose and inform data subjects through a privacy notice (PDPA s.23).</w:t>
      </w:r>
    </w:p>
    <w:p>
      <w:pPr>
        <w:pStyle w:val="ListBullet"/>
        <w:spacing w:after="40"/>
      </w:pPr>
      <w:r>
        <w:rPr>
          <w:rFonts w:ascii="Calibri" w:hAnsi="Calibri" w:cs="Calibri" w:eastAsia="Calibri"/>
          <w:b w:val="0"/>
          <w:i w:val="0"/>
          <w:sz w:val="21"/>
          <w:szCs w:val="21"/>
        </w:rPr>
        <w:t>Keep data accurate and retain it only as long as needed (PDPA s.37(3)).</w:t>
      </w:r>
    </w:p>
    <w:p>
      <w:pPr>
        <w:pStyle w:val="ListBullet"/>
        <w:spacing w:after="40"/>
      </w:pPr>
      <w:r>
        <w:rPr>
          <w:rFonts w:ascii="Calibri" w:hAnsi="Calibri" w:cs="Calibri" w:eastAsia="Calibri"/>
          <w:b w:val="0"/>
          <w:i w:val="0"/>
          <w:sz w:val="21"/>
          <w:szCs w:val="21"/>
        </w:rPr>
        <w:t>Protect data with appropriate security measures (PDPA s.37(1) and the PDPC Notification on Security Measures B.E. 2565).</w:t>
      </w:r>
    </w:p>
    <w:p>
      <w:pPr>
        <w:pStyle w:val="ListBullet"/>
        <w:spacing w:after="40"/>
      </w:pPr>
      <w:r>
        <w:rPr>
          <w:rFonts w:ascii="Calibri" w:hAnsi="Calibri" w:cs="Calibri" w:eastAsia="Calibri"/>
          <w:b w:val="0"/>
          <w:i w:val="0"/>
          <w:sz w:val="21"/>
          <w:szCs w:val="21"/>
        </w:rPr>
        <w:t>Respect data subject rights (PDPA s.30 to s.36).</w:t>
      </w:r>
    </w:p>
    <w:p>
      <w:pPr>
        <w:pStyle w:val="Heading2"/>
        <w:keepNext/>
        <w:spacing w:before="120" w:after="80"/>
      </w:pPr>
      <w:r>
        <w:rPr>
          <w:rFonts w:ascii="Calibri" w:hAnsi="Calibri" w:cs="Calibri" w:eastAsia="Calibri"/>
          <w:b/>
          <w:i w:val="0"/>
          <w:color w:val="1F3864"/>
          <w:sz w:val="24"/>
          <w:szCs w:val="24"/>
          <w:bCs/>
        </w:rPr>
        <w:t>4.4 Privacy Program Components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documents and processes that implement the policy.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rPr>
          <w:tblHeader w:val="true"/>
        </w:trPr>
        <w:tc>
          <w:tcPr>
            <w:tcW w:type="dxa" w:w="3118"/>
            <w:shd w:val="clear" w:color="auto" w:fill="1F3864"/>
          </w:tcPr>
          <w:p>
            <w:r/>
            <w:r>
              <w:rPr>
                <w:rFonts w:ascii="Calibri" w:hAnsi="Calibri" w:cs="Calibri" w:eastAsia="Calibri"/>
                <w:b/>
                <w:i w:val="0"/>
                <w:color w:val="FFFFFF"/>
                <w:sz w:val="18"/>
                <w:szCs w:val="18"/>
                <w:bCs/>
              </w:rPr>
              <w:t>Component</w:t>
            </w:r>
          </w:p>
        </w:tc>
        <w:tc>
          <w:tcPr>
            <w:tcW w:type="dxa" w:w="3118"/>
            <w:shd w:val="clear" w:color="auto" w:fill="1F3864"/>
          </w:tcPr>
          <w:p>
            <w:r/>
            <w:r>
              <w:rPr>
                <w:rFonts w:ascii="Calibri" w:hAnsi="Calibri" w:cs="Calibri" w:eastAsia="Calibri"/>
                <w:b/>
                <w:i w:val="0"/>
                <w:color w:val="FFFFFF"/>
                <w:sz w:val="18"/>
                <w:szCs w:val="18"/>
                <w:bCs/>
              </w:rPr>
              <w:t>Document</w:t>
            </w:r>
          </w:p>
        </w:tc>
        <w:tc>
          <w:tcPr>
            <w:tcW w:type="dxa" w:w="3118"/>
            <w:shd w:val="clear" w:color="auto" w:fill="1F3864"/>
          </w:tcPr>
          <w:p>
            <w:r/>
            <w:r>
              <w:rPr>
                <w:rFonts w:ascii="Calibri" w:hAnsi="Calibri" w:cs="Calibri" w:eastAsia="Calibri"/>
                <w:b/>
                <w:i w:val="0"/>
                <w:color w:val="FFFFFF"/>
                <w:sz w:val="18"/>
                <w:szCs w:val="18"/>
                <w:bCs/>
              </w:rPr>
              <w:t>Legal basis</w:t>
            </w:r>
          </w:p>
        </w:tc>
      </w:tr>
      <w:tr>
        <w:tc>
          <w:tcPr>
            <w:tcW w:type="dxa" w:w="3118"/>
          </w:tcPr>
          <w:p>
            <w:r/>
            <w:r>
              <w:rPr>
                <w:rFonts w:ascii="Calibri" w:hAnsi="Calibri" w:cs="Calibri" w:eastAsia="Calibri"/>
                <w:b w:val="0"/>
                <w:i w:val="0"/>
                <w:sz w:val="18"/>
                <w:szCs w:val="18"/>
              </w:rPr>
              <w:t>Record of processing activities</w:t>
            </w:r>
          </w:p>
        </w:tc>
        <w:tc>
          <w:tcPr>
            <w:tcW w:type="dxa" w:w="3118"/>
          </w:tcPr>
          <w:p>
            <w:r/>
            <w:r>
              <w:rPr>
                <w:rFonts w:ascii="Calibri" w:hAnsi="Calibri" w:cs="Calibri" w:eastAsia="Calibri"/>
                <w:b w:val="0"/>
                <w:i w:val="0"/>
                <w:sz w:val="18"/>
                <w:szCs w:val="18"/>
              </w:rPr>
              <w:t>GV-REG-007</w:t>
            </w:r>
          </w:p>
        </w:tc>
        <w:tc>
          <w:tcPr>
            <w:tcW w:type="dxa" w:w="3118"/>
          </w:tcPr>
          <w:p>
            <w:r/>
            <w:r>
              <w:rPr>
                <w:rFonts w:ascii="Calibri" w:hAnsi="Calibri" w:cs="Calibri" w:eastAsia="Calibri"/>
                <w:b w:val="0"/>
                <w:i w:val="0"/>
                <w:sz w:val="18"/>
                <w:szCs w:val="18"/>
              </w:rPr>
              <w:t>PDPA s.39</w:t>
            </w:r>
          </w:p>
        </w:tc>
      </w:tr>
      <w:tr>
        <w:tc>
          <w:tcPr>
            <w:tcW w:type="dxa" w:w="3118"/>
          </w:tcPr>
          <w:p>
            <w:r/>
            <w:r>
              <w:rPr>
                <w:rFonts w:ascii="Calibri" w:hAnsi="Calibri" w:cs="Calibri" w:eastAsia="Calibri"/>
                <w:b w:val="0"/>
                <w:i w:val="0"/>
                <w:sz w:val="18"/>
                <w:szCs w:val="18"/>
              </w:rPr>
              <w:t>Privacy notices</w:t>
            </w:r>
          </w:p>
        </w:tc>
        <w:tc>
          <w:tcPr>
            <w:tcW w:type="dxa" w:w="3118"/>
          </w:tcPr>
          <w:p>
            <w:r/>
            <w:r>
              <w:rPr>
                <w:rFonts w:ascii="Calibri" w:hAnsi="Calibri" w:cs="Calibri" w:eastAsia="Calibri"/>
                <w:b w:val="0"/>
                <w:i w:val="0"/>
                <w:sz w:val="18"/>
                <w:szCs w:val="18"/>
              </w:rPr>
              <w:t>GV-TPL-002</w:t>
            </w:r>
          </w:p>
        </w:tc>
        <w:tc>
          <w:tcPr>
            <w:tcW w:type="dxa" w:w="3118"/>
          </w:tcPr>
          <w:p>
            <w:r/>
            <w:r>
              <w:rPr>
                <w:rFonts w:ascii="Calibri" w:hAnsi="Calibri" w:cs="Calibri" w:eastAsia="Calibri"/>
                <w:b w:val="0"/>
                <w:i w:val="0"/>
                <w:sz w:val="18"/>
                <w:szCs w:val="18"/>
              </w:rPr>
              <w:t>PDPA s.23</w:t>
            </w:r>
          </w:p>
        </w:tc>
      </w:tr>
      <w:tr>
        <w:tc>
          <w:tcPr>
            <w:tcW w:type="dxa" w:w="3118"/>
          </w:tcPr>
          <w:p>
            <w:r/>
            <w:r>
              <w:rPr>
                <w:rFonts w:ascii="Calibri" w:hAnsi="Calibri" w:cs="Calibri" w:eastAsia="Calibri"/>
                <w:b w:val="0"/>
                <w:i w:val="0"/>
                <w:sz w:val="18"/>
                <w:szCs w:val="18"/>
              </w:rPr>
              <w:t>Data protection impact assessment</w:t>
            </w:r>
          </w:p>
        </w:tc>
        <w:tc>
          <w:tcPr>
            <w:tcW w:type="dxa" w:w="3118"/>
          </w:tcPr>
          <w:p>
            <w:r/>
            <w:r>
              <w:rPr>
                <w:rFonts w:ascii="Calibri" w:hAnsi="Calibri" w:cs="Calibri" w:eastAsia="Calibri"/>
                <w:b w:val="0"/>
                <w:i w:val="0"/>
                <w:sz w:val="18"/>
                <w:szCs w:val="18"/>
              </w:rPr>
              <w:t>GV-PRC-004, GV-TPL-003</w:t>
            </w:r>
          </w:p>
        </w:tc>
        <w:tc>
          <w:tcPr>
            <w:tcW w:type="dxa" w:w="3118"/>
          </w:tcPr>
          <w:p>
            <w:r/>
            <w:r>
              <w:rPr>
                <w:rFonts w:ascii="Calibri" w:hAnsi="Calibri" w:cs="Calibri" w:eastAsia="Calibri"/>
                <w:b w:val="0"/>
                <w:i w:val="0"/>
                <w:sz w:val="18"/>
                <w:szCs w:val="18"/>
              </w:rPr>
              <w:t>Supports PDPA s.37(1)</w:t>
            </w:r>
          </w:p>
        </w:tc>
      </w:tr>
      <w:tr>
        <w:tc>
          <w:tcPr>
            <w:tcW w:type="dxa" w:w="3118"/>
          </w:tcPr>
          <w:p>
            <w:r/>
            <w:r>
              <w:rPr>
                <w:rFonts w:ascii="Calibri" w:hAnsi="Calibri" w:cs="Calibri" w:eastAsia="Calibri"/>
                <w:b w:val="0"/>
                <w:i w:val="0"/>
                <w:sz w:val="18"/>
                <w:szCs w:val="18"/>
              </w:rPr>
              <w:t>Data subject rights</w:t>
            </w:r>
          </w:p>
        </w:tc>
        <w:tc>
          <w:tcPr>
            <w:tcW w:type="dxa" w:w="3118"/>
          </w:tcPr>
          <w:p>
            <w:r/>
            <w:r>
              <w:rPr>
                <w:rFonts w:ascii="Calibri" w:hAnsi="Calibri" w:cs="Calibri" w:eastAsia="Calibri"/>
                <w:b w:val="0"/>
                <w:i w:val="0"/>
                <w:sz w:val="18"/>
                <w:szCs w:val="18"/>
              </w:rPr>
              <w:t>GV-PRC-005, GV-FRM-005</w:t>
            </w:r>
          </w:p>
        </w:tc>
        <w:tc>
          <w:tcPr>
            <w:tcW w:type="dxa" w:w="3118"/>
          </w:tcPr>
          <w:p>
            <w:r/>
            <w:r>
              <w:rPr>
                <w:rFonts w:ascii="Calibri" w:hAnsi="Calibri" w:cs="Calibri" w:eastAsia="Calibri"/>
                <w:b w:val="0"/>
                <w:i w:val="0"/>
                <w:sz w:val="18"/>
                <w:szCs w:val="18"/>
              </w:rPr>
              <w:t>PDPA s.30 to s.36</w:t>
            </w:r>
          </w:p>
        </w:tc>
      </w:tr>
      <w:tr>
        <w:tc>
          <w:tcPr>
            <w:tcW w:type="dxa" w:w="3118"/>
          </w:tcPr>
          <w:p>
            <w:r/>
            <w:r>
              <w:rPr>
                <w:rFonts w:ascii="Calibri" w:hAnsi="Calibri" w:cs="Calibri" w:eastAsia="Calibri"/>
                <w:b w:val="0"/>
                <w:i w:val="0"/>
                <w:sz w:val="18"/>
                <w:szCs w:val="18"/>
              </w:rPr>
              <w:t>Processor agreements</w:t>
            </w:r>
          </w:p>
        </w:tc>
        <w:tc>
          <w:tcPr>
            <w:tcW w:type="dxa" w:w="3118"/>
          </w:tcPr>
          <w:p>
            <w:r/>
            <w:r>
              <w:rPr>
                <w:rFonts w:ascii="Calibri" w:hAnsi="Calibri" w:cs="Calibri" w:eastAsia="Calibri"/>
                <w:b w:val="0"/>
                <w:i w:val="0"/>
                <w:sz w:val="18"/>
                <w:szCs w:val="18"/>
              </w:rPr>
              <w:t>GV-TPL-004</w:t>
            </w:r>
          </w:p>
        </w:tc>
        <w:tc>
          <w:tcPr>
            <w:tcW w:type="dxa" w:w="3118"/>
          </w:tcPr>
          <w:p>
            <w:r/>
            <w:r>
              <w:rPr>
                <w:rFonts w:ascii="Calibri" w:hAnsi="Calibri" w:cs="Calibri" w:eastAsia="Calibri"/>
                <w:b w:val="0"/>
                <w:i w:val="0"/>
                <w:sz w:val="18"/>
                <w:szCs w:val="18"/>
              </w:rPr>
              <w:t>PDPA s.40</w:t>
            </w:r>
          </w:p>
        </w:tc>
      </w:tr>
      <w:tr>
        <w:tc>
          <w:tcPr>
            <w:tcW w:type="dxa" w:w="3118"/>
          </w:tcPr>
          <w:p>
            <w:r/>
            <w:r>
              <w:rPr>
                <w:rFonts w:ascii="Calibri" w:hAnsi="Calibri" w:cs="Calibri" w:eastAsia="Calibri"/>
                <w:b w:val="0"/>
                <w:i w:val="0"/>
                <w:sz w:val="18"/>
                <w:szCs w:val="18"/>
              </w:rPr>
              <w:t>Breach notification</w:t>
            </w:r>
          </w:p>
        </w:tc>
        <w:tc>
          <w:tcPr>
            <w:tcW w:type="dxa" w:w="3118"/>
          </w:tcPr>
          <w:p>
            <w:r/>
            <w:r>
              <w:rPr>
                <w:rFonts w:ascii="Calibri" w:hAnsi="Calibri" w:cs="Calibri" w:eastAsia="Calibri"/>
                <w:b w:val="0"/>
                <w:i w:val="0"/>
                <w:sz w:val="18"/>
                <w:szCs w:val="18"/>
              </w:rPr>
              <w:t>RS-PLB-003, RS-PRC-003</w:t>
            </w:r>
          </w:p>
        </w:tc>
        <w:tc>
          <w:tcPr>
            <w:tcW w:type="dxa" w:w="3118"/>
          </w:tcPr>
          <w:p>
            <w:r/>
            <w:r>
              <w:rPr>
                <w:rFonts w:ascii="Calibri" w:hAnsi="Calibri" w:cs="Calibri" w:eastAsia="Calibri"/>
                <w:b w:val="0"/>
                <w:i w:val="0"/>
                <w:sz w:val="18"/>
                <w:szCs w:val="18"/>
              </w:rPr>
              <w:t>PDPA s.37(4)</w:t>
            </w:r>
          </w:p>
        </w:tc>
      </w:tr>
      <w:tr>
        <w:tc>
          <w:tcPr>
            <w:tcW w:type="dxa" w:w="3118"/>
          </w:tcPr>
          <w:p>
            <w:r/>
            <w:r>
              <w:rPr>
                <w:rFonts w:ascii="Calibri" w:hAnsi="Calibri" w:cs="Calibri" w:eastAsia="Calibri"/>
                <w:b w:val="0"/>
                <w:i w:val="0"/>
                <w:sz w:val="18"/>
                <w:szCs w:val="18"/>
              </w:rPr>
              <w:t>Retention and disposal</w:t>
            </w:r>
          </w:p>
        </w:tc>
        <w:tc>
          <w:tcPr>
            <w:tcW w:type="dxa" w:w="3118"/>
          </w:tcPr>
          <w:p>
            <w:r/>
            <w:r>
              <w:rPr>
                <w:rFonts w:ascii="Calibri" w:hAnsi="Calibri" w:cs="Calibri" w:eastAsia="Calibri"/>
                <w:b w:val="0"/>
                <w:i w:val="0"/>
                <w:sz w:val="18"/>
                <w:szCs w:val="18"/>
              </w:rPr>
              <w:t>PR-STD-007</w:t>
            </w:r>
          </w:p>
        </w:tc>
        <w:tc>
          <w:tcPr>
            <w:tcW w:type="dxa" w:w="3118"/>
          </w:tcPr>
          <w:p>
            <w:r/>
            <w:r>
              <w:rPr>
                <w:rFonts w:ascii="Calibri" w:hAnsi="Calibri" w:cs="Calibri" w:eastAsia="Calibri"/>
                <w:b w:val="0"/>
                <w:i w:val="0"/>
                <w:sz w:val="18"/>
                <w:szCs w:val="18"/>
              </w:rPr>
              <w:t>PDPA s.37(3)</w:t>
            </w:r>
          </w:p>
        </w:tc>
      </w:tr>
    </w:tbl>
    <w:p>
      <w:pPr>
        <w:spacing w:after="40"/>
      </w:pPr>
    </w:p>
    <w:p>
      <w:pPr>
        <w:pStyle w:val="Heading2"/>
        <w:keepNext/>
        <w:spacing w:before="120" w:after="80"/>
      </w:pPr>
      <w:r>
        <w:rPr>
          <w:rFonts w:ascii="Calibri" w:hAnsi="Calibri" w:cs="Calibri" w:eastAsia="Calibri"/>
          <w:b/>
          <w:i w:val="0"/>
          <w:color w:val="1F3864"/>
          <w:sz w:val="24"/>
          <w:szCs w:val="24"/>
          <w:bCs/>
        </w:rPr>
        <w:t>4.5 Roles: DPO and Security Function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Separate the roles of the Data Protection Officer and the security function, and state DPO independence (PDPA s.41 and s.42).</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6804"/>
      </w:tblGrid>
      <w:tr>
        <w:trPr>
          <w:tblHeader w:val="true"/>
        </w:trPr>
        <w:tc>
          <w:tcPr>
            <w:tcW w:type="dxa" w:w="2551"/>
            <w:shd w:val="clear" w:color="auto" w:fill="1F3864"/>
          </w:tcPr>
          <w:p>
            <w:r/>
            <w:r>
              <w:rPr>
                <w:rFonts w:ascii="Calibri" w:hAnsi="Calibri" w:cs="Calibri" w:eastAsia="Calibri"/>
                <w:b/>
                <w:i w:val="0"/>
                <w:color w:val="FFFFFF"/>
                <w:sz w:val="18"/>
                <w:szCs w:val="18"/>
                <w:bCs/>
              </w:rPr>
              <w:t>Role</w:t>
            </w:r>
          </w:p>
        </w:tc>
        <w:tc>
          <w:tcPr>
            <w:tcW w:type="dxa" w:w="6803"/>
            <w:shd w:val="clear" w:color="auto" w:fill="1F3864"/>
          </w:tcPr>
          <w:p>
            <w:r/>
            <w:r>
              <w:rPr>
                <w:rFonts w:ascii="Calibri" w:hAnsi="Calibri" w:cs="Calibri" w:eastAsia="Calibri"/>
                <w:b/>
                <w:i w:val="0"/>
                <w:color w:val="FFFFFF"/>
                <w:sz w:val="18"/>
                <w:szCs w:val="18"/>
                <w:bCs/>
              </w:rPr>
              <w:t>Responsibility</w:t>
            </w:r>
          </w:p>
        </w:tc>
      </w:tr>
      <w:tr>
        <w:tc>
          <w:tcPr>
            <w:tcW w:type="dxa" w:w="2551"/>
          </w:tcPr>
          <w:p>
            <w:r/>
            <w:r>
              <w:rPr>
                <w:rFonts w:ascii="Calibri" w:hAnsi="Calibri" w:cs="Calibri" w:eastAsia="Calibri"/>
                <w:b w:val="0"/>
                <w:i w:val="0"/>
                <w:sz w:val="18"/>
                <w:szCs w:val="18"/>
              </w:rPr>
              <w:t>Data Protection Officer (DPO)</w:t>
            </w:r>
          </w:p>
        </w:tc>
        <w:tc>
          <w:tcPr>
            <w:tcW w:type="dxa" w:w="6803"/>
          </w:tcPr>
          <w:p>
            <w:r/>
            <w:r>
              <w:rPr>
                <w:rFonts w:ascii="Calibri" w:hAnsi="Calibri" w:cs="Calibri" w:eastAsia="Calibri"/>
                <w:b w:val="0"/>
                <w:i w:val="0"/>
                <w:sz w:val="18"/>
                <w:szCs w:val="18"/>
              </w:rPr>
              <w:t>Advises on PDPA compliance, monitors processing, coordinates with the PDPC Office, and handles data subject complaints. Reports to Chief Executive Officer (CEO) and must not be penalized for performing DPO duties (PDPA s.42).</w:t>
            </w:r>
          </w:p>
        </w:tc>
      </w:tr>
      <w:tr>
        <w:tc>
          <w:tcPr>
            <w:tcW w:type="dxa" w:w="2551"/>
          </w:tcPr>
          <w:p>
            <w:r/>
            <w:r>
              <w:rPr>
                <w:rFonts w:ascii="Calibri" w:hAnsi="Calibri" w:cs="Calibri" w:eastAsia="Calibri"/>
                <w:b w:val="0"/>
                <w:i w:val="0"/>
                <w:sz w:val="18"/>
                <w:szCs w:val="18"/>
              </w:rPr>
              <w:t>Chief Information Security Officer (CISO) or Security Manager</w:t>
            </w:r>
          </w:p>
        </w:tc>
        <w:tc>
          <w:tcPr>
            <w:tcW w:type="dxa" w:w="6803"/>
          </w:tcPr>
          <w:p>
            <w:r/>
            <w:r>
              <w:rPr>
                <w:rFonts w:ascii="Calibri" w:hAnsi="Calibri" w:cs="Calibri" w:eastAsia="Calibri"/>
                <w:b w:val="0"/>
                <w:i w:val="0"/>
                <w:sz w:val="18"/>
                <w:szCs w:val="18"/>
              </w:rPr>
              <w:t>Designs and operates the security controls that protect personal data; leads technical breach response.</w:t>
            </w:r>
          </w:p>
        </w:tc>
      </w:tr>
      <w:tr>
        <w:tc>
          <w:tcPr>
            <w:tcW w:type="dxa" w:w="2551"/>
          </w:tcPr>
          <w:p>
            <w:r/>
            <w:r>
              <w:rPr>
                <w:rFonts w:ascii="Calibri" w:hAnsi="Calibri" w:cs="Calibri" w:eastAsia="Calibri"/>
                <w:b w:val="0"/>
                <w:i w:val="0"/>
                <w:sz w:val="18"/>
                <w:szCs w:val="18"/>
              </w:rPr>
              <w:t>Data owners (department heads)</w:t>
            </w:r>
          </w:p>
        </w:tc>
        <w:tc>
          <w:tcPr>
            <w:tcW w:type="dxa" w:w="6803"/>
          </w:tcPr>
          <w:p>
            <w:r/>
            <w:r>
              <w:rPr>
                <w:rFonts w:ascii="Calibri" w:hAnsi="Calibri" w:cs="Calibri" w:eastAsia="Calibri"/>
                <w:b w:val="0"/>
                <w:i w:val="0"/>
                <w:sz w:val="18"/>
                <w:szCs w:val="18"/>
              </w:rPr>
              <w:t>Maintain ROPA entries and ensure their teams follow privacy procedures.</w:t>
            </w:r>
          </w:p>
        </w:tc>
      </w:tr>
      <w:tr>
        <w:tc>
          <w:tcPr>
            <w:tcW w:type="dxa" w:w="2551"/>
          </w:tcPr>
          <w:p>
            <w:r/>
            <w:r>
              <w:rPr>
                <w:rFonts w:ascii="Calibri" w:hAnsi="Calibri" w:cs="Calibri" w:eastAsia="Calibri"/>
                <w:b w:val="0"/>
                <w:i w:val="0"/>
                <w:sz w:val="18"/>
                <w:szCs w:val="18"/>
              </w:rPr>
              <w:t>Legal Counsel</w:t>
            </w:r>
          </w:p>
        </w:tc>
        <w:tc>
          <w:tcPr>
            <w:tcW w:type="dxa" w:w="6803"/>
          </w:tcPr>
          <w:p>
            <w:r/>
            <w:r>
              <w:rPr>
                <w:rFonts w:ascii="Calibri" w:hAnsi="Calibri" w:cs="Calibri" w:eastAsia="Calibri"/>
                <w:b w:val="0"/>
                <w:i w:val="0"/>
                <w:sz w:val="18"/>
                <w:szCs w:val="18"/>
              </w:rPr>
              <w:t>Reviews privacy notices, consent text, and data processing agreements.</w:t>
            </w:r>
          </w:p>
        </w:tc>
      </w:tr>
    </w:tbl>
    <w:p>
      <w:pPr>
        <w:spacing w:after="40"/>
      </w:pPr>
    </w:p>
    <w:p>
      <w:pPr>
        <w:pStyle w:val="Heading2"/>
        <w:keepNext/>
        <w:spacing w:before="120" w:after="80"/>
      </w:pPr>
      <w:r>
        <w:rPr>
          <w:rFonts w:ascii="Calibri" w:hAnsi="Calibri" w:cs="Calibri" w:eastAsia="Calibri"/>
          <w:b/>
          <w:i w:val="0"/>
          <w:color w:val="1F3864"/>
          <w:sz w:val="24"/>
          <w:szCs w:val="24"/>
          <w:bCs/>
        </w:rPr>
        <w:t>4.6 Cross-Border Transfer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conditions for transferring personal data outside Thailand (PDPA s.28 and s.29).</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Personal data may be transferred outside Thailand only when the destination meets PDPA s.28 or s.29 requirements, such as adequate protection standards, binding corporate rules, or appropriate safeguards, and only after Data Protection Officer (DPO) review. [VERIFY current PDPC notifications on cross-border transfer.]</w:t>
      </w:r>
    </w:p>
    <w:p>
      <w:pPr>
        <w:pStyle w:val="Heading2"/>
        <w:keepNext/>
        <w:spacing w:before="120" w:after="80"/>
      </w:pPr>
      <w:r>
        <w:rPr>
          <w:rFonts w:ascii="Calibri" w:hAnsi="Calibri" w:cs="Calibri" w:eastAsia="Calibri"/>
          <w:b/>
          <w:i w:val="0"/>
          <w:color w:val="1F3864"/>
          <w:sz w:val="24"/>
          <w:szCs w:val="24"/>
          <w:bCs/>
        </w:rPr>
        <w:t>4.7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Chief Information Security Officer (CISO) or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Appoint the DPO as an independent role, not the CISO, to avoid a conflict between advising on and operating controls.</w:t>
      </w:r>
    </w:p>
    <w:p>
      <w:pPr>
        <w:pStyle w:val="ListBullet"/>
        <w:spacing w:after="40"/>
      </w:pPr>
      <w:r>
        <w:rPr>
          <w:rFonts w:ascii="Calibri" w:hAnsi="Calibri" w:cs="Calibri" w:eastAsia="Calibri"/>
          <w:b w:val="0"/>
          <w:i w:val="0"/>
          <w:sz w:val="21"/>
          <w:szCs w:val="21"/>
        </w:rPr>
        <w:t>Build the ROPA first; every other privacy document depends on knowing what data you process.</w:t>
      </w:r>
    </w:p>
    <w:p>
      <w:pPr>
        <w:pStyle w:val="ListBullet"/>
        <w:spacing w:after="40"/>
      </w:pPr>
      <w:r>
        <w:rPr>
          <w:rFonts w:ascii="Calibri" w:hAnsi="Calibri" w:cs="Calibri" w:eastAsia="Calibri"/>
          <w:b w:val="0"/>
          <w:i w:val="0"/>
          <w:sz w:val="21"/>
          <w:szCs w:val="21"/>
        </w:rPr>
        <w:t>Use one incident process for security and privacy so that breach assessment starts immediately.</w:t>
      </w:r>
    </w:p>
    <w:p>
      <w:pPr>
        <w:pStyle w:val="ListBullet"/>
        <w:spacing w:after="40"/>
      </w:pPr>
      <w:r>
        <w:rPr>
          <w:rFonts w:ascii="Calibri" w:hAnsi="Calibri" w:cs="Calibri" w:eastAsia="Calibri"/>
          <w:b w:val="0"/>
          <w:i w:val="0"/>
          <w:sz w:val="21"/>
          <w:szCs w:val="21"/>
        </w:rPr>
        <w:t>Train front-line staff who collect personal data, such as registration and call center teams.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Relying on consent for everything, including processing that has another lawful basis, which creates withdrawal problems.</w:t>
      </w:r>
    </w:p>
    <w:p>
      <w:pPr>
        <w:pStyle w:val="ListBullet"/>
        <w:spacing w:after="40"/>
      </w:pPr>
      <w:r>
        <w:rPr>
          <w:rFonts w:ascii="Calibri" w:hAnsi="Calibri" w:cs="Calibri" w:eastAsia="Calibri"/>
          <w:b w:val="0"/>
          <w:i w:val="0"/>
          <w:sz w:val="21"/>
          <w:szCs w:val="21"/>
        </w:rPr>
        <w:t>Publishing a privacy notice that does not match actual processing in the ROPA.</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GV.OC-03: Legal, regulatory, and contractual cybersecurity requirements are understood and managed</w:t>
            </w:r>
          </w:p>
          <w:p>
            <w:r>
              <w:rPr>
                <w:rFonts w:ascii="Calibri" w:hAnsi="Calibri" w:cs="Calibri" w:eastAsia="Calibri"/>
                <w:b w:val="0"/>
                <w:i w:val="0"/>
                <w:sz w:val="18"/>
                <w:szCs w:val="18"/>
              </w:rPr>
              <w:t>GV.PO-01: Cybersecurity policy is established, communicated, and enforced based on context, strategy, and priorities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PT-1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s.37(1); PDPC Notification on Security Measures B.E. 2565</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GV-REG-007: Record of Processing Activities (ROPA)</w:t>
            </w:r>
          </w:p>
          <w:p>
            <w:r>
              <w:rPr>
                <w:rFonts w:ascii="Calibri" w:hAnsi="Calibri" w:cs="Calibri" w:eastAsia="Calibri"/>
                <w:b w:val="0"/>
                <w:i w:val="0"/>
                <w:sz w:val="18"/>
                <w:szCs w:val="18"/>
              </w:rPr>
              <w:t>GV-TPL-002: Privacy Notice Template</w:t>
            </w:r>
          </w:p>
          <w:p>
            <w:r>
              <w:rPr>
                <w:rFonts w:ascii="Calibri" w:hAnsi="Calibri" w:cs="Calibri" w:eastAsia="Calibri"/>
                <w:b w:val="0"/>
                <w:i w:val="0"/>
                <w:sz w:val="18"/>
                <w:szCs w:val="18"/>
              </w:rPr>
              <w:t>GV-PRC-004: Data Protection Impact Assessment (DPIA) Procedure</w:t>
            </w:r>
          </w:p>
          <w:p>
            <w:r>
              <w:rPr>
                <w:rFonts w:ascii="Calibri" w:hAnsi="Calibri" w:cs="Calibri" w:eastAsia="Calibri"/>
                <w:b w:val="0"/>
                <w:i w:val="0"/>
                <w:sz w:val="18"/>
                <w:szCs w:val="18"/>
              </w:rPr>
              <w:t>GV-PRC-005: Data Subject Rights Request Procedure</w:t>
            </w:r>
          </w:p>
          <w:p>
            <w:r>
              <w:rPr>
                <w:rFonts w:ascii="Calibri" w:hAnsi="Calibri" w:cs="Calibri" w:eastAsia="Calibri"/>
                <w:b w:val="0"/>
                <w:i w:val="0"/>
                <w:sz w:val="18"/>
                <w:szCs w:val="18"/>
              </w:rPr>
              <w:t>GV-TPL-004: Data Processing Agreement Template</w:t>
            </w:r>
          </w:p>
          <w:p>
            <w:r>
              <w:rPr>
                <w:rFonts w:ascii="Calibri" w:hAnsi="Calibri" w:cs="Calibri" w:eastAsia="Calibri"/>
                <w:b w:val="0"/>
                <w:i w:val="0"/>
                <w:sz w:val="18"/>
                <w:szCs w:val="18"/>
              </w:rPr>
              <w:t>RS-PLB-003: Personal Data Breach Response Playbook</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[Organization Name]  |  GV-POL-004  |  Personal Data Protection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