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[Organization Name]</w:t>
      </w:r>
    </w:p>
    <w:p>
      <w:pPr>
        <w:pStyle w:val="Heading1"/>
        <w:keepNext/>
        <w:spacing w:before="200" w:after="80"/>
      </w:pPr>
      <w:r>
        <w:rPr>
          <w:rFonts w:ascii="Calibri" w:hAnsi="Calibri" w:cs="Calibri" w:eastAsia="Calibri"/>
          <w:b/>
          <w:i w:val="0"/>
          <w:color w:val="1F3864"/>
          <w:sz w:val="39"/>
          <w:szCs w:val="39"/>
          <w:bCs/>
        </w:rPr>
        <w:t>Policy Exception Management Procedure</w:t>
      </w:r>
    </w:p>
    <w:p>
      <w:pPr>
        <w:spacing w:after="80" w:before="0"/>
      </w:pPr>
      <w:r>
        <w:rPr>
          <w:rFonts w:ascii="Calibri" w:hAnsi="Calibri" w:cs="Calibri" w:eastAsia="Calibri"/>
          <w:b w:val="0"/>
          <w:i w:val="0"/>
          <w:color w:val="595959"/>
          <w:sz w:val="18"/>
          <w:szCs w:val="18"/>
        </w:rPr>
        <w:t>GV-PRC-003  |  Procedure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How to Use This Template: </w:t>
            </w:r>
            <w:r>
              <w:rPr>
                <w:rFonts w:ascii="Calibri" w:hAnsi="Calibri" w:cs="Calibri" w:eastAsia="Calibri"/>
                <w:b w:val="0"/>
                <w:i w:val="0"/>
                <w:sz w:val="18"/>
                <w:szCs w:val="18"/>
              </w:rPr>
              <w:t>Replace text in square brackets with your organization's details. Keep every Part A section, because each one is a minimum requirement. Use Part B to raise maturity. Delete the blue requirement boxes and this note before you issue the document. This template is a sample and is not legal advice; confirm items marked [VERIFY] with current Thai regulations before use.</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GV-PRC-003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Policy Exception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1.0</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Template (not 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Chief Information Security Officer (CISO) or 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[DD Month YYYY]</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[DD Month YYYY]</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[DD Month YYYY]</w:t>
            </w:r>
          </w:p>
        </w:tc>
        <w:tc>
          <w:tcPr>
            <w:tcW w:type="dxa" w:w="3742"/>
          </w:tcPr>
          <w:p>
            <w:r/>
            <w:r>
              <w:rPr>
                <w:rFonts w:ascii="Calibri" w:hAnsi="Calibri" w:cs="Calibri" w:eastAsia="Calibri"/>
                <w:b w:val="0"/>
                <w:i w:val="0"/>
                <w:sz w:val="18"/>
                <w:szCs w:val="18"/>
              </w:rPr>
              <w:t>Initial release</w:t>
            </w:r>
          </w:p>
        </w:tc>
        <w:tc>
          <w:tcPr>
            <w:tcW w:type="dxa" w:w="1587"/>
          </w:tcPr>
          <w:p>
            <w:r/>
            <w:r>
              <w:rPr>
                <w:rFonts w:ascii="Calibri" w:hAnsi="Calibri" w:cs="Calibri" w:eastAsia="Calibri"/>
                <w:b w:val="0"/>
                <w:i w:val="0"/>
                <w:sz w:val="18"/>
                <w:szCs w:val="18"/>
              </w:rPr>
              <w:t>[Name, Role]</w:t>
            </w:r>
          </w:p>
        </w:tc>
        <w:tc>
          <w:tcPr>
            <w:tcW w:type="dxa" w:w="1531"/>
          </w:tcPr>
          <w:p>
            <w:r/>
            <w:r>
              <w:rPr>
                <w:rFonts w:ascii="Calibri" w:hAnsi="Calibri" w:cs="Calibri" w:eastAsia="Calibri"/>
                <w:b w:val="0"/>
                <w:i w:val="0"/>
                <w:sz w:val="18"/>
                <w:szCs w:val="18"/>
              </w:rPr>
              <w:t>[Name, Role]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staff request, assess, approve, track, and close temporary exceptions to security policies and standards, so that every deviation has a known risk, an owner, and an expiry date.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[Organization Name].</w:t>
      </w:r>
    </w:p>
    <w:p>
      <w:pPr>
        <w:pStyle w:val="Heading2"/>
        <w:keepNext/>
        <w:spacing w:before="120" w:after="80"/>
      </w:pPr>
      <w:r>
        <w:rPr>
          <w:rFonts w:ascii="Calibri" w:hAnsi="Calibri" w:cs="Calibri" w:eastAsia="Calibri"/>
          <w:b/>
          <w:i w:val="0"/>
          <w:color w:val="1F3864"/>
          <w:sz w:val="24"/>
          <w:szCs w:val="24"/>
          <w:bCs/>
        </w:rPr>
        <w:t>4.3 Exception Criteria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when an exception may be requested and when it must be refused.</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An exception may be requested when a control cannot be applied for a valid business or technical reason, such as a legacy system or vendor limitation.</w:t>
      </w:r>
    </w:p>
    <w:p>
      <w:pPr>
        <w:pStyle w:val="ListBullet"/>
        <w:spacing w:after="40"/>
      </w:pPr>
      <w:r>
        <w:rPr>
          <w:rFonts w:ascii="Calibri" w:hAnsi="Calibri" w:cs="Calibri" w:eastAsia="Calibri"/>
          <w:b w:val="0"/>
          <w:i w:val="0"/>
          <w:sz w:val="21"/>
          <w:szCs w:val="21"/>
        </w:rPr>
        <w:t>Exceptions cannot override legal or regulatory requirements.</w:t>
      </w:r>
    </w:p>
    <w:p>
      <w:pPr>
        <w:pStyle w:val="ListBullet"/>
        <w:spacing w:after="40"/>
      </w:pPr>
      <w:r>
        <w:rPr>
          <w:rFonts w:ascii="Calibri" w:hAnsi="Calibri" w:cs="Calibri" w:eastAsia="Calibri"/>
          <w:b w:val="0"/>
          <w:i w:val="0"/>
          <w:sz w:val="21"/>
          <w:szCs w:val="21"/>
        </w:rPr>
        <w:t>Every exception must have compensating controls, a risk owner, and an expiry date of no more than 12 months.</w:t>
      </w:r>
    </w:p>
    <w:p>
      <w:pPr>
        <w:pStyle w:val="Heading2"/>
        <w:keepNext/>
        <w:spacing w:before="120" w:after="80"/>
      </w:pPr>
      <w:r>
        <w:rPr>
          <w:rFonts w:ascii="Calibri" w:hAnsi="Calibri" w:cs="Calibri" w:eastAsia="Calibri"/>
          <w:b/>
          <w:i w:val="0"/>
          <w:color w:val="1F3864"/>
          <w:sz w:val="24"/>
          <w:szCs w:val="24"/>
          <w:bCs/>
        </w:rPr>
        <w:t>4.4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steps, actors, and timelines from request to closure.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4706"/>
        <w:gridCol w:w="2154"/>
        <w:gridCol w:w="1814"/>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4706"/>
            <w:shd w:val="clear" w:color="auto" w:fill="1F3864"/>
          </w:tcPr>
          <w:p>
            <w:r/>
            <w:r>
              <w:rPr>
                <w:rFonts w:ascii="Calibri" w:hAnsi="Calibri" w:cs="Calibri" w:eastAsia="Calibri"/>
                <w:b/>
                <w:i w:val="0"/>
                <w:color w:val="FFFFFF"/>
                <w:sz w:val="18"/>
                <w:szCs w:val="18"/>
                <w:bCs/>
              </w:rPr>
              <w:t>Activity</w:t>
            </w:r>
          </w:p>
        </w:tc>
        <w:tc>
          <w:tcPr>
            <w:tcW w:type="dxa" w:w="2154"/>
            <w:shd w:val="clear" w:color="auto" w:fill="1F3864"/>
          </w:tcPr>
          <w:p>
            <w:r/>
            <w:r>
              <w:rPr>
                <w:rFonts w:ascii="Calibri" w:hAnsi="Calibri" w:cs="Calibri" w:eastAsia="Calibri"/>
                <w:b/>
                <w:i w:val="0"/>
                <w:color w:val="FFFFFF"/>
                <w:sz w:val="18"/>
                <w:szCs w:val="18"/>
                <w:bCs/>
              </w:rPr>
              <w:t>Actor</w:t>
            </w:r>
          </w:p>
        </w:tc>
        <w:tc>
          <w:tcPr>
            <w:tcW w:type="dxa" w:w="1814"/>
            <w:shd w:val="clear" w:color="auto" w:fill="1F3864"/>
          </w:tcPr>
          <w:p>
            <w:r/>
            <w:r>
              <w:rPr>
                <w:rFonts w:ascii="Calibri" w:hAnsi="Calibri" w:cs="Calibri" w:eastAsia="Calibri"/>
                <w:b/>
                <w:i w:val="0"/>
                <w:color w:val="FFFFFF"/>
                <w:sz w:val="18"/>
                <w:szCs w:val="18"/>
                <w:bCs/>
              </w:rPr>
              <w:t>Timing</w:t>
            </w:r>
          </w:p>
        </w:tc>
      </w:tr>
      <w:tr>
        <w:tc>
          <w:tcPr>
            <w:tcW w:type="dxa" w:w="680"/>
          </w:tcPr>
          <w:p>
            <w:r/>
            <w:r>
              <w:rPr>
                <w:rFonts w:ascii="Calibri" w:hAnsi="Calibri" w:cs="Calibri" w:eastAsia="Calibri"/>
                <w:b w:val="0"/>
                <w:i w:val="0"/>
                <w:sz w:val="18"/>
                <w:szCs w:val="18"/>
              </w:rPr>
              <w:t>1</w:t>
            </w:r>
          </w:p>
        </w:tc>
        <w:tc>
          <w:tcPr>
            <w:tcW w:type="dxa" w:w="4706"/>
          </w:tcPr>
          <w:p>
            <w:r/>
            <w:r>
              <w:rPr>
                <w:rFonts w:ascii="Calibri" w:hAnsi="Calibri" w:cs="Calibri" w:eastAsia="Calibri"/>
                <w:b w:val="0"/>
                <w:i w:val="0"/>
                <w:sz w:val="18"/>
                <w:szCs w:val="18"/>
              </w:rPr>
              <w:t>Submit the Policy Exception Request Form (GV-FRM-004) with justification and proposed compensating controls</w:t>
            </w:r>
          </w:p>
        </w:tc>
        <w:tc>
          <w:tcPr>
            <w:tcW w:type="dxa" w:w="2154"/>
          </w:tcPr>
          <w:p>
            <w:r/>
            <w:r>
              <w:rPr>
                <w:rFonts w:ascii="Calibri" w:hAnsi="Calibri" w:cs="Calibri" w:eastAsia="Calibri"/>
                <w:b w:val="0"/>
                <w:i w:val="0"/>
                <w:sz w:val="18"/>
                <w:szCs w:val="18"/>
              </w:rPr>
              <w:t>Requester and system owner</w:t>
            </w:r>
          </w:p>
        </w:tc>
        <w:tc>
          <w:tcPr>
            <w:tcW w:type="dxa" w:w="1814"/>
          </w:tcPr>
          <w:p>
            <w:r/>
            <w:r>
              <w:rPr>
                <w:rFonts w:ascii="Calibri" w:hAnsi="Calibri" w:cs="Calibri" w:eastAsia="Calibri"/>
                <w:b w:val="0"/>
                <w:i w:val="0"/>
                <w:sz w:val="18"/>
                <w:szCs w:val="18"/>
              </w:rPr>
              <w:t>Before deviation starts</w:t>
            </w:r>
          </w:p>
        </w:tc>
      </w:tr>
      <w:tr>
        <w:tc>
          <w:tcPr>
            <w:tcW w:type="dxa" w:w="680"/>
          </w:tcPr>
          <w:p>
            <w:r/>
            <w:r>
              <w:rPr>
                <w:rFonts w:ascii="Calibri" w:hAnsi="Calibri" w:cs="Calibri" w:eastAsia="Calibri"/>
                <w:b w:val="0"/>
                <w:i w:val="0"/>
                <w:sz w:val="18"/>
                <w:szCs w:val="18"/>
              </w:rPr>
              <w:t>2</w:t>
            </w:r>
          </w:p>
        </w:tc>
        <w:tc>
          <w:tcPr>
            <w:tcW w:type="dxa" w:w="4706"/>
          </w:tcPr>
          <w:p>
            <w:r/>
            <w:r>
              <w:rPr>
                <w:rFonts w:ascii="Calibri" w:hAnsi="Calibri" w:cs="Calibri" w:eastAsia="Calibri"/>
                <w:b w:val="0"/>
                <w:i w:val="0"/>
                <w:sz w:val="18"/>
                <w:szCs w:val="18"/>
              </w:rPr>
              <w:t>Assess risk using the Risk Assessment and Treatment Methodology (GV-PRC-001)</w:t>
            </w:r>
          </w:p>
        </w:tc>
        <w:tc>
          <w:tcPr>
            <w:tcW w:type="dxa" w:w="2154"/>
          </w:tcPr>
          <w:p>
            <w:r/>
            <w:r>
              <w:rPr>
                <w:rFonts w:ascii="Calibri" w:hAnsi="Calibri" w:cs="Calibri" w:eastAsia="Calibri"/>
                <w:b w:val="0"/>
                <w:i w:val="0"/>
                <w:sz w:val="18"/>
                <w:szCs w:val="18"/>
              </w:rPr>
              <w:t>Chief Information Security Officer (CISO) or Security Manager</w:t>
            </w:r>
          </w:p>
        </w:tc>
        <w:tc>
          <w:tcPr>
            <w:tcW w:type="dxa" w:w="1814"/>
          </w:tcPr>
          <w:p>
            <w:r/>
            <w:r>
              <w:rPr>
                <w:rFonts w:ascii="Calibri" w:hAnsi="Calibri" w:cs="Calibri" w:eastAsia="Calibri"/>
                <w:b w:val="0"/>
                <w:i w:val="0"/>
                <w:sz w:val="18"/>
                <w:szCs w:val="18"/>
              </w:rPr>
              <w:t>5 working days</w:t>
            </w:r>
          </w:p>
        </w:tc>
      </w:tr>
      <w:tr>
        <w:tc>
          <w:tcPr>
            <w:tcW w:type="dxa" w:w="680"/>
          </w:tcPr>
          <w:p>
            <w:r/>
            <w:r>
              <w:rPr>
                <w:rFonts w:ascii="Calibri" w:hAnsi="Calibri" w:cs="Calibri" w:eastAsia="Calibri"/>
                <w:b w:val="0"/>
                <w:i w:val="0"/>
                <w:sz w:val="18"/>
                <w:szCs w:val="18"/>
              </w:rPr>
              <w:t>3</w:t>
            </w:r>
          </w:p>
        </w:tc>
        <w:tc>
          <w:tcPr>
            <w:tcW w:type="dxa" w:w="4706"/>
          </w:tcPr>
          <w:p>
            <w:r/>
            <w:r>
              <w:rPr>
                <w:rFonts w:ascii="Calibri" w:hAnsi="Calibri" w:cs="Calibri" w:eastAsia="Calibri"/>
                <w:b w:val="0"/>
                <w:i w:val="0"/>
                <w:sz w:val="18"/>
                <w:szCs w:val="18"/>
              </w:rPr>
              <w:t>Approve according to residual risk: Low and Medium by Chief Information Security Officer (CISO) or Security Manager; High by Chief Information Officer (CIO); Critical by Information Security Steering Committee (ISSC)</w:t>
            </w:r>
          </w:p>
        </w:tc>
        <w:tc>
          <w:tcPr>
            <w:tcW w:type="dxa" w:w="2154"/>
          </w:tcPr>
          <w:p>
            <w:r/>
            <w:r>
              <w:rPr>
                <w:rFonts w:ascii="Calibri" w:hAnsi="Calibri" w:cs="Calibri" w:eastAsia="Calibri"/>
                <w:b w:val="0"/>
                <w:i w:val="0"/>
                <w:sz w:val="18"/>
                <w:szCs w:val="18"/>
              </w:rPr>
              <w:t>Approver</w:t>
            </w:r>
          </w:p>
        </w:tc>
        <w:tc>
          <w:tcPr>
            <w:tcW w:type="dxa" w:w="1814"/>
          </w:tcPr>
          <w:p>
            <w:r/>
            <w:r>
              <w:rPr>
                <w:rFonts w:ascii="Calibri" w:hAnsi="Calibri" w:cs="Calibri" w:eastAsia="Calibri"/>
                <w:b w:val="0"/>
                <w:i w:val="0"/>
                <w:sz w:val="18"/>
                <w:szCs w:val="18"/>
              </w:rPr>
              <w:t>10 working days</w:t>
            </w:r>
          </w:p>
        </w:tc>
      </w:tr>
      <w:tr>
        <w:tc>
          <w:tcPr>
            <w:tcW w:type="dxa" w:w="680"/>
          </w:tcPr>
          <w:p>
            <w:r/>
            <w:r>
              <w:rPr>
                <w:rFonts w:ascii="Calibri" w:hAnsi="Calibri" w:cs="Calibri" w:eastAsia="Calibri"/>
                <w:b w:val="0"/>
                <w:i w:val="0"/>
                <w:sz w:val="18"/>
                <w:szCs w:val="18"/>
              </w:rPr>
              <w:t>4</w:t>
            </w:r>
          </w:p>
        </w:tc>
        <w:tc>
          <w:tcPr>
            <w:tcW w:type="dxa" w:w="4706"/>
          </w:tcPr>
          <w:p>
            <w:r/>
            <w:r>
              <w:rPr>
                <w:rFonts w:ascii="Calibri" w:hAnsi="Calibri" w:cs="Calibri" w:eastAsia="Calibri"/>
                <w:b w:val="0"/>
                <w:i w:val="0"/>
                <w:sz w:val="18"/>
                <w:szCs w:val="18"/>
              </w:rPr>
              <w:t>Record in the Policy Exception Register (GV-REG-004) and notify the requester</w:t>
            </w:r>
          </w:p>
        </w:tc>
        <w:tc>
          <w:tcPr>
            <w:tcW w:type="dxa" w:w="2154"/>
          </w:tcPr>
          <w:p>
            <w:r/>
            <w:r>
              <w:rPr>
                <w:rFonts w:ascii="Calibri" w:hAnsi="Calibri" w:cs="Calibri" w:eastAsia="Calibri"/>
                <w:b w:val="0"/>
                <w:i w:val="0"/>
                <w:sz w:val="18"/>
                <w:szCs w:val="18"/>
              </w:rPr>
              <w:t>Chief Information Security Officer (CISO) or Security Manager</w:t>
            </w:r>
          </w:p>
        </w:tc>
        <w:tc>
          <w:tcPr>
            <w:tcW w:type="dxa" w:w="1814"/>
          </w:tcPr>
          <w:p>
            <w:r/>
            <w:r>
              <w:rPr>
                <w:rFonts w:ascii="Calibri" w:hAnsi="Calibri" w:cs="Calibri" w:eastAsia="Calibri"/>
                <w:b w:val="0"/>
                <w:i w:val="0"/>
                <w:sz w:val="18"/>
                <w:szCs w:val="18"/>
              </w:rPr>
              <w:t>On approval</w:t>
            </w:r>
          </w:p>
        </w:tc>
      </w:tr>
      <w:tr>
        <w:tc>
          <w:tcPr>
            <w:tcW w:type="dxa" w:w="680"/>
          </w:tcPr>
          <w:p>
            <w:r/>
            <w:r>
              <w:rPr>
                <w:rFonts w:ascii="Calibri" w:hAnsi="Calibri" w:cs="Calibri" w:eastAsia="Calibri"/>
                <w:b w:val="0"/>
                <w:i w:val="0"/>
                <w:sz w:val="18"/>
                <w:szCs w:val="18"/>
              </w:rPr>
              <w:t>5</w:t>
            </w:r>
          </w:p>
        </w:tc>
        <w:tc>
          <w:tcPr>
            <w:tcW w:type="dxa" w:w="4706"/>
          </w:tcPr>
          <w:p>
            <w:r/>
            <w:r>
              <w:rPr>
                <w:rFonts w:ascii="Calibri" w:hAnsi="Calibri" w:cs="Calibri" w:eastAsia="Calibri"/>
                <w:b w:val="0"/>
                <w:i w:val="0"/>
                <w:sz w:val="18"/>
                <w:szCs w:val="18"/>
              </w:rPr>
              <w:t>Monitor compensating controls and remind owners 30 days before expiry</w:t>
            </w:r>
          </w:p>
        </w:tc>
        <w:tc>
          <w:tcPr>
            <w:tcW w:type="dxa" w:w="2154"/>
          </w:tcPr>
          <w:p>
            <w:r/>
            <w:r>
              <w:rPr>
                <w:rFonts w:ascii="Calibri" w:hAnsi="Calibri" w:cs="Calibri" w:eastAsia="Calibri"/>
                <w:b w:val="0"/>
                <w:i w:val="0"/>
                <w:sz w:val="18"/>
                <w:szCs w:val="18"/>
              </w:rPr>
              <w:t>Chief Information Security Officer (CISO) or Security Manager</w:t>
            </w:r>
          </w:p>
        </w:tc>
        <w:tc>
          <w:tcPr>
            <w:tcW w:type="dxa" w:w="1814"/>
          </w:tcPr>
          <w:p>
            <w:r/>
            <w:r>
              <w:rPr>
                <w:rFonts w:ascii="Calibri" w:hAnsi="Calibri" w:cs="Calibri" w:eastAsia="Calibri"/>
                <w:b w:val="0"/>
                <w:i w:val="0"/>
                <w:sz w:val="18"/>
                <w:szCs w:val="18"/>
              </w:rPr>
              <w:t>Monthly</w:t>
            </w:r>
          </w:p>
        </w:tc>
      </w:tr>
      <w:tr>
        <w:tc>
          <w:tcPr>
            <w:tcW w:type="dxa" w:w="680"/>
          </w:tcPr>
          <w:p>
            <w:r/>
            <w:r>
              <w:rPr>
                <w:rFonts w:ascii="Calibri" w:hAnsi="Calibri" w:cs="Calibri" w:eastAsia="Calibri"/>
                <w:b w:val="0"/>
                <w:i w:val="0"/>
                <w:sz w:val="18"/>
                <w:szCs w:val="18"/>
              </w:rPr>
              <w:t>6</w:t>
            </w:r>
          </w:p>
        </w:tc>
        <w:tc>
          <w:tcPr>
            <w:tcW w:type="dxa" w:w="4706"/>
          </w:tcPr>
          <w:p>
            <w:r/>
            <w:r>
              <w:rPr>
                <w:rFonts w:ascii="Calibri" w:hAnsi="Calibri" w:cs="Calibri" w:eastAsia="Calibri"/>
                <w:b w:val="0"/>
                <w:i w:val="0"/>
                <w:sz w:val="18"/>
                <w:szCs w:val="18"/>
              </w:rPr>
              <w:t>Close, renew (with fresh approval), or escalate on expiry</w:t>
            </w:r>
          </w:p>
        </w:tc>
        <w:tc>
          <w:tcPr>
            <w:tcW w:type="dxa" w:w="2154"/>
          </w:tcPr>
          <w:p>
            <w:r/>
            <w:r>
              <w:rPr>
                <w:rFonts w:ascii="Calibri" w:hAnsi="Calibri" w:cs="Calibri" w:eastAsia="Calibri"/>
                <w:b w:val="0"/>
                <w:i w:val="0"/>
                <w:sz w:val="18"/>
                <w:szCs w:val="18"/>
              </w:rPr>
              <w:t>Risk owner and Chief Information Security Officer (CISO) or Security Manager</w:t>
            </w:r>
          </w:p>
        </w:tc>
        <w:tc>
          <w:tcPr>
            <w:tcW w:type="dxa" w:w="1814"/>
          </w:tcPr>
          <w:p>
            <w:r/>
            <w:r>
              <w:rPr>
                <w:rFonts w:ascii="Calibri" w:hAnsi="Calibri" w:cs="Calibri" w:eastAsia="Calibri"/>
                <w:b w:val="0"/>
                <w:i w:val="0"/>
                <w:sz w:val="18"/>
                <w:szCs w:val="18"/>
              </w:rPr>
              <w:t>On expiry</w:t>
            </w:r>
          </w:p>
        </w:tc>
      </w:tr>
    </w:tbl>
    <w:p>
      <w:pPr>
        <w:spacing w:after="40"/>
      </w:pPr>
    </w:p>
    <w:p>
      <w:pPr>
        <w:pStyle w:val="Heading2"/>
        <w:keepNext/>
        <w:spacing w:before="120" w:after="80"/>
      </w:pPr>
      <w:r>
        <w:rPr>
          <w:rFonts w:ascii="Calibri" w:hAnsi="Calibri" w:cs="Calibri" w:eastAsia="Calibri"/>
          <w:b/>
          <w:i w:val="0"/>
          <w:color w:val="1F3864"/>
          <w:sz w:val="24"/>
          <w:szCs w:val="24"/>
          <w:bCs/>
        </w:rPr>
        <w:t>4.5 Reporting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open exceptions are reported to management.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 Chief Information Security Officer (CISO) or Security Manager reports the number of open exceptions, expired exceptions, and High or Critical exceptions to the Information Security Steering Committee (ISSC) each quarter.</w:t>
      </w:r>
    </w:p>
    <w:p>
      <w:pPr>
        <w:pStyle w:val="Heading2"/>
        <w:keepNext/>
        <w:spacing w:before="120" w:after="80"/>
      </w:pPr>
      <w:r>
        <w:rPr>
          <w:rFonts w:ascii="Calibri" w:hAnsi="Calibri" w:cs="Calibri" w:eastAsia="Calibri"/>
          <w:b/>
          <w:i w:val="0"/>
          <w:color w:val="1F3864"/>
          <w:sz w:val="24"/>
          <w:szCs w:val="24"/>
          <w:bCs/>
        </w:rPr>
        <w:t>4.6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GV-FRM-004: Policy Exception Request Form</w:t>
      </w:r>
    </w:p>
    <w:p>
      <w:pPr>
        <w:pStyle w:val="ListBullet"/>
        <w:spacing w:after="40"/>
      </w:pPr>
      <w:r>
        <w:rPr>
          <w:rFonts w:ascii="Calibri" w:hAnsi="Calibri" w:cs="Calibri" w:eastAsia="Calibri"/>
          <w:b w:val="0"/>
          <w:i w:val="0"/>
          <w:sz w:val="21"/>
          <w:szCs w:val="21"/>
        </w:rPr>
        <w:t>GV-REG-004: Policy Exception Register</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Treat an exception as a risk acceptance with a deadline, and link each one to a risk register entry.</w:t>
      </w:r>
    </w:p>
    <w:p>
      <w:pPr>
        <w:pStyle w:val="ListBullet"/>
        <w:spacing w:after="40"/>
      </w:pPr>
      <w:r>
        <w:rPr>
          <w:rFonts w:ascii="Calibri" w:hAnsi="Calibri" w:cs="Calibri" w:eastAsia="Calibri"/>
          <w:b w:val="0"/>
          <w:i w:val="0"/>
          <w:sz w:val="21"/>
          <w:szCs w:val="21"/>
        </w:rPr>
        <w:t>Set a hard limit on renewals (for example, one renewal) to force a permanent fix.</w:t>
      </w:r>
    </w:p>
    <w:p>
      <w:pPr>
        <w:pStyle w:val="ListBullet"/>
        <w:spacing w:after="40"/>
      </w:pPr>
      <w:r>
        <w:rPr>
          <w:rFonts w:ascii="Calibri" w:hAnsi="Calibri" w:cs="Calibri" w:eastAsia="Calibri"/>
          <w:b w:val="0"/>
          <w:i w:val="0"/>
          <w:sz w:val="21"/>
          <w:szCs w:val="21"/>
        </w:rPr>
        <w:t>Report the exception trend as a key risk indicator (KRI).</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Granting open-ended exceptions for legacy systems that are never revisited.</w:t>
      </w:r>
    </w:p>
    <w:p>
      <w:pPr>
        <w:pStyle w:val="ListBullet"/>
        <w:spacing w:after="40"/>
      </w:pPr>
      <w:r>
        <w:rPr>
          <w:rFonts w:ascii="Calibri" w:hAnsi="Calibri" w:cs="Calibri" w:eastAsia="Calibri"/>
          <w:b w:val="0"/>
          <w:i w:val="0"/>
          <w:sz w:val="21"/>
          <w:szCs w:val="21"/>
        </w:rPr>
        <w:t>Approving exceptions by email without recording them, so auditors find untracked deviations.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GV.PO-02: Cybersecurity policy is reviewed, updated, communicated, and enforced to reflect changes</w:t>
            </w:r>
          </w:p>
          <w:p>
            <w:r>
              <w:rPr>
                <w:rFonts w:ascii="Calibri" w:hAnsi="Calibri" w:cs="Calibri" w:eastAsia="Calibri"/>
                <w:b w:val="0"/>
                <w:i w:val="0"/>
                <w:sz w:val="18"/>
                <w:szCs w:val="18"/>
              </w:rPr>
              <w:t>ID.RA-07: Changes and exceptions are managed, assessed for risk impact, recorded, and tracked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PL-1, RA-7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GV-FRM-004: Policy Exception Request Form</w:t>
            </w:r>
          </w:p>
          <w:p>
            <w:r>
              <w:rPr>
                <w:rFonts w:ascii="Calibri" w:hAnsi="Calibri" w:cs="Calibri" w:eastAsia="Calibri"/>
                <w:b w:val="0"/>
                <w:i w:val="0"/>
                <w:sz w:val="18"/>
                <w:szCs w:val="18"/>
              </w:rPr>
              <w:t>GV-REG-004: Policy Exception Register</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[Organization Name]  |  GV-PRC-003  |  Policy Exception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