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Protection Impact Assessment (DPIA)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GV-PRC-004  |  Procedure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Impact Assessment (DPIA)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 explicitly mandated by the PDPA; supports the risk-based measures in PDPA s.37(1) [VERIFY current PDPC guidance]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when and how to assess the privacy risks of a new or changed processing activity before it starts, so that high risks are reduced or accepted at the right level.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DPIA Triggers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screening criteria that make a DPIA mandatory.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Large-scale processing of sensitive data under PDPA s.26.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Systematic monitoring of individuals, such as CCTV analytics or employee monitoring.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New technology such as AI, biometrics, or location tracking.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Combining data sets from different sources.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Cross-border transfer to a country without adequate protection.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Any processing that could lead to discrimination, financial loss, or physical harm.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steps from screening to sign-off and review.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Project owner completes the DPIA screening questions when a project starts.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If any trigger applies, the project owner completes the DPIA Template (GV-TPL-003) with Data Protection Officer (DPO) support.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Chief Information Security Officer (CISO) or Security Manager assesses security controls; Data Protection Officer (DPO) assesses legal compliance and necessity.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Identify measures to reduce each high risk and re-rate residual risk.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Data Protection Officer (DPO) gives a written opinion. High residual risk requires approval by Chief Executive Officer (CEO) before processing starts.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the DPIA in the ROPA entry and review it when the processing changes or at least every two years.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GV-TPL-003: DPIA Template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Build DPIA screening into project intake and procurement so it is not missed.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 the DPIA and the security risk assessment together to avoid duplicate work.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ISO/IEC 29134 as a reference method.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Completing the DPIA after go-live, when design changes are expensive.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ID.RA-04: Potential impacts and likelihoods of threats exploiting vulnerabilities are identified and recorded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 explicitly mandated by the PDPA; supports the risk-based measures in PDPA s.37(1) [VERIFY current PDPC guidance]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GV-TPL-003: DPIA Template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GV-PRC-004  |  Data Protection Impact Assessment (DPIA)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