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Confidentiality and Non-Disclosure Agreement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GV-FRM-002  |  Form  |  Roles, Responsibilities, and Authorities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Confidentiality and Non-Disclosure Agreement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Roles, Responsibilities, and Authorities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People, Evidence,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agreement binds employees, contractors, and third parties to protect confidential information they access, during and after their engagement.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(GV-STD-001)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Key Clauses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 the minimum clauses of a confidentiality agreement (ISO/IEC 27001:2022 Annex A 6.6).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Definition of confidential information, including personal data.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Obligation to use information only for the stated purpose.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Obligation not to disclose without written authorization.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Duty to report any actual or suspected disclosure immediately.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Return or destruction of information at the end of the engagement.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Duration: obligations continue for [X] years after termination, and indefinitely for personal data and trade secrets.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Remedies and governing law (laws of Thailand).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Signatory name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Full name.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 or department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Employer or vendor.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Engagement or role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 of access.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Start 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Effective date.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Collect signatures before access is granted and store them centrally.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a shorter version for visitors and a full version for staff and vendors.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Vendors' engineers work on site without any signed agreement because the company contract is assumed to cover them.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GV.RR-04: Cybersecurity is included in human resources practices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GV.SC-05: Requirements to address supply chain risks are established, prioritized, and integrated into contracts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A.6.6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PS-6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GV-STD-001: Human Resources Security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GV-FRM-002  |  Confidentiality and Non-Disclosure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