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Vendor Security Assessment Questionnaire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GV-FRM-006  |  Form  |  Cybersecurity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Vendor Security Assessment Questionnaire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Supply Chain Risk Management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 and 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Third Party,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questionnaire collects evidence of a supplier's security and privacy controls so that risk can be assessed before contract and at reassessment.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(GV-PRC-008)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Governance and certification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policy, responsible person, ISO/IEC 27001 or SOC 2 scope and date.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location, encryption at rest and in transit, retention, deletion.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control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MFA, privileged access management, access reviews for staff who access customer data.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Vulnerability and patch management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Scan frequency, patch timelines, penetration tests.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development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development practices, software bill of materials (SBOM) availability.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Logging and monitoring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Log retention and 24x7 monitoring.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response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Notification time to customers, contact point, history of breaches in the last 3 years.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Recovery time objective (RTO), recovery point objective (RPO), and last DR test date.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Sub-processors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and locations.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Staff security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Screening, NDA, training.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Ask for evidence (reports, screenshots, certificates) rather than yes or no answers for Tier 1 suppliers.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a recognized question set, such as the Shared Assessments SIG Lite or the Cloud Security Alliance CAIQ, to reduce supplier effort.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Sending a 300-question form to a low-risk supplier.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GV.SC-06: Planning and due diligence are performed to reduce risks before entering supplier relationships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GV.SC-07: Supplier risks are understood, recorded, prioritized, assessed, responded to, and monitored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ID.RA-10: Critical suppliers are assessed prior to acquisition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A.5.19, Annex A.5.21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SR-6, 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 and 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GV-PRC-008: Third-Party Risk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GV-FRM-006  |  Vendor Security Assessment Questionnaire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