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Calibri" w:hAnsi="Calibri" w:cs="Calibri" w:eastAsia="Calibri"/>
          <w:b/>
          <w:i w:val="0"/>
          <w:color w:val="595959"/>
          <w:sz w:val="23"/>
          <w:szCs w:val="23"/>
          <w:bCs/>
        </w:rPr>
        <w:t>[Organization Name]</w:t>
      </w:r>
    </w:p>
    <w:p>
      <w:pPr>
        <w:pStyle w:val="Heading1"/>
        <w:keepNext/>
        <w:spacing w:before="200" w:after="80"/>
      </w:pPr>
      <w:r>
        <w:rPr>
          <w:rFonts w:ascii="Calibri" w:hAnsi="Calibri" w:cs="Calibri" w:eastAsia="Calibri"/>
          <w:b/>
          <w:i w:val="0"/>
          <w:color w:val="1F3864"/>
          <w:sz w:val="39"/>
          <w:szCs w:val="39"/>
          <w:bCs/>
        </w:rPr>
        <w:t>Supplier Security Requirements Standard</w:t>
      </w:r>
    </w:p>
    <w:p>
      <w:pPr>
        <w:spacing w:after="80" w:before="0"/>
      </w:pPr>
      <w:r>
        <w:rPr>
          <w:rFonts w:ascii="Calibri" w:hAnsi="Calibri" w:cs="Calibri" w:eastAsia="Calibri"/>
          <w:b w:val="0"/>
          <w:i w:val="0"/>
          <w:color w:val="595959"/>
          <w:sz w:val="18"/>
          <w:szCs w:val="18"/>
        </w:rPr>
        <w:t>GV-STD-002  |  Standard  |  Cybersecurity Supply Chain Risk Management (GV.SC)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color w:val="1F3864"/>
                <w:sz w:val="18"/>
                <w:szCs w:val="18"/>
                <w:bCs/>
              </w:rPr>
              <w:t xml:space="preserve">How to Use This Template: </w:t>
            </w:r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Replace text in square brackets with your organization's details. Keep every Part A section, because each one is a minimum requirement. Use Part B to raise maturity. Delete the blue requirement boxes and this note before you issue the document. This template is a sample and is not legal advice; confirm items marked [VERIFY] with current Thai regulations before use.</w:t>
            </w:r>
          </w:p>
        </w:tc>
      </w:tr>
    </w:tbl>
    <w:p>
      <w:pPr>
        <w:spacing w:after="0"/>
      </w:pPr>
    </w:p>
    <w:p>
      <w:pPr>
        <w:pStyle w:val="Heading1"/>
        <w:keepNext/>
        <w:spacing w:before="200" w:after="80"/>
      </w:pPr>
      <w:r>
        <w:rPr>
          <w:rFonts w:ascii="Calibri" w:hAnsi="Calibri" w:cs="Calibri" w:eastAsia="Calibri"/>
          <w:b/>
          <w:i w:val="0"/>
          <w:color w:val="1F3864"/>
          <w:sz w:val="29"/>
          <w:szCs w:val="29"/>
          <w:bCs/>
        </w:rPr>
        <w:t>1. Document Control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2835"/>
        <w:gridCol w:w="6520"/>
      </w:tblGrid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Document ID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GV-STD-002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Title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Supplier Security Requirements Standard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Version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1.0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Status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Template (not approved)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Classification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Internal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Document Owner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Chief Information Security Officer (CISO) or Security Manager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Approver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Chief Information Officer (CIO)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Effective Date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[DD Month YYYY]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Review Cycle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Annual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Next Review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[DD Month YYYY]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00" w:after="80"/>
      </w:pPr>
      <w:r>
        <w:rPr>
          <w:rFonts w:ascii="Calibri" w:hAnsi="Calibri" w:cs="Calibri" w:eastAsia="Calibri"/>
          <w:b/>
          <w:i w:val="0"/>
          <w:color w:val="1F3864"/>
          <w:sz w:val="29"/>
          <w:szCs w:val="29"/>
          <w:bCs/>
        </w:rPr>
        <w:t>2. Document Profile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2835"/>
        <w:gridCol w:w="6520"/>
      </w:tblGrid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Tier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Tier 2: Standard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Document Type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Standard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CSF Function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Govern (GV)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CSF Category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Cybersecurity Supply Chain Risk Management (GV.SC)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Level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Expected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Trigger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All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Basis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ISO/IEC 27001:2022 Annex A 5.20; PDPA s.40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ISO/IEC 27002 theme and tags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Organizational (A.5); tags: Process, Third Party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Package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Core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00" w:after="80"/>
      </w:pPr>
      <w:r>
        <w:rPr>
          <w:rFonts w:ascii="Calibri" w:hAnsi="Calibri" w:cs="Calibri" w:eastAsia="Calibri"/>
          <w:b/>
          <w:i w:val="0"/>
          <w:color w:val="1F3864"/>
          <w:sz w:val="29"/>
          <w:szCs w:val="29"/>
          <w:bCs/>
        </w:rPr>
        <w:t>3. Revision History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07"/>
        <w:gridCol w:w="1587"/>
        <w:gridCol w:w="3742"/>
        <w:gridCol w:w="1587"/>
        <w:gridCol w:w="1530"/>
      </w:tblGrid>
      <w:tr>
        <w:trPr>
          <w:tblHeader w:val="true"/>
        </w:trPr>
        <w:tc>
          <w:tcPr>
            <w:tcW w:type="dxa" w:w="907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Version</w:t>
            </w:r>
          </w:p>
        </w:tc>
        <w:tc>
          <w:tcPr>
            <w:tcW w:type="dxa" w:w="1587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Date</w:t>
            </w:r>
          </w:p>
        </w:tc>
        <w:tc>
          <w:tcPr>
            <w:tcW w:type="dxa" w:w="3742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Description of Change</w:t>
            </w:r>
          </w:p>
        </w:tc>
        <w:tc>
          <w:tcPr>
            <w:tcW w:type="dxa" w:w="1587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Prepared By</w:t>
            </w:r>
          </w:p>
        </w:tc>
        <w:tc>
          <w:tcPr>
            <w:tcW w:type="dxa" w:w="1531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Approved By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1.0</w:t>
            </w:r>
          </w:p>
        </w:tc>
        <w:tc>
          <w:tcPr>
            <w:tcW w:type="dxa" w:w="1587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[DD Month YYYY]</w:t>
            </w:r>
          </w:p>
        </w:tc>
        <w:tc>
          <w:tcPr>
            <w:tcW w:type="dxa" w:w="3742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Initial release</w:t>
            </w:r>
          </w:p>
        </w:tc>
        <w:tc>
          <w:tcPr>
            <w:tcW w:type="dxa" w:w="1587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[Name, Role]</w:t>
            </w:r>
          </w:p>
        </w:tc>
        <w:tc>
          <w:tcPr>
            <w:tcW w:type="dxa" w:w="1531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[Name, Role]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00" w:after="80"/>
      </w:pPr>
      <w:r>
        <w:rPr>
          <w:rFonts w:ascii="Calibri" w:hAnsi="Calibri" w:cs="Calibri" w:eastAsia="Calibri"/>
          <w:b/>
          <w:i w:val="0"/>
          <w:color w:val="1F3864"/>
          <w:sz w:val="29"/>
          <w:szCs w:val="29"/>
          <w:bCs/>
        </w:rPr>
        <w:t>4. Part A: Requirement Fields</w:t>
      </w:r>
    </w:p>
    <w:p>
      <w:pPr>
        <w:pStyle w:val="Heading2"/>
        <w:keepNext/>
        <w:spacing w:before="120" w:after="80"/>
      </w:pPr>
      <w:r>
        <w:rPr>
          <w:rFonts w:ascii="Calibri" w:hAnsi="Calibri" w:cs="Calibri" w:eastAsia="Calibri"/>
          <w:b/>
          <w:i w:val="0"/>
          <w:color w:val="1F3864"/>
          <w:sz w:val="24"/>
          <w:szCs w:val="24"/>
          <w:bCs/>
        </w:rPr>
        <w:t>4.1 Purpose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color w:val="1F3864"/>
                <w:sz w:val="18"/>
                <w:szCs w:val="18"/>
                <w:bCs/>
              </w:rPr>
              <w:t xml:space="preserve">Requirement: </w:t>
            </w:r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State why the document exists and the outcome it supports.</w:t>
            </w:r>
          </w:p>
        </w:tc>
      </w:tr>
    </w:tbl>
    <w:p>
      <w:pPr>
        <w:spacing w:after="0"/>
      </w:pPr>
    </w:p>
    <w:p>
      <w:pPr>
        <w:spacing w:after="40" w:before="0"/>
      </w:pPr>
      <w:r>
        <w:rPr>
          <w:rFonts w:ascii="Calibri" w:hAnsi="Calibri" w:cs="Calibri" w:eastAsia="Calibri"/>
          <w:b w:val="0"/>
          <w:i/>
          <w:color w:val="595959"/>
          <w:sz w:val="18"/>
          <w:szCs w:val="18"/>
        </w:rPr>
        <w:t>Sample content</w:t>
      </w:r>
    </w:p>
    <w:p>
      <w:pPr>
        <w:spacing w:after="80" w:before="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This standard sets the security and privacy clauses that contracts must contain, scaled by supplier tier, so requirements are enforceable (GV.SC-05).</w:t>
      </w:r>
    </w:p>
    <w:p>
      <w:pPr>
        <w:pStyle w:val="Heading2"/>
        <w:keepNext/>
        <w:spacing w:before="120" w:after="80"/>
      </w:pPr>
      <w:r>
        <w:rPr>
          <w:rFonts w:ascii="Calibri" w:hAnsi="Calibri" w:cs="Calibri" w:eastAsia="Calibri"/>
          <w:b/>
          <w:i w:val="0"/>
          <w:color w:val="1F3864"/>
          <w:sz w:val="24"/>
          <w:szCs w:val="24"/>
          <w:bCs/>
        </w:rPr>
        <w:t>4.2 Scope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color w:val="1F3864"/>
                <w:sz w:val="18"/>
                <w:szCs w:val="18"/>
                <w:bCs/>
              </w:rPr>
              <w:t xml:space="preserve">Requirement: </w:t>
            </w:r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Define the units, people, systems, locations, and third parties covered, and state any exclusions.</w:t>
            </w:r>
          </w:p>
        </w:tc>
      </w:tr>
    </w:tbl>
    <w:p>
      <w:pPr>
        <w:spacing w:after="0"/>
      </w:pPr>
    </w:p>
    <w:p>
      <w:pPr>
        <w:spacing w:after="40" w:before="0"/>
      </w:pPr>
      <w:r>
        <w:rPr>
          <w:rFonts w:ascii="Calibri" w:hAnsi="Calibri" w:cs="Calibri" w:eastAsia="Calibri"/>
          <w:b w:val="0"/>
          <w:i/>
          <w:color w:val="595959"/>
          <w:sz w:val="18"/>
          <w:szCs w:val="18"/>
        </w:rPr>
        <w:t>Sample content</w:t>
      </w:r>
    </w:p>
    <w:p>
      <w:pPr>
        <w:spacing w:after="80" w:before="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This standard applies to all employees, contractors, temporary staff, and third parties who access [Organization Name] information or information systems, at all sites, including cloud services operated on behalf of [Organization Name].</w:t>
      </w:r>
    </w:p>
    <w:p>
      <w:pPr>
        <w:pStyle w:val="Heading2"/>
        <w:keepNext/>
        <w:spacing w:before="120" w:after="80"/>
      </w:pPr>
      <w:r>
        <w:rPr>
          <w:rFonts w:ascii="Calibri" w:hAnsi="Calibri" w:cs="Calibri" w:eastAsia="Calibri"/>
          <w:b/>
          <w:i w:val="0"/>
          <w:color w:val="1F3864"/>
          <w:sz w:val="24"/>
          <w:szCs w:val="24"/>
          <w:bCs/>
        </w:rPr>
        <w:t>4.3 Contract Requirements by Tier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color w:val="1F3864"/>
                <w:sz w:val="18"/>
                <w:szCs w:val="18"/>
                <w:bCs/>
              </w:rPr>
              <w:t xml:space="preserve">Requirement: </w:t>
            </w:r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List required clauses and the tiers to which they apply.</w:t>
            </w:r>
          </w:p>
        </w:tc>
      </w:tr>
    </w:tbl>
    <w:p>
      <w:pPr>
        <w:spacing w:after="0"/>
      </w:pPr>
    </w:p>
    <w:p>
      <w:pPr>
        <w:spacing w:after="40" w:before="0"/>
      </w:pPr>
      <w:r>
        <w:rPr>
          <w:rFonts w:ascii="Calibri" w:hAnsi="Calibri" w:cs="Calibri" w:eastAsia="Calibri"/>
          <w:b w:val="0"/>
          <w:i/>
          <w:color w:val="595959"/>
          <w:sz w:val="18"/>
          <w:szCs w:val="18"/>
        </w:rPr>
        <w:t>Sample content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850"/>
        <w:gridCol w:w="4819"/>
        <w:gridCol w:w="1247"/>
        <w:gridCol w:w="1247"/>
        <w:gridCol w:w="1190"/>
      </w:tblGrid>
      <w:tr>
        <w:trPr>
          <w:tblHeader w:val="true"/>
        </w:trPr>
        <w:tc>
          <w:tcPr>
            <w:tcW w:type="dxa" w:w="850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ID</w:t>
            </w:r>
          </w:p>
        </w:tc>
        <w:tc>
          <w:tcPr>
            <w:tcW w:type="dxa" w:w="4819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Clause</w:t>
            </w:r>
          </w:p>
        </w:tc>
        <w:tc>
          <w:tcPr>
            <w:tcW w:type="dxa" w:w="1247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Tier 1</w:t>
            </w:r>
          </w:p>
        </w:tc>
        <w:tc>
          <w:tcPr>
            <w:tcW w:type="dxa" w:w="1247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Tier 2</w:t>
            </w:r>
          </w:p>
        </w:tc>
        <w:tc>
          <w:tcPr>
            <w:tcW w:type="dxa" w:w="1191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Tier 3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SC-01</w:t>
            </w:r>
          </w:p>
        </w:tc>
        <w:tc>
          <w:tcPr>
            <w:tcW w:type="dxa" w:w="4819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Compliance with [Organization Name] security policies and applicable law</w:t>
            </w:r>
          </w:p>
        </w:tc>
        <w:tc>
          <w:tcPr>
            <w:tcW w:type="dxa" w:w="1247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Yes</w:t>
            </w:r>
          </w:p>
        </w:tc>
        <w:tc>
          <w:tcPr>
            <w:tcW w:type="dxa" w:w="1247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Yes</w:t>
            </w:r>
          </w:p>
        </w:tc>
        <w:tc>
          <w:tcPr>
            <w:tcW w:type="dxa" w:w="1191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Yes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SC-02</w:t>
            </w:r>
          </w:p>
        </w:tc>
        <w:tc>
          <w:tcPr>
            <w:tcW w:type="dxa" w:w="4819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Confidentiality and data processing agreement (GV-TPL-004) where personal data is processed</w:t>
            </w:r>
          </w:p>
        </w:tc>
        <w:tc>
          <w:tcPr>
            <w:tcW w:type="dxa" w:w="1247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Yes</w:t>
            </w:r>
          </w:p>
        </w:tc>
        <w:tc>
          <w:tcPr>
            <w:tcW w:type="dxa" w:w="1247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Yes</w:t>
            </w:r>
          </w:p>
        </w:tc>
        <w:tc>
          <w:tcPr>
            <w:tcW w:type="dxa" w:w="1191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If applicable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SC-03</w:t>
            </w:r>
          </w:p>
        </w:tc>
        <w:tc>
          <w:tcPr>
            <w:tcW w:type="dxa" w:w="4819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Incident notification within 24 hours of awareness and cooperation in investigation</w:t>
            </w:r>
          </w:p>
        </w:tc>
        <w:tc>
          <w:tcPr>
            <w:tcW w:type="dxa" w:w="1247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Yes</w:t>
            </w:r>
          </w:p>
        </w:tc>
        <w:tc>
          <w:tcPr>
            <w:tcW w:type="dxa" w:w="1247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Yes</w:t>
            </w:r>
          </w:p>
        </w:tc>
        <w:tc>
          <w:tcPr>
            <w:tcW w:type="dxa" w:w="1191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No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SC-04</w:t>
            </w:r>
          </w:p>
        </w:tc>
        <w:tc>
          <w:tcPr>
            <w:tcW w:type="dxa" w:w="4819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Right to audit or to receive independent assurance reports each year</w:t>
            </w:r>
          </w:p>
        </w:tc>
        <w:tc>
          <w:tcPr>
            <w:tcW w:type="dxa" w:w="1247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Yes</w:t>
            </w:r>
          </w:p>
        </w:tc>
        <w:tc>
          <w:tcPr>
            <w:tcW w:type="dxa" w:w="1247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On request</w:t>
            </w:r>
          </w:p>
        </w:tc>
        <w:tc>
          <w:tcPr>
            <w:tcW w:type="dxa" w:w="1191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No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SC-05</w:t>
            </w:r>
          </w:p>
        </w:tc>
        <w:tc>
          <w:tcPr>
            <w:tcW w:type="dxa" w:w="4819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Named personnel, background checks, and MFA for any access</w:t>
            </w:r>
          </w:p>
        </w:tc>
        <w:tc>
          <w:tcPr>
            <w:tcW w:type="dxa" w:w="1247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Yes</w:t>
            </w:r>
          </w:p>
        </w:tc>
        <w:tc>
          <w:tcPr>
            <w:tcW w:type="dxa" w:w="1247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Yes</w:t>
            </w:r>
          </w:p>
        </w:tc>
        <w:tc>
          <w:tcPr>
            <w:tcW w:type="dxa" w:w="1191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No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SC-06</w:t>
            </w:r>
          </w:p>
        </w:tc>
        <w:tc>
          <w:tcPr>
            <w:tcW w:type="dxa" w:w="4819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Vulnerability and patch timelines for supplied products</w:t>
            </w:r>
          </w:p>
        </w:tc>
        <w:tc>
          <w:tcPr>
            <w:tcW w:type="dxa" w:w="1247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Yes</w:t>
            </w:r>
          </w:p>
        </w:tc>
        <w:tc>
          <w:tcPr>
            <w:tcW w:type="dxa" w:w="1247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Yes</w:t>
            </w:r>
          </w:p>
        </w:tc>
        <w:tc>
          <w:tcPr>
            <w:tcW w:type="dxa" w:w="1191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No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SC-07</w:t>
            </w:r>
          </w:p>
        </w:tc>
        <w:tc>
          <w:tcPr>
            <w:tcW w:type="dxa" w:w="4819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Participation in incident response and continuity exercises (GV.SC-08)</w:t>
            </w:r>
          </w:p>
        </w:tc>
        <w:tc>
          <w:tcPr>
            <w:tcW w:type="dxa" w:w="1247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Yes</w:t>
            </w:r>
          </w:p>
        </w:tc>
        <w:tc>
          <w:tcPr>
            <w:tcW w:type="dxa" w:w="1247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No</w:t>
            </w:r>
          </w:p>
        </w:tc>
        <w:tc>
          <w:tcPr>
            <w:tcW w:type="dxa" w:w="1191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No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SC-08</w:t>
            </w:r>
          </w:p>
        </w:tc>
        <w:tc>
          <w:tcPr>
            <w:tcW w:type="dxa" w:w="4819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Sub-contractor approval and flow-down of requirements</w:t>
            </w:r>
          </w:p>
        </w:tc>
        <w:tc>
          <w:tcPr>
            <w:tcW w:type="dxa" w:w="1247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Yes</w:t>
            </w:r>
          </w:p>
        </w:tc>
        <w:tc>
          <w:tcPr>
            <w:tcW w:type="dxa" w:w="1247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Yes</w:t>
            </w:r>
          </w:p>
        </w:tc>
        <w:tc>
          <w:tcPr>
            <w:tcW w:type="dxa" w:w="1191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No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SC-09</w:t>
            </w:r>
          </w:p>
        </w:tc>
        <w:tc>
          <w:tcPr>
            <w:tcW w:type="dxa" w:w="4819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Return and certified deletion of data at contract end (GV.SC-10)</w:t>
            </w:r>
          </w:p>
        </w:tc>
        <w:tc>
          <w:tcPr>
            <w:tcW w:type="dxa" w:w="1247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Yes</w:t>
            </w:r>
          </w:p>
        </w:tc>
        <w:tc>
          <w:tcPr>
            <w:tcW w:type="dxa" w:w="1247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Yes</w:t>
            </w:r>
          </w:p>
        </w:tc>
        <w:tc>
          <w:tcPr>
            <w:tcW w:type="dxa" w:w="1191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If applicable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SC-10</w:t>
            </w:r>
          </w:p>
        </w:tc>
        <w:tc>
          <w:tcPr>
            <w:tcW w:type="dxa" w:w="4819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Service levels for availability and recovery aligned with the BIA</w:t>
            </w:r>
          </w:p>
        </w:tc>
        <w:tc>
          <w:tcPr>
            <w:tcW w:type="dxa" w:w="1247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Yes</w:t>
            </w:r>
          </w:p>
        </w:tc>
        <w:tc>
          <w:tcPr>
            <w:tcW w:type="dxa" w:w="1247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If critical</w:t>
            </w:r>
          </w:p>
        </w:tc>
        <w:tc>
          <w:tcPr>
            <w:tcW w:type="dxa" w:w="1191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No</w:t>
            </w:r>
          </w:p>
        </w:tc>
      </w:tr>
    </w:tbl>
    <w:p>
      <w:pPr>
        <w:spacing w:after="40"/>
      </w:pPr>
    </w:p>
    <w:p>
      <w:pPr>
        <w:pStyle w:val="Heading2"/>
        <w:keepNext/>
        <w:spacing w:before="120" w:after="80"/>
      </w:pPr>
      <w:r>
        <w:rPr>
          <w:rFonts w:ascii="Calibri" w:hAnsi="Calibri" w:cs="Calibri" w:eastAsia="Calibri"/>
          <w:b/>
          <w:i w:val="0"/>
          <w:color w:val="1F3864"/>
          <w:sz w:val="24"/>
          <w:szCs w:val="24"/>
          <w:bCs/>
        </w:rPr>
        <w:t>4.4 Compliance and Exceptions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color w:val="1F3864"/>
                <w:sz w:val="18"/>
                <w:szCs w:val="18"/>
                <w:bCs/>
              </w:rPr>
              <w:t xml:space="preserve">Requirement: </w:t>
            </w:r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State that compliance is mandatory, how compliance is verified, how exceptions are requested, and the consequence of violation.</w:t>
            </w:r>
          </w:p>
        </w:tc>
      </w:tr>
    </w:tbl>
    <w:p>
      <w:pPr>
        <w:spacing w:after="0"/>
      </w:pPr>
    </w:p>
    <w:p>
      <w:pPr>
        <w:spacing w:after="40" w:before="0"/>
      </w:pPr>
      <w:r>
        <w:rPr>
          <w:rFonts w:ascii="Calibri" w:hAnsi="Calibri" w:cs="Calibri" w:eastAsia="Calibri"/>
          <w:b w:val="0"/>
          <w:i/>
          <w:color w:val="595959"/>
          <w:sz w:val="18"/>
          <w:szCs w:val="18"/>
        </w:rPr>
        <w:t>Sample content</w:t>
      </w:r>
    </w:p>
    <w:p>
      <w:pPr>
        <w:pStyle w:val="ListBullet"/>
        <w:spacing w:after="4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Compliance with this standard is mandatory for everyone in scope.</w:t>
      </w:r>
    </w:p>
    <w:p>
      <w:pPr>
        <w:pStyle w:val="ListBullet"/>
        <w:spacing w:after="4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The Chief Information Security Officer (CISO) or Security Manager verifies compliance through periodic reviews, technical checks, and internal audit (GV-PRC-007).</w:t>
      </w:r>
    </w:p>
    <w:p>
      <w:pPr>
        <w:pStyle w:val="ListBullet"/>
        <w:spacing w:after="4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Requests for deviation follow the Policy Exception Management Procedure (GV-PRC-003). No exception is valid without written approval and an expiry date.</w:t>
      </w:r>
    </w:p>
    <w:p>
      <w:pPr>
        <w:pStyle w:val="ListBullet"/>
        <w:spacing w:after="4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Violations may result in disciplinary action under the Human Resources Security Standard (GV-STD-001) and applicable law.</w:t>
      </w:r>
    </w:p>
    <w:p>
      <w:pPr>
        <w:pStyle w:val="Heading1"/>
        <w:keepNext/>
        <w:spacing w:before="200" w:after="80"/>
      </w:pPr>
      <w:r>
        <w:rPr>
          <w:rFonts w:ascii="Calibri" w:hAnsi="Calibri" w:cs="Calibri" w:eastAsia="Calibri"/>
          <w:b/>
          <w:i w:val="0"/>
          <w:color w:val="1F3864"/>
          <w:sz w:val="29"/>
          <w:szCs w:val="29"/>
          <w:bCs/>
        </w:rPr>
        <w:t>5. Part B: Best Practice</w:t>
      </w:r>
    </w:p>
    <w:p>
      <w:pPr>
        <w:pStyle w:val="ListBullet"/>
        <w:spacing w:after="4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Create a standard security schedule that Legal attaches to every contract, rather than negotiating clauses one by one.</w:t>
      </w:r>
    </w:p>
    <w:p>
      <w:pPr>
        <w:pStyle w:val="ListBullet"/>
        <w:spacing w:after="4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Align incident notice periods with your own legal deadlines (72 hours to the PDPC; 24 hours for CII reporting).</w:t>
      </w:r>
    </w:p>
    <w:p>
      <w:pPr>
        <w:pStyle w:val="ListBullet"/>
        <w:spacing w:after="4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Add security requirements at renewal for legacy contracts that lack them.</w:t>
      </w:r>
    </w:p>
    <w:p>
      <w:pPr>
        <w:pStyle w:val="Heading2"/>
        <w:keepNext/>
        <w:spacing w:before="120" w:after="80"/>
      </w:pPr>
      <w:r>
        <w:rPr>
          <w:rFonts w:ascii="Calibri" w:hAnsi="Calibri" w:cs="Calibri" w:eastAsia="Calibri"/>
          <w:b/>
          <w:i w:val="0"/>
          <w:color w:val="1F3864"/>
          <w:sz w:val="24"/>
          <w:szCs w:val="24"/>
          <w:bCs/>
        </w:rPr>
        <w:t>Common Mistakes to Avoid</w:t>
      </w:r>
    </w:p>
    <w:p>
      <w:pPr>
        <w:pStyle w:val="ListBullet"/>
        <w:spacing w:after="4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Signing multi-year vendor contracts with no right to audit and no incident notice clause.</w:t>
      </w:r>
    </w:p>
    <w:p>
      <w:pPr>
        <w:pStyle w:val="Heading1"/>
        <w:keepNext/>
        <w:spacing w:before="200" w:after="80"/>
      </w:pPr>
      <w:r>
        <w:rPr>
          <w:rFonts w:ascii="Calibri" w:hAnsi="Calibri" w:cs="Calibri" w:eastAsia="Calibri"/>
          <w:b/>
          <w:i w:val="0"/>
          <w:color w:val="1F3864"/>
          <w:sz w:val="29"/>
          <w:szCs w:val="29"/>
          <w:bCs/>
        </w:rPr>
        <w:t>6. Annex: Traceability and Related Documents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2835"/>
        <w:gridCol w:w="6520"/>
      </w:tblGrid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NIST CSF 2.0 Subcategories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GV.SC-05: Requirements to address supply chain risks are established, prioritized, and integrated into contracts</w:t>
            </w:r>
          </w:p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GV.SC-08: Relevant suppliers are included in incident planning, response, and recovery activities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ISO/IEC 27001:2022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Annex A.5.20, Annex A.5.21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NIST SP 800-53 Rev. 5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SA-4, SA-9, SR-5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Legal, Regulatory, and Other References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ISO/IEC 27001:2022 Annex A 5.20; PDPA s.40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Parent Documents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GV-POL-006: Third-Party and Supply Chain Security Policy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Child Documents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GV-TPL-004: Data Processing Agreement Template</w:t>
            </w:r>
          </w:p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DE-GDL-001: Managed Security Service Provider (MSSP) Requirements Guideline</w:t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247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ascii="Calibri" w:hAnsi="Calibri" w:cs="Calibri" w:eastAsia="Calibri"/>
        <w:b w:val="0"/>
        <w:i w:val="0"/>
        <w:color w:val="595959"/>
        <w:sz w:val="16"/>
        <w:szCs w:val="16"/>
      </w:rPr>
      <w:t xml:space="preserve">Classification: Internal    Page </w:t>
    </w:r>
    <w:r>
      <w:rPr>
        <w:rFonts w:ascii="Calibri" w:hAnsi="Calibri" w:cs="Calibri" w:eastAsia="Calibri"/>
        <w:color w:val="595959"/>
        <w:sz w:val="16"/>
        <w:szCs w:val="16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Calibri" w:hAnsi="Calibri" w:cs="Calibri" w:eastAsia="Calibri"/>
        <w:b w:val="0"/>
        <w:i w:val="0"/>
        <w:color w:val="595959"/>
        <w:sz w:val="16"/>
        <w:szCs w:val="16"/>
      </w:rPr>
      <w:t>[Organization Name]  |  GV-STD-002  |  Supplier Security Requirements Standard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