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Inventory and Data Flow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ID-REG-003  |  Register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Inventory and Data Flow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 and 5.12; supports PDPA s.39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records important data sets, where they are stored, their classification, owners, and how data flows between systems and parties (ID.AM-03, ID.AM-07).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(ID-STD-001)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set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Description.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Classification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PR-STD-004.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Personal data (ROPA link)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ROPA ID if personal data.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Storage location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and location.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Flows to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or parties receiving the data and method.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Protection in transit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Encryption method.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set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set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Classification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Personal data (ROPA link)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owner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Storage location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Flows to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Protection in transit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DATA-001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Draw a data flow diagram for each critical system and keep it with the register.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the same identifiers as the ROPA so privacy and security views stay aligned.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Ignoring unstructured data in file shares and email, where much sensitive data actually sits.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ID.AM-03: Representations of authorized network communication and data flows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ID.AM-07: Inventories of data and corresponding metadata for designated data types are maintained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A.5.9, Annex A.5.12, Annex A.5.14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PM-5(1), CM-12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 and 5.12; supports PDPA s.39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ID-REG-003  |  Data Inventory and Data Flow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