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Penetration Test Authorization and Rules of Engagement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ID-FRM-002  |  Form  |  Risk Assessment (ID.RA)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ID-FRM-002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Penetration Test Authorization and Rules of Engagement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Identify (ID)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Assessment (ID.RA)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Computer Crime Act B.E. 2550 s.5 and s.7 (written authorization separates testing from unauthorized access)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Process, Evidence, Legal and Regulatory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form authorizes a penetration test in writing and defines the rules of engagement, protecting the organization and testers and separating authorized testing from offenses under the Computer Crime Act B.E. 2550.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form is used by the units and roles named in its parent document (ID-PRC-003)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Form Fields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every field the requester or approver must complete, with a clear description, so the form is complete and auditable.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Field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Entry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Test name and reference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Engagement reference.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 example: PT-2026-01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Testing organization and testers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Company, named testers, source IP addresses.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In-scope targets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Systems, URLs, IP ranges.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Out-of-scope targets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Systems that must not be tested.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Test window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Dates and hours.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Permitted and prohibited techniques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 example, no denial of service, no social engineering unless approved.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handling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How test data and findings are protected and destroyed.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Emergency contacts and stop procedure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Who to call and when to stop.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Approval and Sign-off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 who reviewed and approved the form, with name, date, and signature or electronic approval.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Role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Name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Signature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 Owner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Get written approval from the system owner and, for hosted systems, from the hosting provider.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Starting tests on verbal approval, exposing testers to legal risk.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ID.RA-01: Vulnerabilities in assets are identified, validated, and recorded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A.8.29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CA-8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Computer Crime Act B.E. 2550 s.5 and s.7 (written authorization separates testing from unauthorized access)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ID-PRC-003: Penetration Testing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ID-FRM-002  |  Penetration Test Authorization and Rules of Engagement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