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Risk Treatment Plan</w:t>
      </w:r>
    </w:p>
    <w:p>
      <w:pPr>
        <w:spacing w:after="80" w:before="0"/>
      </w:pPr>
      <w:r>
        <w:rPr>
          <w:rFonts w:ascii="Calibri" w:hAnsi="Calibri" w:cs="Calibri" w:eastAsia="Calibri"/>
          <w:b w:val="0"/>
          <w:i w:val="0"/>
          <w:color w:val="595959"/>
          <w:sz w:val="18"/>
          <w:szCs w:val="18"/>
        </w:rPr>
        <w:t>ID-PLN-001  |  Plan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ID-PLN-001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Risk Treatment Plan</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6.1.3(e) and 8.3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sets out the actions chosen to treat each risk, with owners, resources, dates, and target residual risk, and tracks progress (ID.RA-06; ISO/IEC 27001:2022 Clause 6.1.3(e) and 8.3).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[Organization Name].</w:t>
      </w:r>
    </w:p>
    <w:p>
      <w:pPr>
        <w:pStyle w:val="Heading2"/>
        <w:keepNext/>
        <w:spacing w:before="120" w:after="80"/>
      </w:pPr>
      <w:r>
        <w:rPr>
          <w:rFonts w:ascii="Calibri" w:hAnsi="Calibri" w:cs="Calibri" w:eastAsia="Calibri"/>
          <w:b/>
          <w:i w:val="0"/>
          <w:color w:val="1F3864"/>
          <w:sz w:val="24"/>
          <w:szCs w:val="24"/>
          <w:bCs/>
        </w:rPr>
        <w:t>4.3 Treatment Actions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each action with linked risk, owner, resources, dates, and target.</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169"/>
        <w:gridCol w:w="1169"/>
        <w:gridCol w:w="1169"/>
        <w:gridCol w:w="1169"/>
        <w:gridCol w:w="1169"/>
        <w:gridCol w:w="1169"/>
        <w:gridCol w:w="1169"/>
        <w:gridCol w:w="1169"/>
      </w:tblGrid>
      <w:tr>
        <w:trPr>
          <w:tblHeader w:val="true"/>
        </w:trPr>
        <w:tc>
          <w:tcPr>
            <w:tcW w:type="dxa" w:w="1169"/>
            <w:shd w:val="clear" w:color="auto" w:fill="1F3864"/>
          </w:tcPr>
          <w:p>
            <w:r/>
            <w:r>
              <w:rPr>
                <w:rFonts w:ascii="Calibri" w:hAnsi="Calibri" w:cs="Calibri" w:eastAsia="Calibri"/>
                <w:b/>
                <w:i w:val="0"/>
                <w:color w:val="FFFFFF"/>
                <w:sz w:val="16"/>
                <w:szCs w:val="16"/>
                <w:bCs/>
              </w:rPr>
              <w:t>Plan ID</w:t>
            </w:r>
          </w:p>
        </w:tc>
        <w:tc>
          <w:tcPr>
            <w:tcW w:type="dxa" w:w="1169"/>
            <w:shd w:val="clear" w:color="auto" w:fill="1F3864"/>
          </w:tcPr>
          <w:p>
            <w:r/>
            <w:r>
              <w:rPr>
                <w:rFonts w:ascii="Calibri" w:hAnsi="Calibri" w:cs="Calibri" w:eastAsia="Calibri"/>
                <w:b/>
                <w:i w:val="0"/>
                <w:color w:val="FFFFFF"/>
                <w:sz w:val="16"/>
                <w:szCs w:val="16"/>
                <w:bCs/>
              </w:rPr>
              <w:t>Risk ID</w:t>
            </w:r>
          </w:p>
        </w:tc>
        <w:tc>
          <w:tcPr>
            <w:tcW w:type="dxa" w:w="1169"/>
            <w:shd w:val="clear" w:color="auto" w:fill="1F3864"/>
          </w:tcPr>
          <w:p>
            <w:r/>
            <w:r>
              <w:rPr>
                <w:rFonts w:ascii="Calibri" w:hAnsi="Calibri" w:cs="Calibri" w:eastAsia="Calibri"/>
                <w:b/>
                <w:i w:val="0"/>
                <w:color w:val="FFFFFF"/>
                <w:sz w:val="16"/>
                <w:szCs w:val="16"/>
                <w:bCs/>
              </w:rPr>
              <w:t>Action</w:t>
            </w:r>
          </w:p>
        </w:tc>
        <w:tc>
          <w:tcPr>
            <w:tcW w:type="dxa" w:w="1169"/>
            <w:shd w:val="clear" w:color="auto" w:fill="1F3864"/>
          </w:tcPr>
          <w:p>
            <w:r/>
            <w:r>
              <w:rPr>
                <w:rFonts w:ascii="Calibri" w:hAnsi="Calibri" w:cs="Calibri" w:eastAsia="Calibri"/>
                <w:b/>
                <w:i w:val="0"/>
                <w:color w:val="FFFFFF"/>
                <w:sz w:val="16"/>
                <w:szCs w:val="16"/>
                <w:bCs/>
              </w:rPr>
              <w:t>Owner</w:t>
            </w:r>
          </w:p>
        </w:tc>
        <w:tc>
          <w:tcPr>
            <w:tcW w:type="dxa" w:w="1169"/>
            <w:shd w:val="clear" w:color="auto" w:fill="1F3864"/>
          </w:tcPr>
          <w:p>
            <w:r/>
            <w:r>
              <w:rPr>
                <w:rFonts w:ascii="Calibri" w:hAnsi="Calibri" w:cs="Calibri" w:eastAsia="Calibri"/>
                <w:b/>
                <w:i w:val="0"/>
                <w:color w:val="FFFFFF"/>
                <w:sz w:val="16"/>
                <w:szCs w:val="16"/>
                <w:bCs/>
              </w:rPr>
              <w:t>Budget</w:t>
            </w:r>
          </w:p>
        </w:tc>
        <w:tc>
          <w:tcPr>
            <w:tcW w:type="dxa" w:w="1169"/>
            <w:shd w:val="clear" w:color="auto" w:fill="1F3864"/>
          </w:tcPr>
          <w:p>
            <w:r/>
            <w:r>
              <w:rPr>
                <w:rFonts w:ascii="Calibri" w:hAnsi="Calibri" w:cs="Calibri" w:eastAsia="Calibri"/>
                <w:b/>
                <w:i w:val="0"/>
                <w:color w:val="FFFFFF"/>
                <w:sz w:val="16"/>
                <w:szCs w:val="16"/>
                <w:bCs/>
              </w:rPr>
              <w:t>Due</w:t>
            </w:r>
          </w:p>
        </w:tc>
        <w:tc>
          <w:tcPr>
            <w:tcW w:type="dxa" w:w="1169"/>
            <w:shd w:val="clear" w:color="auto" w:fill="1F3864"/>
          </w:tcPr>
          <w:p>
            <w:r/>
            <w:r>
              <w:rPr>
                <w:rFonts w:ascii="Calibri" w:hAnsi="Calibri" w:cs="Calibri" w:eastAsia="Calibri"/>
                <w:b/>
                <w:i w:val="0"/>
                <w:color w:val="FFFFFF"/>
                <w:sz w:val="16"/>
                <w:szCs w:val="16"/>
                <w:bCs/>
              </w:rPr>
              <w:t>Target residual</w:t>
            </w:r>
          </w:p>
        </w:tc>
        <w:tc>
          <w:tcPr>
            <w:tcW w:type="dxa" w:w="1169"/>
            <w:shd w:val="clear" w:color="auto" w:fill="1F3864"/>
          </w:tcPr>
          <w:p>
            <w:r/>
            <w:r>
              <w:rPr>
                <w:rFonts w:ascii="Calibri" w:hAnsi="Calibri" w:cs="Calibri" w:eastAsia="Calibri"/>
                <w:b/>
                <w:i w:val="0"/>
                <w:color w:val="FFFFFF"/>
                <w:sz w:val="16"/>
                <w:szCs w:val="16"/>
                <w:bCs/>
              </w:rPr>
              <w:t>Status</w:t>
            </w:r>
          </w:p>
        </w:tc>
      </w:tr>
      <w:tr>
        <w:tc>
          <w:tcPr>
            <w:tcW w:type="dxa" w:w="1169"/>
          </w:tcPr>
          <w:p>
            <w:r/>
            <w:r>
              <w:rPr>
                <w:rFonts w:ascii="Calibri" w:hAnsi="Calibri" w:cs="Calibri" w:eastAsia="Calibri"/>
                <w:b w:val="0"/>
                <w:i w:val="0"/>
                <w:sz w:val="16"/>
                <w:szCs w:val="16"/>
              </w:rPr>
              <w:t>RTP-01</w:t>
            </w:r>
          </w:p>
        </w:tc>
        <w:tc>
          <w:tcPr>
            <w:tcW w:type="dxa" w:w="1169"/>
          </w:tcPr>
          <w:p>
            <w:r/>
            <w:r>
              <w:rPr>
                <w:rFonts w:ascii="Calibri" w:hAnsi="Calibri" w:cs="Calibri" w:eastAsia="Calibri"/>
                <w:b w:val="0"/>
                <w:i w:val="0"/>
                <w:sz w:val="16"/>
                <w:szCs w:val="16"/>
              </w:rPr>
              <w:t>[R-xxx]</w:t>
            </w:r>
          </w:p>
        </w:tc>
        <w:tc>
          <w:tcPr>
            <w:tcW w:type="dxa" w:w="1169"/>
          </w:tcPr>
          <w:p>
            <w:r/>
          </w:p>
        </w:tc>
        <w:tc>
          <w:tcPr>
            <w:tcW w:type="dxa" w:w="1169"/>
          </w:tcPr>
          <w:p>
            <w:r/>
          </w:p>
        </w:tc>
        <w:tc>
          <w:tcPr>
            <w:tcW w:type="dxa" w:w="1169"/>
          </w:tcPr>
          <w:p>
            <w:r/>
          </w:p>
        </w:tc>
        <w:tc>
          <w:tcPr>
            <w:tcW w:type="dxa" w:w="1169"/>
          </w:tcPr>
          <w:p>
            <w:r/>
          </w:p>
        </w:tc>
        <w:tc>
          <w:tcPr>
            <w:tcW w:type="dxa" w:w="1169"/>
          </w:tcPr>
          <w:p>
            <w:r/>
          </w:p>
        </w:tc>
        <w:tc>
          <w:tcPr>
            <w:tcW w:type="dxa" w:w="1169"/>
          </w:tcPr>
          <w:p>
            <w:r/>
          </w:p>
        </w:tc>
      </w:tr>
      <w:tr>
        <w:tc>
          <w:tcPr>
            <w:tcW w:type="dxa" w:w="1169"/>
          </w:tcPr>
          <w:p>
            <w:r/>
            <w:r>
              <w:rPr>
                <w:rFonts w:ascii="Calibri" w:hAnsi="Calibri" w:cs="Calibri" w:eastAsia="Calibri"/>
                <w:b w:val="0"/>
                <w:i w:val="0"/>
                <w:sz w:val="16"/>
                <w:szCs w:val="16"/>
              </w:rPr>
              <w:t>RTP-02</w:t>
            </w:r>
          </w:p>
        </w:tc>
        <w:tc>
          <w:tcPr>
            <w:tcW w:type="dxa" w:w="1169"/>
          </w:tcPr>
          <w:p>
            <w:r/>
            <w:r>
              <w:rPr>
                <w:rFonts w:ascii="Calibri" w:hAnsi="Calibri" w:cs="Calibri" w:eastAsia="Calibri"/>
                <w:b w:val="0"/>
                <w:i w:val="0"/>
                <w:sz w:val="16"/>
                <w:szCs w:val="16"/>
              </w:rPr>
              <w:t>[R-xxx]</w:t>
            </w:r>
          </w:p>
        </w:tc>
        <w:tc>
          <w:tcPr>
            <w:tcW w:type="dxa" w:w="1169"/>
          </w:tcPr>
          <w:p>
            <w:r/>
          </w:p>
        </w:tc>
        <w:tc>
          <w:tcPr>
            <w:tcW w:type="dxa" w:w="1169"/>
          </w:tcPr>
          <w:p>
            <w:r/>
          </w:p>
        </w:tc>
        <w:tc>
          <w:tcPr>
            <w:tcW w:type="dxa" w:w="1169"/>
          </w:tcPr>
          <w:p>
            <w:r/>
          </w:p>
        </w:tc>
        <w:tc>
          <w:tcPr>
            <w:tcW w:type="dxa" w:w="1169"/>
          </w:tcPr>
          <w:p>
            <w:r/>
          </w:p>
        </w:tc>
        <w:tc>
          <w:tcPr>
            <w:tcW w:type="dxa" w:w="1169"/>
          </w:tcPr>
          <w:p>
            <w:r/>
          </w:p>
        </w:tc>
        <w:tc>
          <w:tcPr>
            <w:tcW w:type="dxa" w:w="1169"/>
          </w:tcPr>
          <w:p>
            <w:r/>
          </w:p>
        </w:tc>
      </w:tr>
    </w:tbl>
    <w:p>
      <w:pPr>
        <w:spacing w:after="40"/>
      </w:pPr>
    </w:p>
    <w:p>
      <w:pPr>
        <w:pStyle w:val="Heading2"/>
        <w:keepNext/>
        <w:spacing w:before="120" w:after="80"/>
      </w:pPr>
      <w:r>
        <w:rPr>
          <w:rFonts w:ascii="Calibri" w:hAnsi="Calibri" w:cs="Calibri" w:eastAsia="Calibri"/>
          <w:b/>
          <w:i w:val="0"/>
          <w:color w:val="1F3864"/>
          <w:sz w:val="24"/>
          <w:szCs w:val="24"/>
          <w:bCs/>
        </w:rPr>
        <w:t>4.4 Progress Reporting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progress is reviewed and reported.</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Owners update status monthly. The Chief Information Security Officer (CISO) or Security Manager reports progress, delays, and changes in target dates to the Information Security Steering Committee (ISSC) each quarter. When an action is complete, the Chief Information Security Officer (CISO) or Security Manager re-rates the residual risk and updates ID-REG-005.</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Get risk owner approval of the plan and their acceptance of the remaining residual risk (ISO/IEC 27001:2022 Clause 6.1.3(f)).</w:t>
      </w:r>
    </w:p>
    <w:p>
      <w:pPr>
        <w:pStyle w:val="ListBullet"/>
        <w:spacing w:after="40"/>
      </w:pPr>
      <w:r>
        <w:rPr>
          <w:rFonts w:ascii="Calibri" w:hAnsi="Calibri" w:cs="Calibri" w:eastAsia="Calibri"/>
          <w:b w:val="0"/>
          <w:i w:val="0"/>
          <w:sz w:val="21"/>
          <w:szCs w:val="21"/>
        </w:rPr>
        <w:t>Break large actions into milestones with measurable completion criteria.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Plans with no budget or owner, which never progress.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ID.RA-06: Risk responses are chosen, prioritized, planned, tracked, and communicated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6.1.3, Clause 8.3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PM-4, CA-5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6.1.3(e) and 8.3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ID-REG-005: IT and Cybersecurity Risk Register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ID-PLN-001  |  Risk Treatment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