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Penetration Testing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ID-PRC-003  |  Procedure  | 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Penetration Testing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 and 8.29; CIS Controls v8.1 Control 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governs how penetration tests are planned, authorized, performed, reported, and followed up, so that testing is safe, legal, and effective (ID.RA-01, ID.IM-02).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Testing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frequency, scope, and tester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 internet-facing systems and critical internal systems at least once a year and after major changes.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qualified testers (for example, OSCP, GPEN, CREST) independent of the team that built the system.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a recognized methodology such as OWASP Web Security Testing Guide, PTES, or NIST SP 800-115.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Sign the authorization and rules of engagement (ID-FRM-002) before testing.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steps from scoping to retest.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Define scope, objectives, and test type (black, grey, or white box).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Sign authorization and rules of engagement; notify the SOC and system owners.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Perform testing within the agreed window; stop and escalate if a critical issue or service impact occurs.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Receive the report with findings, evidence, risk ratings, and recommendations.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findings in ID-REG-006 and remediate per ID-STD-002.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Retest to confirm closure.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ID-FRM-002: Penetration Test Authorization and Rules of Engagement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Rotate testing providers every two to three years for a fresh view.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Include an assumed-breach internal test, not only external tests, to measure ransomware resilience.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Testing production clinical systems during peak hours without a stop procedure.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ID.RA-01: Vulnerabilities in assets are identified, validated, and recorded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ID.IM-02: Improvements are identified from security tests and exercises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A.8.8, Annex A.8.29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 and 8.29; CIS Controls v8.1 Control 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ID-STD-002: Vulnerability Scanning and Remediation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ID-FRM-002: Penetration Test Authorization and Rules of Engagement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ID-PRC-003  |  Penetration Testing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