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Vulnerability Disclosure Handling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ID-PRC-005  |  Procedure  |  Risk Assessment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Vulnerability Disclosure Handling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Assessment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Optional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29147 and ISO/IEC 30111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Process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Extended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defines how the organization receives, validates, fixes, and responds to vulnerability reports from external researchers, customers, and suppliers (ID.RA-08).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Disclosure Channel and Policy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Publish a channel and state what reporters can expect.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Publish a dedicated security contact email address and a security.txt file on the website.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Acknowledge reports within 3 working days and give status updates every 14 days.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Do not take legal action against good-faith researchers who follow the policy.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Coordinate public disclosure after a fix is available.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Handling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internal handling steps.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Log the report and acknowledge receipt.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Validate and rate severity; involve the vendor if the issue is in a supplied product.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Remediate through the vulnerability management procedure (ID-PRC-002).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Inform the reporter and agree disclosure timing.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Treat any evidence of exploitation as a security incident (RS-PRC-001).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produced under this document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Follow ISO/IEC 29147 for disclosure and ISO/IEC 30111 for internal handling.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Researchers cannot find a contact, so they disclose publicly.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ID.RA-08: Processes for receiving, analyzing, and responding to vulnerability disclosures are established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RA-5(11)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29147 and ISO/IEC 30111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ID-PRC-002: Vulnerability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ID-PRC-005  |  Vulnerability Disclosure Handling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