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rFonts w:ascii="Calibri" w:hAnsi="Calibri" w:cs="Calibri" w:eastAsia="Calibri"/>
          <w:b/>
          <w:i w:val="0"/>
          <w:color w:val="595959"/>
          <w:sz w:val="23"/>
          <w:szCs w:val="23"/>
          <w:bCs/>
        </w:rPr>
        <w:t>[Organization Name]</w:t>
      </w:r>
    </w:p>
    <w:p>
      <w:pPr>
        <w:pStyle w:val="Heading1"/>
        <w:keepNext/>
        <w:spacing w:before="200" w:after="80"/>
      </w:pPr>
      <w:r>
        <w:rPr>
          <w:rFonts w:ascii="Calibri" w:hAnsi="Calibri" w:cs="Calibri" w:eastAsia="Calibri"/>
          <w:b/>
          <w:i w:val="0"/>
          <w:color w:val="1F3864"/>
          <w:sz w:val="39"/>
          <w:szCs w:val="39"/>
          <w:bCs/>
        </w:rPr>
        <w:t>Access Control Policy</w:t>
      </w:r>
    </w:p>
    <w:p>
      <w:pPr>
        <w:spacing w:after="80" w:before="0"/>
      </w:pPr>
      <w:r>
        <w:rPr>
          <w:rFonts w:ascii="Calibri" w:hAnsi="Calibri" w:cs="Calibri" w:eastAsia="Calibri"/>
          <w:b w:val="0"/>
          <w:i w:val="0"/>
          <w:color w:val="595959"/>
          <w:sz w:val="18"/>
          <w:szCs w:val="18"/>
        </w:rPr>
        <w:t>PR-POL-001  |  Policy  |  Identity Management, Authentication, and Access Control (PR.AA)</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How to Use This Template: </w:t>
            </w:r>
            <w:r>
              <w:rPr>
                <w:rFonts w:ascii="Calibri" w:hAnsi="Calibri" w:cs="Calibri" w:eastAsia="Calibri"/>
                <w:b w:val="0"/>
                <w:i w:val="0"/>
                <w:sz w:val="18"/>
                <w:szCs w:val="18"/>
              </w:rPr>
              <w:t>Replace text in square brackets with your organization's details. Keep every Part A section, because each one is a minimum requirement. Use Part B to raise maturity. Delete the blue requirement boxes and this note before you issue the document. This template is a sample and is not legal advice; confirm items marked [VERIFY] with current Thai regulations before use.</w:t>
            </w:r>
          </w:p>
        </w:tc>
      </w:tr>
    </w:tbl>
    <w:p>
      <w:pPr>
        <w:spacing w:after="0"/>
      </w:pPr>
    </w:p>
    <w:p>
      <w:pPr>
        <w:pStyle w:val="Heading1"/>
        <w:keepNext/>
        <w:spacing w:before="200" w:after="80"/>
      </w:pPr>
      <w:r>
        <w:rPr>
          <w:rFonts w:ascii="Calibri" w:hAnsi="Calibri" w:cs="Calibri" w:eastAsia="Calibri"/>
          <w:b/>
          <w:i w:val="0"/>
          <w:color w:val="1F3864"/>
          <w:sz w:val="29"/>
          <w:szCs w:val="29"/>
          <w:bCs/>
        </w:rPr>
        <w:t>1. Document Control</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Document ID</w:t>
            </w:r>
          </w:p>
        </w:tc>
        <w:tc>
          <w:tcPr>
            <w:tcW w:type="dxa" w:w="6520"/>
          </w:tcPr>
          <w:p>
            <w:r>
              <w:rPr>
                <w:rFonts w:ascii="Calibri" w:hAnsi="Calibri" w:cs="Calibri" w:eastAsia="Calibri"/>
                <w:b w:val="0"/>
                <w:i w:val="0"/>
                <w:sz w:val="18"/>
                <w:szCs w:val="18"/>
              </w:rPr>
              <w:t>PR-POL-001</w:t>
            </w:r>
          </w:p>
        </w:tc>
      </w:tr>
      <w:tr>
        <w:tc>
          <w:tcPr>
            <w:tcW w:type="dxa" w:w="2835"/>
            <w:shd w:val="clear" w:color="auto" w:fill="EAF0F7"/>
          </w:tcPr>
          <w:p>
            <w:r>
              <w:rPr>
                <w:rFonts w:ascii="Calibri" w:hAnsi="Calibri" w:cs="Calibri" w:eastAsia="Calibri"/>
                <w:b/>
                <w:i w:val="0"/>
                <w:sz w:val="18"/>
                <w:szCs w:val="18"/>
                <w:bCs/>
              </w:rPr>
              <w:t>Title</w:t>
            </w:r>
          </w:p>
        </w:tc>
        <w:tc>
          <w:tcPr>
            <w:tcW w:type="dxa" w:w="6520"/>
          </w:tcPr>
          <w:p>
            <w:r>
              <w:rPr>
                <w:rFonts w:ascii="Calibri" w:hAnsi="Calibri" w:cs="Calibri" w:eastAsia="Calibri"/>
                <w:b w:val="0"/>
                <w:i w:val="0"/>
                <w:sz w:val="18"/>
                <w:szCs w:val="18"/>
              </w:rPr>
              <w:t>Access Control Policy</w:t>
            </w:r>
          </w:p>
        </w:tc>
      </w:tr>
      <w:tr>
        <w:tc>
          <w:tcPr>
            <w:tcW w:type="dxa" w:w="2835"/>
            <w:shd w:val="clear" w:color="auto" w:fill="EAF0F7"/>
          </w:tcPr>
          <w:p>
            <w:r>
              <w:rPr>
                <w:rFonts w:ascii="Calibri" w:hAnsi="Calibri" w:cs="Calibri" w:eastAsia="Calibri"/>
                <w:b/>
                <w:i w:val="0"/>
                <w:sz w:val="18"/>
                <w:szCs w:val="18"/>
                <w:bCs/>
              </w:rPr>
              <w:t>Version</w:t>
            </w:r>
          </w:p>
        </w:tc>
        <w:tc>
          <w:tcPr>
            <w:tcW w:type="dxa" w:w="6520"/>
          </w:tcPr>
          <w:p>
            <w:r>
              <w:rPr>
                <w:rFonts w:ascii="Calibri" w:hAnsi="Calibri" w:cs="Calibri" w:eastAsia="Calibri"/>
                <w:b w:val="0"/>
                <w:i w:val="0"/>
                <w:sz w:val="18"/>
                <w:szCs w:val="18"/>
              </w:rPr>
              <w:t>1.0</w:t>
            </w:r>
          </w:p>
        </w:tc>
      </w:tr>
      <w:tr>
        <w:tc>
          <w:tcPr>
            <w:tcW w:type="dxa" w:w="2835"/>
            <w:shd w:val="clear" w:color="auto" w:fill="EAF0F7"/>
          </w:tcPr>
          <w:p>
            <w:r>
              <w:rPr>
                <w:rFonts w:ascii="Calibri" w:hAnsi="Calibri" w:cs="Calibri" w:eastAsia="Calibri"/>
                <w:b/>
                <w:i w:val="0"/>
                <w:sz w:val="18"/>
                <w:szCs w:val="18"/>
                <w:bCs/>
              </w:rPr>
              <w:t>Status</w:t>
            </w:r>
          </w:p>
        </w:tc>
        <w:tc>
          <w:tcPr>
            <w:tcW w:type="dxa" w:w="6520"/>
          </w:tcPr>
          <w:p>
            <w:r>
              <w:rPr>
                <w:rFonts w:ascii="Calibri" w:hAnsi="Calibri" w:cs="Calibri" w:eastAsia="Calibri"/>
                <w:b w:val="0"/>
                <w:i w:val="0"/>
                <w:sz w:val="18"/>
                <w:szCs w:val="18"/>
              </w:rPr>
              <w:t>Template (not approved)</w:t>
            </w:r>
          </w:p>
        </w:tc>
      </w:tr>
      <w:tr>
        <w:tc>
          <w:tcPr>
            <w:tcW w:type="dxa" w:w="2835"/>
            <w:shd w:val="clear" w:color="auto" w:fill="EAF0F7"/>
          </w:tcPr>
          <w:p>
            <w:r>
              <w:rPr>
                <w:rFonts w:ascii="Calibri" w:hAnsi="Calibri" w:cs="Calibri" w:eastAsia="Calibri"/>
                <w:b/>
                <w:i w:val="0"/>
                <w:sz w:val="18"/>
                <w:szCs w:val="18"/>
                <w:bCs/>
              </w:rPr>
              <w:t>Classification</w:t>
            </w:r>
          </w:p>
        </w:tc>
        <w:tc>
          <w:tcPr>
            <w:tcW w:type="dxa" w:w="6520"/>
          </w:tcPr>
          <w:p>
            <w:r>
              <w:rPr>
                <w:rFonts w:ascii="Calibri" w:hAnsi="Calibri" w:cs="Calibri" w:eastAsia="Calibri"/>
                <w:b w:val="0"/>
                <w:i w:val="0"/>
                <w:sz w:val="18"/>
                <w:szCs w:val="18"/>
              </w:rPr>
              <w:t>Internal</w:t>
            </w:r>
          </w:p>
        </w:tc>
      </w:tr>
      <w:tr>
        <w:tc>
          <w:tcPr>
            <w:tcW w:type="dxa" w:w="2835"/>
            <w:shd w:val="clear" w:color="auto" w:fill="EAF0F7"/>
          </w:tcPr>
          <w:p>
            <w:r>
              <w:rPr>
                <w:rFonts w:ascii="Calibri" w:hAnsi="Calibri" w:cs="Calibri" w:eastAsia="Calibri"/>
                <w:b/>
                <w:i w:val="0"/>
                <w:sz w:val="18"/>
                <w:szCs w:val="18"/>
                <w:bCs/>
              </w:rPr>
              <w:t>Document Owner</w:t>
            </w:r>
          </w:p>
        </w:tc>
        <w:tc>
          <w:tcPr>
            <w:tcW w:type="dxa" w:w="6520"/>
          </w:tcPr>
          <w:p>
            <w:r>
              <w:rPr>
                <w:rFonts w:ascii="Calibri" w:hAnsi="Calibri" w:cs="Calibri" w:eastAsia="Calibri"/>
                <w:b w:val="0"/>
                <w:i w:val="0"/>
                <w:sz w:val="18"/>
                <w:szCs w:val="18"/>
              </w:rPr>
              <w:t>Chief Information Security Officer (CISO) or Security Manager</w:t>
            </w:r>
          </w:p>
        </w:tc>
      </w:tr>
      <w:tr>
        <w:tc>
          <w:tcPr>
            <w:tcW w:type="dxa" w:w="2835"/>
            <w:shd w:val="clear" w:color="auto" w:fill="EAF0F7"/>
          </w:tcPr>
          <w:p>
            <w:r>
              <w:rPr>
                <w:rFonts w:ascii="Calibri" w:hAnsi="Calibri" w:cs="Calibri" w:eastAsia="Calibri"/>
                <w:b/>
                <w:i w:val="0"/>
                <w:sz w:val="18"/>
                <w:szCs w:val="18"/>
                <w:bCs/>
              </w:rPr>
              <w:t>Approver</w:t>
            </w:r>
          </w:p>
        </w:tc>
        <w:tc>
          <w:tcPr>
            <w:tcW w:type="dxa" w:w="6520"/>
          </w:tcPr>
          <w:p>
            <w:r>
              <w:rPr>
                <w:rFonts w:ascii="Calibri" w:hAnsi="Calibri" w:cs="Calibri" w:eastAsia="Calibri"/>
                <w:b w:val="0"/>
                <w:i w:val="0"/>
                <w:sz w:val="18"/>
                <w:szCs w:val="18"/>
              </w:rPr>
              <w:t>Chief Executive Officer (CEO)</w:t>
            </w:r>
          </w:p>
        </w:tc>
      </w:tr>
      <w:tr>
        <w:tc>
          <w:tcPr>
            <w:tcW w:type="dxa" w:w="2835"/>
            <w:shd w:val="clear" w:color="auto" w:fill="EAF0F7"/>
          </w:tcPr>
          <w:p>
            <w:r>
              <w:rPr>
                <w:rFonts w:ascii="Calibri" w:hAnsi="Calibri" w:cs="Calibri" w:eastAsia="Calibri"/>
                <w:b/>
                <w:i w:val="0"/>
                <w:sz w:val="18"/>
                <w:szCs w:val="18"/>
                <w:bCs/>
              </w:rPr>
              <w:t>Effective Date</w:t>
            </w:r>
          </w:p>
        </w:tc>
        <w:tc>
          <w:tcPr>
            <w:tcW w:type="dxa" w:w="6520"/>
          </w:tcPr>
          <w:p>
            <w:r>
              <w:rPr>
                <w:rFonts w:ascii="Calibri" w:hAnsi="Calibri" w:cs="Calibri" w:eastAsia="Calibri"/>
                <w:b w:val="0"/>
                <w:i w:val="0"/>
                <w:sz w:val="18"/>
                <w:szCs w:val="18"/>
              </w:rPr>
              <w:t>[DD Month YYYY]</w:t>
            </w:r>
          </w:p>
        </w:tc>
      </w:tr>
      <w:tr>
        <w:tc>
          <w:tcPr>
            <w:tcW w:type="dxa" w:w="2835"/>
            <w:shd w:val="clear" w:color="auto" w:fill="EAF0F7"/>
          </w:tcPr>
          <w:p>
            <w:r>
              <w:rPr>
                <w:rFonts w:ascii="Calibri" w:hAnsi="Calibri" w:cs="Calibri" w:eastAsia="Calibri"/>
                <w:b/>
                <w:i w:val="0"/>
                <w:sz w:val="18"/>
                <w:szCs w:val="18"/>
                <w:bCs/>
              </w:rPr>
              <w:t>Review Cycle</w:t>
            </w:r>
          </w:p>
        </w:tc>
        <w:tc>
          <w:tcPr>
            <w:tcW w:type="dxa" w:w="6520"/>
          </w:tcPr>
          <w:p>
            <w:r>
              <w:rPr>
                <w:rFonts w:ascii="Calibri" w:hAnsi="Calibri" w:cs="Calibri" w:eastAsia="Calibri"/>
                <w:b w:val="0"/>
                <w:i w:val="0"/>
                <w:sz w:val="18"/>
                <w:szCs w:val="18"/>
              </w:rPr>
              <w:t>Annual</w:t>
            </w:r>
          </w:p>
        </w:tc>
      </w:tr>
      <w:tr>
        <w:tc>
          <w:tcPr>
            <w:tcW w:type="dxa" w:w="2835"/>
            <w:shd w:val="clear" w:color="auto" w:fill="EAF0F7"/>
          </w:tcPr>
          <w:p>
            <w:r>
              <w:rPr>
                <w:rFonts w:ascii="Calibri" w:hAnsi="Calibri" w:cs="Calibri" w:eastAsia="Calibri"/>
                <w:b/>
                <w:i w:val="0"/>
                <w:sz w:val="18"/>
                <w:szCs w:val="18"/>
                <w:bCs/>
              </w:rPr>
              <w:t>Next Review</w:t>
            </w:r>
          </w:p>
        </w:tc>
        <w:tc>
          <w:tcPr>
            <w:tcW w:type="dxa" w:w="6520"/>
          </w:tcPr>
          <w:p>
            <w:r>
              <w:rPr>
                <w:rFonts w:ascii="Calibri" w:hAnsi="Calibri" w:cs="Calibri" w:eastAsia="Calibri"/>
                <w:b w:val="0"/>
                <w:i w:val="0"/>
                <w:sz w:val="18"/>
                <w:szCs w:val="18"/>
              </w:rPr>
              <w:t>[DD Month YYYY]</w:t>
            </w:r>
          </w:p>
        </w:tc>
      </w:tr>
    </w:tbl>
    <w:p>
      <w:pPr>
        <w:spacing w:after="40"/>
      </w:pPr>
    </w:p>
    <w:p>
      <w:pPr>
        <w:pStyle w:val="Heading1"/>
        <w:keepNext/>
        <w:spacing w:before="200" w:after="80"/>
      </w:pPr>
      <w:r>
        <w:rPr>
          <w:rFonts w:ascii="Calibri" w:hAnsi="Calibri" w:cs="Calibri" w:eastAsia="Calibri"/>
          <w:b/>
          <w:i w:val="0"/>
          <w:color w:val="1F3864"/>
          <w:sz w:val="29"/>
          <w:szCs w:val="29"/>
          <w:bCs/>
        </w:rPr>
        <w:t>2. Document Profile</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Tier</w:t>
            </w:r>
          </w:p>
        </w:tc>
        <w:tc>
          <w:tcPr>
            <w:tcW w:type="dxa" w:w="6520"/>
          </w:tcPr>
          <w:p>
            <w:r>
              <w:rPr>
                <w:rFonts w:ascii="Calibri" w:hAnsi="Calibri" w:cs="Calibri" w:eastAsia="Calibri"/>
                <w:b w:val="0"/>
                <w:i w:val="0"/>
                <w:sz w:val="18"/>
                <w:szCs w:val="18"/>
              </w:rPr>
              <w:t>Tier 1: Policy</w:t>
            </w:r>
          </w:p>
        </w:tc>
      </w:tr>
      <w:tr>
        <w:tc>
          <w:tcPr>
            <w:tcW w:type="dxa" w:w="2835"/>
            <w:shd w:val="clear" w:color="auto" w:fill="EAF0F7"/>
          </w:tcPr>
          <w:p>
            <w:r>
              <w:rPr>
                <w:rFonts w:ascii="Calibri" w:hAnsi="Calibri" w:cs="Calibri" w:eastAsia="Calibri"/>
                <w:b/>
                <w:i w:val="0"/>
                <w:sz w:val="18"/>
                <w:szCs w:val="18"/>
                <w:bCs/>
              </w:rPr>
              <w:t>Document Type</w:t>
            </w:r>
          </w:p>
        </w:tc>
        <w:tc>
          <w:tcPr>
            <w:tcW w:type="dxa" w:w="6520"/>
          </w:tcPr>
          <w:p>
            <w:r>
              <w:rPr>
                <w:rFonts w:ascii="Calibri" w:hAnsi="Calibri" w:cs="Calibri" w:eastAsia="Calibri"/>
                <w:b w:val="0"/>
                <w:i w:val="0"/>
                <w:sz w:val="18"/>
                <w:szCs w:val="18"/>
              </w:rPr>
              <w:t>Policy</w:t>
            </w:r>
          </w:p>
        </w:tc>
      </w:tr>
      <w:tr>
        <w:tc>
          <w:tcPr>
            <w:tcW w:type="dxa" w:w="2835"/>
            <w:shd w:val="clear" w:color="auto" w:fill="EAF0F7"/>
          </w:tcPr>
          <w:p>
            <w:r>
              <w:rPr>
                <w:rFonts w:ascii="Calibri" w:hAnsi="Calibri" w:cs="Calibri" w:eastAsia="Calibri"/>
                <w:b/>
                <w:i w:val="0"/>
                <w:sz w:val="18"/>
                <w:szCs w:val="18"/>
                <w:bCs/>
              </w:rPr>
              <w:t>CSF Function</w:t>
            </w:r>
          </w:p>
        </w:tc>
        <w:tc>
          <w:tcPr>
            <w:tcW w:type="dxa" w:w="6520"/>
          </w:tcPr>
          <w:p>
            <w:r>
              <w:rPr>
                <w:rFonts w:ascii="Calibri" w:hAnsi="Calibri" w:cs="Calibri" w:eastAsia="Calibri"/>
                <w:b w:val="0"/>
                <w:i w:val="0"/>
                <w:sz w:val="18"/>
                <w:szCs w:val="18"/>
              </w:rPr>
              <w:t>Protect (PR)</w:t>
            </w:r>
          </w:p>
        </w:tc>
      </w:tr>
      <w:tr>
        <w:tc>
          <w:tcPr>
            <w:tcW w:type="dxa" w:w="2835"/>
            <w:shd w:val="clear" w:color="auto" w:fill="EAF0F7"/>
          </w:tcPr>
          <w:p>
            <w:r>
              <w:rPr>
                <w:rFonts w:ascii="Calibri" w:hAnsi="Calibri" w:cs="Calibri" w:eastAsia="Calibri"/>
                <w:b/>
                <w:i w:val="0"/>
                <w:sz w:val="18"/>
                <w:szCs w:val="18"/>
                <w:bCs/>
              </w:rPr>
              <w:t>CSF Category</w:t>
            </w:r>
          </w:p>
        </w:tc>
        <w:tc>
          <w:tcPr>
            <w:tcW w:type="dxa" w:w="6520"/>
          </w:tcPr>
          <w:p>
            <w:r>
              <w:rPr>
                <w:rFonts w:ascii="Calibri" w:hAnsi="Calibri" w:cs="Calibri" w:eastAsia="Calibri"/>
                <w:b w:val="0"/>
                <w:i w:val="0"/>
                <w:sz w:val="18"/>
                <w:szCs w:val="18"/>
              </w:rPr>
              <w:t>Identity Management, Authentication, and Access Control (PR.AA)</w:t>
            </w:r>
          </w:p>
        </w:tc>
      </w:tr>
      <w:tr>
        <w:tc>
          <w:tcPr>
            <w:tcW w:type="dxa" w:w="2835"/>
            <w:shd w:val="clear" w:color="auto" w:fill="EAF0F7"/>
          </w:tcPr>
          <w:p>
            <w:r>
              <w:rPr>
                <w:rFonts w:ascii="Calibri" w:hAnsi="Calibri" w:cs="Calibri" w:eastAsia="Calibri"/>
                <w:b/>
                <w:i w:val="0"/>
                <w:sz w:val="18"/>
                <w:szCs w:val="18"/>
                <w:bCs/>
              </w:rPr>
              <w:t>Level</w:t>
            </w:r>
          </w:p>
        </w:tc>
        <w:tc>
          <w:tcPr>
            <w:tcW w:type="dxa" w:w="6520"/>
          </w:tcPr>
          <w:p>
            <w:r>
              <w:rPr>
                <w:rFonts w:ascii="Calibri" w:hAnsi="Calibri" w:cs="Calibri" w:eastAsia="Calibri"/>
                <w:b w:val="0"/>
                <w:i w:val="0"/>
                <w:sz w:val="18"/>
                <w:szCs w:val="18"/>
              </w:rPr>
              <w:t>Expected</w:t>
            </w:r>
          </w:p>
        </w:tc>
      </w:tr>
      <w:tr>
        <w:tc>
          <w:tcPr>
            <w:tcW w:type="dxa" w:w="2835"/>
            <w:shd w:val="clear" w:color="auto" w:fill="EAF0F7"/>
          </w:tcPr>
          <w:p>
            <w:r>
              <w:rPr>
                <w:rFonts w:ascii="Calibri" w:hAnsi="Calibri" w:cs="Calibri" w:eastAsia="Calibri"/>
                <w:b/>
                <w:i w:val="0"/>
                <w:sz w:val="18"/>
                <w:szCs w:val="18"/>
                <w:bCs/>
              </w:rPr>
              <w:t>Trigger</w:t>
            </w:r>
          </w:p>
        </w:tc>
        <w:tc>
          <w:tcPr>
            <w:tcW w:type="dxa" w:w="6520"/>
          </w:tcPr>
          <w:p>
            <w:r>
              <w:rPr>
                <w:rFonts w:ascii="Calibri" w:hAnsi="Calibri" w:cs="Calibri" w:eastAsia="Calibri"/>
                <w:b w:val="0"/>
                <w:i w:val="0"/>
                <w:sz w:val="18"/>
                <w:szCs w:val="18"/>
              </w:rPr>
              <w:t>PDPA</w:t>
            </w:r>
          </w:p>
        </w:tc>
      </w:tr>
      <w:tr>
        <w:tc>
          <w:tcPr>
            <w:tcW w:type="dxa" w:w="2835"/>
            <w:shd w:val="clear" w:color="auto" w:fill="EAF0F7"/>
          </w:tcPr>
          <w:p>
            <w:r>
              <w:rPr>
                <w:rFonts w:ascii="Calibri" w:hAnsi="Calibri" w:cs="Calibri" w:eastAsia="Calibri"/>
                <w:b/>
                <w:i w:val="0"/>
                <w:sz w:val="18"/>
                <w:szCs w:val="18"/>
                <w:bCs/>
              </w:rPr>
              <w:t>Basis</w:t>
            </w:r>
          </w:p>
        </w:tc>
        <w:tc>
          <w:tcPr>
            <w:tcW w:type="dxa" w:w="6520"/>
          </w:tcPr>
          <w:p>
            <w:r>
              <w:rPr>
                <w:rFonts w:ascii="Calibri" w:hAnsi="Calibri" w:cs="Calibri" w:eastAsia="Calibri"/>
                <w:b w:val="0"/>
                <w:i w:val="0"/>
                <w:sz w:val="18"/>
                <w:szCs w:val="18"/>
              </w:rPr>
              <w:t>ISO/IEC 27001:2022 Annex A 5.15; PDPC Notification on Security Measures B.E. 2565 (access control and audit trail)</w:t>
            </w:r>
          </w:p>
        </w:tc>
      </w:tr>
      <w:tr>
        <w:tc>
          <w:tcPr>
            <w:tcW w:type="dxa" w:w="2835"/>
            <w:shd w:val="clear" w:color="auto" w:fill="EAF0F7"/>
          </w:tcPr>
          <w:p>
            <w:r>
              <w:rPr>
                <w:rFonts w:ascii="Calibri" w:hAnsi="Calibri" w:cs="Calibri" w:eastAsia="Calibri"/>
                <w:b/>
                <w:i w:val="0"/>
                <w:sz w:val="18"/>
                <w:szCs w:val="18"/>
                <w:bCs/>
              </w:rPr>
              <w:t>ISO/IEC 27002 theme and tags</w:t>
            </w:r>
          </w:p>
        </w:tc>
        <w:tc>
          <w:tcPr>
            <w:tcW w:type="dxa" w:w="6520"/>
          </w:tcPr>
          <w:p>
            <w:r>
              <w:rPr>
                <w:rFonts w:ascii="Calibri" w:hAnsi="Calibri" w:cs="Calibri" w:eastAsia="Calibri"/>
                <w:b w:val="0"/>
                <w:i w:val="0"/>
                <w:sz w:val="18"/>
                <w:szCs w:val="18"/>
              </w:rPr>
              <w:t>Organizational (A.5); tags: Technology, Legal and Regulatory, Privacy</w:t>
            </w:r>
          </w:p>
        </w:tc>
      </w:tr>
      <w:tr>
        <w:tc>
          <w:tcPr>
            <w:tcW w:type="dxa" w:w="2835"/>
            <w:shd w:val="clear" w:color="auto" w:fill="EAF0F7"/>
          </w:tcPr>
          <w:p>
            <w:r>
              <w:rPr>
                <w:rFonts w:ascii="Calibri" w:hAnsi="Calibri" w:cs="Calibri" w:eastAsia="Calibri"/>
                <w:b/>
                <w:i w:val="0"/>
                <w:sz w:val="18"/>
                <w:szCs w:val="18"/>
                <w:bCs/>
              </w:rPr>
              <w:t>Package</w:t>
            </w:r>
          </w:p>
        </w:tc>
        <w:tc>
          <w:tcPr>
            <w:tcW w:type="dxa" w:w="6520"/>
          </w:tcPr>
          <w:p>
            <w:r>
              <w:rPr>
                <w:rFonts w:ascii="Calibri" w:hAnsi="Calibri" w:cs="Calibri" w:eastAsia="Calibri"/>
                <w:b w:val="0"/>
                <w:i w:val="0"/>
                <w:sz w:val="18"/>
                <w:szCs w:val="18"/>
              </w:rPr>
              <w:t>Essential</w:t>
            </w:r>
          </w:p>
        </w:tc>
      </w:tr>
    </w:tbl>
    <w:p>
      <w:pPr>
        <w:spacing w:after="40"/>
      </w:pPr>
    </w:p>
    <w:p>
      <w:pPr>
        <w:pStyle w:val="Heading1"/>
        <w:keepNext/>
        <w:spacing w:before="200" w:after="80"/>
      </w:pPr>
      <w:r>
        <w:rPr>
          <w:rFonts w:ascii="Calibri" w:hAnsi="Calibri" w:cs="Calibri" w:eastAsia="Calibri"/>
          <w:b/>
          <w:i w:val="0"/>
          <w:color w:val="1F3864"/>
          <w:sz w:val="29"/>
          <w:szCs w:val="29"/>
          <w:bCs/>
        </w:rPr>
        <w:t>3. Revision History</w:t>
      </w:r>
    </w:p>
    <w:tbl>
      <w:tblPr>
        <w:tblStyle w:val="TableGrid"/>
        <w:tblW w:type="auto" w:w="0"/>
        <w:jc w:val="center"/>
        <w:tblLayout w:type="fixed"/>
        <w:tblLook w:firstColumn="1" w:firstRow="1" w:lastColumn="0" w:lastRow="0" w:noHBand="0" w:noVBand="1" w:val="04A0"/>
        <w:tblLayout w:type="fixed"/>
      </w:tblPr>
      <w:tblGrid>
        <w:gridCol w:w="907"/>
        <w:gridCol w:w="1587"/>
        <w:gridCol w:w="3742"/>
        <w:gridCol w:w="1587"/>
        <w:gridCol w:w="1530"/>
      </w:tblGrid>
      <w:tr>
        <w:trPr>
          <w:tblHeader w:val="true"/>
        </w:trPr>
        <w:tc>
          <w:tcPr>
            <w:tcW w:type="dxa" w:w="907"/>
            <w:shd w:val="clear" w:color="auto" w:fill="1F3864"/>
          </w:tcPr>
          <w:p>
            <w:r/>
            <w:r>
              <w:rPr>
                <w:rFonts w:ascii="Calibri" w:hAnsi="Calibri" w:cs="Calibri" w:eastAsia="Calibri"/>
                <w:b/>
                <w:i w:val="0"/>
                <w:color w:val="FFFFFF"/>
                <w:sz w:val="18"/>
                <w:szCs w:val="18"/>
                <w:bCs/>
              </w:rPr>
              <w:t>Version</w:t>
            </w:r>
          </w:p>
        </w:tc>
        <w:tc>
          <w:tcPr>
            <w:tcW w:type="dxa" w:w="1587"/>
            <w:shd w:val="clear" w:color="auto" w:fill="1F3864"/>
          </w:tcPr>
          <w:p>
            <w:r/>
            <w:r>
              <w:rPr>
                <w:rFonts w:ascii="Calibri" w:hAnsi="Calibri" w:cs="Calibri" w:eastAsia="Calibri"/>
                <w:b/>
                <w:i w:val="0"/>
                <w:color w:val="FFFFFF"/>
                <w:sz w:val="18"/>
                <w:szCs w:val="18"/>
                <w:bCs/>
              </w:rPr>
              <w:t>Date</w:t>
            </w:r>
          </w:p>
        </w:tc>
        <w:tc>
          <w:tcPr>
            <w:tcW w:type="dxa" w:w="3742"/>
            <w:shd w:val="clear" w:color="auto" w:fill="1F3864"/>
          </w:tcPr>
          <w:p>
            <w:r/>
            <w:r>
              <w:rPr>
                <w:rFonts w:ascii="Calibri" w:hAnsi="Calibri" w:cs="Calibri" w:eastAsia="Calibri"/>
                <w:b/>
                <w:i w:val="0"/>
                <w:color w:val="FFFFFF"/>
                <w:sz w:val="18"/>
                <w:szCs w:val="18"/>
                <w:bCs/>
              </w:rPr>
              <w:t>Description of Change</w:t>
            </w:r>
          </w:p>
        </w:tc>
        <w:tc>
          <w:tcPr>
            <w:tcW w:type="dxa" w:w="1587"/>
            <w:shd w:val="clear" w:color="auto" w:fill="1F3864"/>
          </w:tcPr>
          <w:p>
            <w:r/>
            <w:r>
              <w:rPr>
                <w:rFonts w:ascii="Calibri" w:hAnsi="Calibri" w:cs="Calibri" w:eastAsia="Calibri"/>
                <w:b/>
                <w:i w:val="0"/>
                <w:color w:val="FFFFFF"/>
                <w:sz w:val="18"/>
                <w:szCs w:val="18"/>
                <w:bCs/>
              </w:rPr>
              <w:t>Prepared By</w:t>
            </w:r>
          </w:p>
        </w:tc>
        <w:tc>
          <w:tcPr>
            <w:tcW w:type="dxa" w:w="1531"/>
            <w:shd w:val="clear" w:color="auto" w:fill="1F3864"/>
          </w:tcPr>
          <w:p>
            <w:r/>
            <w:r>
              <w:rPr>
                <w:rFonts w:ascii="Calibri" w:hAnsi="Calibri" w:cs="Calibri" w:eastAsia="Calibri"/>
                <w:b/>
                <w:i w:val="0"/>
                <w:color w:val="FFFFFF"/>
                <w:sz w:val="18"/>
                <w:szCs w:val="18"/>
                <w:bCs/>
              </w:rPr>
              <w:t>Approved By</w:t>
            </w:r>
          </w:p>
        </w:tc>
      </w:tr>
      <w:tr>
        <w:tc>
          <w:tcPr>
            <w:tcW w:type="dxa" w:w="907"/>
          </w:tcPr>
          <w:p>
            <w:r/>
            <w:r>
              <w:rPr>
                <w:rFonts w:ascii="Calibri" w:hAnsi="Calibri" w:cs="Calibri" w:eastAsia="Calibri"/>
                <w:b w:val="0"/>
                <w:i w:val="0"/>
                <w:sz w:val="18"/>
                <w:szCs w:val="18"/>
              </w:rPr>
              <w:t>1.0</w:t>
            </w:r>
          </w:p>
        </w:tc>
        <w:tc>
          <w:tcPr>
            <w:tcW w:type="dxa" w:w="1587"/>
          </w:tcPr>
          <w:p>
            <w:r/>
            <w:r>
              <w:rPr>
                <w:rFonts w:ascii="Calibri" w:hAnsi="Calibri" w:cs="Calibri" w:eastAsia="Calibri"/>
                <w:b w:val="0"/>
                <w:i w:val="0"/>
                <w:sz w:val="18"/>
                <w:szCs w:val="18"/>
              </w:rPr>
              <w:t>[DD Month YYYY]</w:t>
            </w:r>
          </w:p>
        </w:tc>
        <w:tc>
          <w:tcPr>
            <w:tcW w:type="dxa" w:w="3742"/>
          </w:tcPr>
          <w:p>
            <w:r/>
            <w:r>
              <w:rPr>
                <w:rFonts w:ascii="Calibri" w:hAnsi="Calibri" w:cs="Calibri" w:eastAsia="Calibri"/>
                <w:b w:val="0"/>
                <w:i w:val="0"/>
                <w:sz w:val="18"/>
                <w:szCs w:val="18"/>
              </w:rPr>
              <w:t>Initial release</w:t>
            </w:r>
          </w:p>
        </w:tc>
        <w:tc>
          <w:tcPr>
            <w:tcW w:type="dxa" w:w="1587"/>
          </w:tcPr>
          <w:p>
            <w:r/>
            <w:r>
              <w:rPr>
                <w:rFonts w:ascii="Calibri" w:hAnsi="Calibri" w:cs="Calibri" w:eastAsia="Calibri"/>
                <w:b w:val="0"/>
                <w:i w:val="0"/>
                <w:sz w:val="18"/>
                <w:szCs w:val="18"/>
              </w:rPr>
              <w:t>[Name, Role]</w:t>
            </w:r>
          </w:p>
        </w:tc>
        <w:tc>
          <w:tcPr>
            <w:tcW w:type="dxa" w:w="1531"/>
          </w:tcPr>
          <w:p>
            <w:r/>
            <w:r>
              <w:rPr>
                <w:rFonts w:ascii="Calibri" w:hAnsi="Calibri" w:cs="Calibri" w:eastAsia="Calibri"/>
                <w:b w:val="0"/>
                <w:i w:val="0"/>
                <w:sz w:val="18"/>
                <w:szCs w:val="18"/>
              </w:rPr>
              <w:t>[Name, Role]</w:t>
            </w:r>
          </w:p>
        </w:tc>
      </w:tr>
    </w:tbl>
    <w:p>
      <w:pPr>
        <w:spacing w:after="40"/>
      </w:pPr>
    </w:p>
    <w:p>
      <w:pPr>
        <w:pStyle w:val="Heading1"/>
        <w:keepNext/>
        <w:spacing w:before="200" w:after="80"/>
      </w:pPr>
      <w:r>
        <w:rPr>
          <w:rFonts w:ascii="Calibri" w:hAnsi="Calibri" w:cs="Calibri" w:eastAsia="Calibri"/>
          <w:b/>
          <w:i w:val="0"/>
          <w:color w:val="1F3864"/>
          <w:sz w:val="29"/>
          <w:szCs w:val="29"/>
          <w:bCs/>
        </w:rPr>
        <w:t>4. Part A: Requirement Fields</w:t>
      </w:r>
    </w:p>
    <w:p>
      <w:pPr>
        <w:pStyle w:val="Heading2"/>
        <w:keepNext/>
        <w:spacing w:before="120" w:after="80"/>
      </w:pPr>
      <w:r>
        <w:rPr>
          <w:rFonts w:ascii="Calibri" w:hAnsi="Calibri" w:cs="Calibri" w:eastAsia="Calibri"/>
          <w:b/>
          <w:i w:val="0"/>
          <w:color w:val="1F3864"/>
          <w:sz w:val="24"/>
          <w:szCs w:val="24"/>
          <w:bCs/>
        </w:rPr>
        <w:t>4.1 Purpose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State why the document exists and the outcome it supports.</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This policy sets the principles for granting, using, reviewing, and removing access to [Organization Name] information and systems, so that only authorized and authenticated users access what they need (PR.AA).</w:t>
      </w:r>
    </w:p>
    <w:p>
      <w:pPr>
        <w:pStyle w:val="Heading2"/>
        <w:keepNext/>
        <w:spacing w:before="120" w:after="80"/>
      </w:pPr>
      <w:r>
        <w:rPr>
          <w:rFonts w:ascii="Calibri" w:hAnsi="Calibri" w:cs="Calibri" w:eastAsia="Calibri"/>
          <w:b/>
          <w:i w:val="0"/>
          <w:color w:val="1F3864"/>
          <w:sz w:val="24"/>
          <w:szCs w:val="24"/>
          <w:bCs/>
        </w:rPr>
        <w:t>4.2 Scope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Define the units, people, systems, locations, and third parties covered, and state any exclusions.</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This policy applies to all employees, contractors, temporary staff, and third parties who access [Organization Name] information or information systems, at all sites, including cloud services operated on behalf of [Organization Name].</w:t>
      </w:r>
    </w:p>
    <w:p>
      <w:pPr>
        <w:pStyle w:val="Heading2"/>
        <w:keepNext/>
        <w:spacing w:before="120" w:after="80"/>
      </w:pPr>
      <w:r>
        <w:rPr>
          <w:rFonts w:ascii="Calibri" w:hAnsi="Calibri" w:cs="Calibri" w:eastAsia="Calibri"/>
          <w:b/>
          <w:i w:val="0"/>
          <w:color w:val="1F3864"/>
          <w:sz w:val="24"/>
          <w:szCs w:val="24"/>
          <w:bCs/>
        </w:rPr>
        <w:t>4.3 Policy Statements</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State mandatory access control principles.</w:t>
            </w:r>
          </w:p>
        </w:tc>
      </w:tr>
    </w:tbl>
    <w:p>
      <w:pPr>
        <w:spacing w:after="0"/>
      </w:pPr>
    </w:p>
    <w:p>
      <w:pPr>
        <w:spacing w:after="40" w:before="0"/>
      </w:pPr>
      <w:r>
        <w:rPr>
          <w:rFonts w:ascii="Calibri" w:hAnsi="Calibri" w:cs="Calibri" w:eastAsia="Calibri"/>
          <w:b w:val="0"/>
          <w:i/>
          <w:color w:val="595959"/>
          <w:sz w:val="18"/>
          <w:szCs w:val="18"/>
        </w:rPr>
        <w:t>Sample content</w:t>
      </w:r>
    </w:p>
    <w:p>
      <w:pPr>
        <w:pStyle w:val="ListBullet"/>
        <w:spacing w:after="40"/>
      </w:pPr>
      <w:r>
        <w:rPr>
          <w:rFonts w:ascii="Calibri" w:hAnsi="Calibri" w:cs="Calibri" w:eastAsia="Calibri"/>
          <w:b w:val="0"/>
          <w:i w:val="0"/>
          <w:sz w:val="21"/>
          <w:szCs w:val="21"/>
        </w:rPr>
        <w:t>Access is granted on a need-to-know and least-privilege basis, approved by the system owner.</w:t>
      </w:r>
    </w:p>
    <w:p>
      <w:pPr>
        <w:pStyle w:val="ListBullet"/>
        <w:spacing w:after="40"/>
      </w:pPr>
      <w:r>
        <w:rPr>
          <w:rFonts w:ascii="Calibri" w:hAnsi="Calibri" w:cs="Calibri" w:eastAsia="Calibri"/>
          <w:b w:val="0"/>
          <w:i w:val="0"/>
          <w:sz w:val="21"/>
          <w:szCs w:val="21"/>
        </w:rPr>
        <w:t>Every user has a unique identity; shared accounts are prohibited unless approved and controlled.</w:t>
      </w:r>
    </w:p>
    <w:p>
      <w:pPr>
        <w:pStyle w:val="ListBullet"/>
        <w:spacing w:after="40"/>
      </w:pPr>
      <w:r>
        <w:rPr>
          <w:rFonts w:ascii="Calibri" w:hAnsi="Calibri" w:cs="Calibri" w:eastAsia="Calibri"/>
          <w:b w:val="0"/>
          <w:i w:val="0"/>
          <w:sz w:val="21"/>
          <w:szCs w:val="21"/>
        </w:rPr>
        <w:t>Authentication strength matches risk: multi-factor authentication (MFA) is required for remote access, privileged access, and access to Restricted data (PR-STD-001).</w:t>
      </w:r>
    </w:p>
    <w:p>
      <w:pPr>
        <w:pStyle w:val="ListBullet"/>
        <w:spacing w:after="40"/>
      </w:pPr>
      <w:r>
        <w:rPr>
          <w:rFonts w:ascii="Calibri" w:hAnsi="Calibri" w:cs="Calibri" w:eastAsia="Calibri"/>
          <w:b w:val="0"/>
          <w:i w:val="0"/>
          <w:sz w:val="21"/>
          <w:szCs w:val="21"/>
        </w:rPr>
        <w:t>Privileged access is separate from normal user access and is managed under PR-STD-002.</w:t>
      </w:r>
    </w:p>
    <w:p>
      <w:pPr>
        <w:pStyle w:val="ListBullet"/>
        <w:spacing w:after="40"/>
      </w:pPr>
      <w:r>
        <w:rPr>
          <w:rFonts w:ascii="Calibri" w:hAnsi="Calibri" w:cs="Calibri" w:eastAsia="Calibri"/>
          <w:b w:val="0"/>
          <w:i w:val="0"/>
          <w:sz w:val="21"/>
          <w:szCs w:val="21"/>
        </w:rPr>
        <w:t>Duties are segregated so that no single person can complete a critical transaction alone (ISO/IEC 27001:2022 Annex A 5.3).</w:t>
      </w:r>
    </w:p>
    <w:p>
      <w:pPr>
        <w:pStyle w:val="ListBullet"/>
        <w:spacing w:after="40"/>
      </w:pPr>
      <w:r>
        <w:rPr>
          <w:rFonts w:ascii="Calibri" w:hAnsi="Calibri" w:cs="Calibri" w:eastAsia="Calibri"/>
          <w:b w:val="0"/>
          <w:i w:val="0"/>
          <w:sz w:val="21"/>
          <w:szCs w:val="21"/>
        </w:rPr>
        <w:t>Access is reviewed at least quarterly for privileged and critical systems, and semi-annually for others (PR-PRC-002).</w:t>
      </w:r>
    </w:p>
    <w:p>
      <w:pPr>
        <w:pStyle w:val="ListBullet"/>
        <w:spacing w:after="40"/>
      </w:pPr>
      <w:r>
        <w:rPr>
          <w:rFonts w:ascii="Calibri" w:hAnsi="Calibri" w:cs="Calibri" w:eastAsia="Calibri"/>
          <w:b w:val="0"/>
          <w:i w:val="0"/>
          <w:sz w:val="21"/>
          <w:szCs w:val="21"/>
        </w:rPr>
        <w:t>Access is removed promptly when no longer needed (GV-STD-001).</w:t>
      </w:r>
    </w:p>
    <w:p>
      <w:pPr>
        <w:pStyle w:val="ListBullet"/>
        <w:spacing w:after="40"/>
      </w:pPr>
      <w:r>
        <w:rPr>
          <w:rFonts w:ascii="Calibri" w:hAnsi="Calibri" w:cs="Calibri" w:eastAsia="Calibri"/>
          <w:b w:val="0"/>
          <w:i w:val="0"/>
          <w:sz w:val="21"/>
          <w:szCs w:val="21"/>
        </w:rPr>
        <w:t>Access to personal data is logged to support audit trails, as required by the PDPC Notification on Security Measures B.E. 2565.</w:t>
      </w:r>
    </w:p>
    <w:p>
      <w:pPr>
        <w:pStyle w:val="Heading2"/>
        <w:keepNext/>
        <w:spacing w:before="120" w:after="80"/>
      </w:pPr>
      <w:r>
        <w:rPr>
          <w:rFonts w:ascii="Calibri" w:hAnsi="Calibri" w:cs="Calibri" w:eastAsia="Calibri"/>
          <w:b/>
          <w:i w:val="0"/>
          <w:color w:val="1F3864"/>
          <w:sz w:val="24"/>
          <w:szCs w:val="24"/>
          <w:bCs/>
        </w:rPr>
        <w:t>4.4 Emergency Access</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Define controlled emergency (break-glass) access.</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Emergency access accounts may be used only when normal access is unavailable and delay would harm the business or people. Each use is logged, reviewed by the Chief Information Security Officer (CISO) or Security Manager within one working day, and the credentials are reset after use.</w:t>
      </w:r>
    </w:p>
    <w:p>
      <w:pPr>
        <w:pStyle w:val="Heading2"/>
        <w:keepNext/>
        <w:spacing w:before="120" w:after="80"/>
      </w:pPr>
      <w:r>
        <w:rPr>
          <w:rFonts w:ascii="Calibri" w:hAnsi="Calibri" w:cs="Calibri" w:eastAsia="Calibri"/>
          <w:b/>
          <w:i w:val="0"/>
          <w:color w:val="1F3864"/>
          <w:sz w:val="24"/>
          <w:szCs w:val="24"/>
          <w:bCs/>
        </w:rPr>
        <w:t>4.5 Compliance and Exceptions</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State that compliance is mandatory, how compliance is verified, how exceptions are requested, and the consequence of violation.</w:t>
            </w:r>
          </w:p>
        </w:tc>
      </w:tr>
    </w:tbl>
    <w:p>
      <w:pPr>
        <w:spacing w:after="0"/>
      </w:pPr>
    </w:p>
    <w:p>
      <w:pPr>
        <w:spacing w:after="40" w:before="0"/>
      </w:pPr>
      <w:r>
        <w:rPr>
          <w:rFonts w:ascii="Calibri" w:hAnsi="Calibri" w:cs="Calibri" w:eastAsia="Calibri"/>
          <w:b w:val="0"/>
          <w:i/>
          <w:color w:val="595959"/>
          <w:sz w:val="18"/>
          <w:szCs w:val="18"/>
        </w:rPr>
        <w:t>Sample content</w:t>
      </w:r>
    </w:p>
    <w:p>
      <w:pPr>
        <w:pStyle w:val="ListBullet"/>
        <w:spacing w:after="40"/>
      </w:pPr>
      <w:r>
        <w:rPr>
          <w:rFonts w:ascii="Calibri" w:hAnsi="Calibri" w:cs="Calibri" w:eastAsia="Calibri"/>
          <w:b w:val="0"/>
          <w:i w:val="0"/>
          <w:sz w:val="21"/>
          <w:szCs w:val="21"/>
        </w:rPr>
        <w:t>Compliance with this policy is mandatory for everyone in scope.</w:t>
      </w:r>
    </w:p>
    <w:p>
      <w:pPr>
        <w:pStyle w:val="ListBullet"/>
        <w:spacing w:after="40"/>
      </w:pPr>
      <w:r>
        <w:rPr>
          <w:rFonts w:ascii="Calibri" w:hAnsi="Calibri" w:cs="Calibri" w:eastAsia="Calibri"/>
          <w:b w:val="0"/>
          <w:i w:val="0"/>
          <w:sz w:val="21"/>
          <w:szCs w:val="21"/>
        </w:rPr>
        <w:t>The Chief Information Security Officer (CISO) or Security Manager verifies compliance through periodic reviews, technical checks, and internal audit (GV-PRC-007).</w:t>
      </w:r>
    </w:p>
    <w:p>
      <w:pPr>
        <w:pStyle w:val="ListBullet"/>
        <w:spacing w:after="40"/>
      </w:pPr>
      <w:r>
        <w:rPr>
          <w:rFonts w:ascii="Calibri" w:hAnsi="Calibri" w:cs="Calibri" w:eastAsia="Calibri"/>
          <w:b w:val="0"/>
          <w:i w:val="0"/>
          <w:sz w:val="21"/>
          <w:szCs w:val="21"/>
        </w:rPr>
        <w:t>Requests for deviation follow the Policy Exception Management Procedure (GV-PRC-003). No exception is valid without written approval and an expiry date.</w:t>
      </w:r>
    </w:p>
    <w:p>
      <w:pPr>
        <w:pStyle w:val="ListBullet"/>
        <w:spacing w:after="40"/>
      </w:pPr>
      <w:r>
        <w:rPr>
          <w:rFonts w:ascii="Calibri" w:hAnsi="Calibri" w:cs="Calibri" w:eastAsia="Calibri"/>
          <w:b w:val="0"/>
          <w:i w:val="0"/>
          <w:sz w:val="21"/>
          <w:szCs w:val="21"/>
        </w:rPr>
        <w:t>Violations may result in disciplinary action under the Human Resources Security Standard (GV-STD-001) and applicable law.</w:t>
      </w:r>
    </w:p>
    <w:p>
      <w:pPr>
        <w:pStyle w:val="Heading1"/>
        <w:keepNext/>
        <w:spacing w:before="200" w:after="80"/>
      </w:pPr>
      <w:r>
        <w:rPr>
          <w:rFonts w:ascii="Calibri" w:hAnsi="Calibri" w:cs="Calibri" w:eastAsia="Calibri"/>
          <w:b/>
          <w:i w:val="0"/>
          <w:color w:val="1F3864"/>
          <w:sz w:val="29"/>
          <w:szCs w:val="29"/>
          <w:bCs/>
        </w:rPr>
        <w:t>5. Part B: Best Practice</w:t>
      </w:r>
    </w:p>
    <w:p>
      <w:pPr>
        <w:pStyle w:val="ListBullet"/>
        <w:spacing w:after="40"/>
      </w:pPr>
      <w:r>
        <w:rPr>
          <w:rFonts w:ascii="Calibri" w:hAnsi="Calibri" w:cs="Calibri" w:eastAsia="Calibri"/>
          <w:b w:val="0"/>
          <w:i w:val="0"/>
          <w:sz w:val="21"/>
          <w:szCs w:val="21"/>
        </w:rPr>
        <w:t>Define role-based access profiles with business owners; it reduces approval effort and access creep.</w:t>
      </w:r>
    </w:p>
    <w:p>
      <w:pPr>
        <w:pStyle w:val="ListBullet"/>
        <w:spacing w:after="40"/>
      </w:pPr>
      <w:r>
        <w:rPr>
          <w:rFonts w:ascii="Calibri" w:hAnsi="Calibri" w:cs="Calibri" w:eastAsia="Calibri"/>
          <w:b w:val="0"/>
          <w:i w:val="0"/>
          <w:sz w:val="21"/>
          <w:szCs w:val="21"/>
        </w:rPr>
        <w:t>Centralize identity through single sign-on (SSO) where possible so one disable action removes all access.</w:t>
      </w:r>
    </w:p>
    <w:p>
      <w:pPr>
        <w:pStyle w:val="ListBullet"/>
        <w:spacing w:after="40"/>
      </w:pPr>
      <w:r>
        <w:rPr>
          <w:rFonts w:ascii="Calibri" w:hAnsi="Calibri" w:cs="Calibri" w:eastAsia="Calibri"/>
          <w:b w:val="0"/>
          <w:i w:val="0"/>
          <w:sz w:val="21"/>
          <w:szCs w:val="21"/>
        </w:rPr>
        <w:t>Design clinical or operational access for speed as well as security; slow login drives workarounds.</w:t>
      </w:r>
    </w:p>
    <w:p>
      <w:pPr>
        <w:pStyle w:val="Heading2"/>
        <w:keepNext/>
        <w:spacing w:before="120" w:after="80"/>
      </w:pPr>
      <w:r>
        <w:rPr>
          <w:rFonts w:ascii="Calibri" w:hAnsi="Calibri" w:cs="Calibri" w:eastAsia="Calibri"/>
          <w:b/>
          <w:i w:val="0"/>
          <w:color w:val="1F3864"/>
          <w:sz w:val="24"/>
          <w:szCs w:val="24"/>
          <w:bCs/>
        </w:rPr>
        <w:t>Common Mistakes to Avoid</w:t>
      </w:r>
    </w:p>
    <w:p>
      <w:pPr>
        <w:pStyle w:val="ListBullet"/>
        <w:spacing w:after="40"/>
      </w:pPr>
      <w:r>
        <w:rPr>
          <w:rFonts w:ascii="Calibri" w:hAnsi="Calibri" w:cs="Calibri" w:eastAsia="Calibri"/>
          <w:b w:val="0"/>
          <w:i w:val="0"/>
          <w:sz w:val="21"/>
          <w:szCs w:val="21"/>
        </w:rPr>
        <w:t>Granting access by copying another user's profile, which spreads excessive rights.</w:t>
      </w:r>
    </w:p>
    <w:p>
      <w:pPr>
        <w:pStyle w:val="ListBullet"/>
        <w:spacing w:after="40"/>
      </w:pPr>
      <w:r>
        <w:rPr>
          <w:rFonts w:ascii="Calibri" w:hAnsi="Calibri" w:cs="Calibri" w:eastAsia="Calibri"/>
          <w:b w:val="0"/>
          <w:i w:val="0"/>
          <w:sz w:val="21"/>
          <w:szCs w:val="21"/>
        </w:rPr>
        <w:t>Access reviews done by IT rather than by business owners who know who needs access.</w:t>
      </w:r>
    </w:p>
    <w:p>
      <w:pPr>
        <w:pStyle w:val="Heading1"/>
        <w:keepNext/>
        <w:spacing w:before="200" w:after="80"/>
      </w:pPr>
      <w:r>
        <w:rPr>
          <w:rFonts w:ascii="Calibri" w:hAnsi="Calibri" w:cs="Calibri" w:eastAsia="Calibri"/>
          <w:b/>
          <w:i w:val="0"/>
          <w:color w:val="1F3864"/>
          <w:sz w:val="29"/>
          <w:szCs w:val="29"/>
          <w:bCs/>
        </w:rPr>
        <w:t>6. Annex: Traceability and Related Documents</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NIST CSF 2.0 Subcategories</w:t>
            </w:r>
          </w:p>
        </w:tc>
        <w:tc>
          <w:tcPr>
            <w:tcW w:type="dxa" w:w="6520"/>
          </w:tcPr>
          <w:p>
            <w:r>
              <w:rPr>
                <w:rFonts w:ascii="Calibri" w:hAnsi="Calibri" w:cs="Calibri" w:eastAsia="Calibri"/>
                <w:b w:val="0"/>
                <w:i w:val="0"/>
                <w:sz w:val="18"/>
                <w:szCs w:val="18"/>
              </w:rPr>
              <w:t>PR.AA-01: Identities and credentials for authorized users, services, and hardware are managed</w:t>
            </w:r>
          </w:p>
          <w:p>
            <w:r>
              <w:rPr>
                <w:rFonts w:ascii="Calibri" w:hAnsi="Calibri" w:cs="Calibri" w:eastAsia="Calibri"/>
                <w:b w:val="0"/>
                <w:i w:val="0"/>
                <w:sz w:val="18"/>
                <w:szCs w:val="18"/>
              </w:rPr>
              <w:t>PR.AA-02: Identities are proofed and bound to credentials based on the context of interactions</w:t>
            </w:r>
          </w:p>
          <w:p>
            <w:r>
              <w:rPr>
                <w:rFonts w:ascii="Calibri" w:hAnsi="Calibri" w:cs="Calibri" w:eastAsia="Calibri"/>
                <w:b w:val="0"/>
                <w:i w:val="0"/>
                <w:sz w:val="18"/>
                <w:szCs w:val="18"/>
              </w:rPr>
              <w:t>PR.AA-03: Users, services, and hardware are authenticated</w:t>
            </w:r>
          </w:p>
          <w:p>
            <w:r>
              <w:rPr>
                <w:rFonts w:ascii="Calibri" w:hAnsi="Calibri" w:cs="Calibri" w:eastAsia="Calibri"/>
                <w:b w:val="0"/>
                <w:i w:val="0"/>
                <w:sz w:val="18"/>
                <w:szCs w:val="18"/>
              </w:rPr>
              <w:t>PR.AA-04: Identity assertions are protected, conveyed, and verified</w:t>
            </w:r>
          </w:p>
          <w:p>
            <w:r>
              <w:rPr>
                <w:rFonts w:ascii="Calibri" w:hAnsi="Calibri" w:cs="Calibri" w:eastAsia="Calibri"/>
                <w:b w:val="0"/>
                <w:i w:val="0"/>
                <w:sz w:val="18"/>
                <w:szCs w:val="18"/>
              </w:rPr>
              <w:t>PR.AA-05: Access permissions, entitlements, and authorizations are defined, managed, enforced, and reviewed</w:t>
            </w:r>
          </w:p>
        </w:tc>
      </w:tr>
      <w:tr>
        <w:tc>
          <w:tcPr>
            <w:tcW w:type="dxa" w:w="2835"/>
            <w:shd w:val="clear" w:color="auto" w:fill="EAF0F7"/>
          </w:tcPr>
          <w:p>
            <w:r>
              <w:rPr>
                <w:rFonts w:ascii="Calibri" w:hAnsi="Calibri" w:cs="Calibri" w:eastAsia="Calibri"/>
                <w:b/>
                <w:i w:val="0"/>
                <w:sz w:val="18"/>
                <w:szCs w:val="18"/>
                <w:bCs/>
              </w:rPr>
              <w:t>ISO/IEC 27001:2022</w:t>
            </w:r>
          </w:p>
        </w:tc>
        <w:tc>
          <w:tcPr>
            <w:tcW w:type="dxa" w:w="6520"/>
          </w:tcPr>
          <w:p>
            <w:r>
              <w:rPr>
                <w:rFonts w:ascii="Calibri" w:hAnsi="Calibri" w:cs="Calibri" w:eastAsia="Calibri"/>
                <w:b w:val="0"/>
                <w:i w:val="0"/>
                <w:sz w:val="18"/>
                <w:szCs w:val="18"/>
              </w:rPr>
              <w:t>Annex A.5.15, Annex A.5.18, Annex A.8.3</w:t>
            </w:r>
          </w:p>
        </w:tc>
      </w:tr>
      <w:tr>
        <w:tc>
          <w:tcPr>
            <w:tcW w:type="dxa" w:w="2835"/>
            <w:shd w:val="clear" w:color="auto" w:fill="EAF0F7"/>
          </w:tcPr>
          <w:p>
            <w:r>
              <w:rPr>
                <w:rFonts w:ascii="Calibri" w:hAnsi="Calibri" w:cs="Calibri" w:eastAsia="Calibri"/>
                <w:b/>
                <w:i w:val="0"/>
                <w:sz w:val="18"/>
                <w:szCs w:val="18"/>
                <w:bCs/>
              </w:rPr>
              <w:t>NIST SP 800-53 Rev. 5</w:t>
            </w:r>
          </w:p>
        </w:tc>
        <w:tc>
          <w:tcPr>
            <w:tcW w:type="dxa" w:w="6520"/>
          </w:tcPr>
          <w:p>
            <w:r>
              <w:rPr>
                <w:rFonts w:ascii="Calibri" w:hAnsi="Calibri" w:cs="Calibri" w:eastAsia="Calibri"/>
                <w:b w:val="0"/>
                <w:i w:val="0"/>
                <w:sz w:val="18"/>
                <w:szCs w:val="18"/>
              </w:rPr>
              <w:t>AC-1, IA-1</w:t>
            </w:r>
          </w:p>
        </w:tc>
      </w:tr>
      <w:tr>
        <w:tc>
          <w:tcPr>
            <w:tcW w:type="dxa" w:w="2835"/>
            <w:shd w:val="clear" w:color="auto" w:fill="EAF0F7"/>
          </w:tcPr>
          <w:p>
            <w:r>
              <w:rPr>
                <w:rFonts w:ascii="Calibri" w:hAnsi="Calibri" w:cs="Calibri" w:eastAsia="Calibri"/>
                <w:b/>
                <w:i w:val="0"/>
                <w:sz w:val="18"/>
                <w:szCs w:val="18"/>
                <w:bCs/>
              </w:rPr>
              <w:t>Legal, Regulatory, and Other References</w:t>
            </w:r>
          </w:p>
        </w:tc>
        <w:tc>
          <w:tcPr>
            <w:tcW w:type="dxa" w:w="6520"/>
          </w:tcPr>
          <w:p>
            <w:r>
              <w:rPr>
                <w:rFonts w:ascii="Calibri" w:hAnsi="Calibri" w:cs="Calibri" w:eastAsia="Calibri"/>
                <w:b w:val="0"/>
                <w:i w:val="0"/>
                <w:sz w:val="18"/>
                <w:szCs w:val="18"/>
              </w:rPr>
              <w:t>ISO/IEC 27001:2022 Annex A 5.15; PDPC Notification on Security Measures B.E. 2565 (access control and audit trail)</w:t>
            </w:r>
          </w:p>
        </w:tc>
      </w:tr>
      <w:tr>
        <w:tc>
          <w:tcPr>
            <w:tcW w:type="dxa" w:w="2835"/>
            <w:shd w:val="clear" w:color="auto" w:fill="EAF0F7"/>
          </w:tcPr>
          <w:p>
            <w:r>
              <w:rPr>
                <w:rFonts w:ascii="Calibri" w:hAnsi="Calibri" w:cs="Calibri" w:eastAsia="Calibri"/>
                <w:b/>
                <w:i w:val="0"/>
                <w:sz w:val="18"/>
                <w:szCs w:val="18"/>
                <w:bCs/>
              </w:rPr>
              <w:t>Parent Documents</w:t>
            </w:r>
          </w:p>
        </w:tc>
        <w:tc>
          <w:tcPr>
            <w:tcW w:type="dxa" w:w="6520"/>
          </w:tcPr>
          <w:p>
            <w:r>
              <w:rPr>
                <w:rFonts w:ascii="Calibri" w:hAnsi="Calibri" w:cs="Calibri" w:eastAsia="Calibri"/>
                <w:b w:val="0"/>
                <w:i w:val="0"/>
                <w:sz w:val="18"/>
                <w:szCs w:val="18"/>
              </w:rPr>
              <w:t>GV-POL-001: Information Security Policy</w:t>
            </w:r>
          </w:p>
        </w:tc>
      </w:tr>
      <w:tr>
        <w:tc>
          <w:tcPr>
            <w:tcW w:type="dxa" w:w="2835"/>
            <w:shd w:val="clear" w:color="auto" w:fill="EAF0F7"/>
          </w:tcPr>
          <w:p>
            <w:r>
              <w:rPr>
                <w:rFonts w:ascii="Calibri" w:hAnsi="Calibri" w:cs="Calibri" w:eastAsia="Calibri"/>
                <w:b/>
                <w:i w:val="0"/>
                <w:sz w:val="18"/>
                <w:szCs w:val="18"/>
                <w:bCs/>
              </w:rPr>
              <w:t>Child Documents</w:t>
            </w:r>
          </w:p>
        </w:tc>
        <w:tc>
          <w:tcPr>
            <w:tcW w:type="dxa" w:w="6520"/>
          </w:tcPr>
          <w:p>
            <w:r>
              <w:rPr>
                <w:rFonts w:ascii="Calibri" w:hAnsi="Calibri" w:cs="Calibri" w:eastAsia="Calibri"/>
                <w:b w:val="0"/>
                <w:i w:val="0"/>
                <w:sz w:val="18"/>
                <w:szCs w:val="18"/>
              </w:rPr>
              <w:t>PR-STD-001: Identity and Authentication Standard</w:t>
            </w:r>
          </w:p>
          <w:p>
            <w:r>
              <w:rPr>
                <w:rFonts w:ascii="Calibri" w:hAnsi="Calibri" w:cs="Calibri" w:eastAsia="Calibri"/>
                <w:b w:val="0"/>
                <w:i w:val="0"/>
                <w:sz w:val="18"/>
                <w:szCs w:val="18"/>
              </w:rPr>
              <w:t>PR-STD-002: Privileged Access Management Standard</w:t>
            </w:r>
          </w:p>
          <w:p>
            <w:r>
              <w:rPr>
                <w:rFonts w:ascii="Calibri" w:hAnsi="Calibri" w:cs="Calibri" w:eastAsia="Calibri"/>
                <w:b w:val="0"/>
                <w:i w:val="0"/>
                <w:sz w:val="18"/>
                <w:szCs w:val="18"/>
              </w:rPr>
              <w:t>PR-STD-003: Remote Access Standard</w:t>
            </w:r>
          </w:p>
          <w:p>
            <w:r>
              <w:rPr>
                <w:rFonts w:ascii="Calibri" w:hAnsi="Calibri" w:cs="Calibri" w:eastAsia="Calibri"/>
                <w:b w:val="0"/>
                <w:i w:val="0"/>
                <w:sz w:val="18"/>
                <w:szCs w:val="18"/>
              </w:rPr>
              <w:t>PR-PRC-001: User Access Management Procedure</w:t>
            </w:r>
          </w:p>
          <w:p>
            <w:r>
              <w:rPr>
                <w:rFonts w:ascii="Calibri" w:hAnsi="Calibri" w:cs="Calibri" w:eastAsia="Calibri"/>
                <w:b w:val="0"/>
                <w:i w:val="0"/>
                <w:sz w:val="18"/>
                <w:szCs w:val="18"/>
              </w:rPr>
              <w:t>PR-PRC-002: User Access Review Procedure</w:t>
            </w:r>
          </w:p>
        </w:tc>
      </w:tr>
    </w:tbl>
    <w:p>
      <w:pPr>
        <w:spacing w:after="40"/>
      </w:pPr>
    </w:p>
    <w:sectPr w:rsidR="00FC693F" w:rsidRPr="0006063C" w:rsidSect="00034616">
      <w:headerReference w:type="default" r:id="rId9"/>
      <w:footerReference w:type="default" r:id="rId10"/>
      <w:pgSz w:w="11906" w:h="16838"/>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Calibri" w:hAnsi="Calibri" w:cs="Calibri" w:eastAsia="Calibri"/>
        <w:b w:val="0"/>
        <w:i w:val="0"/>
        <w:color w:val="595959"/>
        <w:sz w:val="16"/>
        <w:szCs w:val="16"/>
      </w:rPr>
      <w:t xml:space="preserve">Classification: Internal    Page </w:t>
    </w:r>
    <w:r>
      <w:rPr>
        <w:rFonts w:ascii="Calibri" w:hAnsi="Calibri" w:cs="Calibri" w:eastAsia="Calibri"/>
        <w:color w:val="595959"/>
        <w:sz w:val="16"/>
        <w:szCs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cs="Calibri" w:eastAsia="Calibri"/>
        <w:b w:val="0"/>
        <w:i w:val="0"/>
        <w:color w:val="595959"/>
        <w:sz w:val="16"/>
        <w:szCs w:val="16"/>
      </w:rPr>
      <w:t>[Organization Name]  |  PR-POL-001  |  Access Control Policy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