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cs="Calibri" w:eastAsia="Calibri"/>
          <w:b/>
          <w:i w:val="0"/>
          <w:color w:val="595959"/>
          <w:sz w:val="23"/>
          <w:szCs w:val="23"/>
          <w:bCs/>
        </w:rPr>
        <w:t>[Organization Name]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39"/>
          <w:szCs w:val="39"/>
          <w:bCs/>
        </w:rPr>
        <w:t>User Access Management Procedure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color w:val="595959"/>
          <w:sz w:val="18"/>
          <w:szCs w:val="18"/>
        </w:rPr>
        <w:t>PR-PRC-001  |  Procedure  |  Identity Management, Authentication, and Access Control (PR.AA)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How to Use This Template: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Replace text in square brackets with your organization's details. Keep every Part A section, because each one is a minimum requirement. Use Part B to raise maturity. Delete the blue requirement boxes and this note before you issue the document. This template is a sample and is not legal advice; confirm items marked [VERIFY] with current Thai regulations before use.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1. Document Control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ID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PR-PRC-001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Title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User Access Management 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Status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Template (not approved)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Classification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Internal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Owner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 Infrastructure Manager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Approver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Chief Information Officer (CIO)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Effective Date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Review Cycle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Annual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Next Review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2. Document Profile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Tier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Tier 3: Procedure, Plan, Playbook, and Guideline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Document Type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Procedure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Protect (PR)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Identity Management, Authentication, and Access Control (PR.AA)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Level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Expected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Trigger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PDPA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Basis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5.16 and 5.18; PDPC Notification on Security Measures B.E. 2565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27002 theme and tags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Organizational (A.5); tags: Process, Legal and Regulatory, Privacy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Package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Essential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3. 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Version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Date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Description of Change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Prepared By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Approved By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[DD Month YYYY]</w:t>
            </w:r>
          </w:p>
        </w:tc>
        <w:tc>
          <w:tcPr>
            <w:tcW w:type="dxa" w:w="3742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Initial release</w:t>
            </w:r>
          </w:p>
        </w:tc>
        <w:tc>
          <w:tcPr>
            <w:tcW w:type="dxa" w:w="158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  <w:tc>
          <w:tcPr>
            <w:tcW w:type="dxa" w:w="153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[Name, Role]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4. Part A: Requirement Fields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4.1 Purpose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State why the document exists and the outcome it supports.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describes how user access is requested, approved, provisioned, changed, and removed for joiners, movers, and leavers (PR.AA-01, PR.AA-05).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4.2 Scope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Define the units, people, systems, locations, and third parties covered, and state any exclusions.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spacing w:after="80" w:before="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This procedure applies to all units and personnel who perform or support the activities described below, including third parties acting on behalf of [Organization Name].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4.3 Process Steps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Describe steps for joiner, mover, and leaver events with timelines.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417"/>
        <w:gridCol w:w="4819"/>
        <w:gridCol w:w="1701"/>
        <w:gridCol w:w="1417"/>
      </w:tblGrid>
      <w:tr>
        <w:trPr>
          <w:tblHeader w:val="true"/>
        </w:trPr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Event</w:t>
            </w:r>
          </w:p>
        </w:tc>
        <w:tc>
          <w:tcPr>
            <w:tcW w:type="dxa" w:w="4819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Step</w:t>
            </w:r>
          </w:p>
        </w:tc>
        <w:tc>
          <w:tcPr>
            <w:tcW w:type="dxa" w:w="1701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Actor</w:t>
            </w:r>
          </w:p>
        </w:tc>
        <w:tc>
          <w:tcPr>
            <w:tcW w:type="dxa" w:w="1417"/>
            <w:shd w:val="clear" w:color="auto" w:fill="1F3864"/>
          </w:tcPr>
          <w:p>
            <w:r/>
            <w:r>
              <w:rPr>
                <w:rFonts w:ascii="Calibri" w:hAnsi="Calibri" w:cs="Calibri" w:eastAsia="Calibri"/>
                <w:b/>
                <w:i w:val="0"/>
                <w:color w:val="FFFFFF"/>
                <w:sz w:val="18"/>
                <w:szCs w:val="18"/>
                <w:bCs/>
              </w:rPr>
              <w:t>Timing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Joiner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 creates the record; manager submits User Access Request (PR-FRM-001) based on role profile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HR, line manager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Before start date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Joiner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 approves; IT provisions and records the ticket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System owner, IT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Within 2 working days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Mover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 records transfer; manager requests new access; old access removed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HR, manager, IT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Old access removed within 5 working days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Leaver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 notifies; IT disables accounts and completes GV-FRM-003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HR, IT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On last working day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Temporary access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 with end date; access expires automatically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Requester, IT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As approved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All</w:t>
            </w:r>
          </w:p>
        </w:tc>
        <w:tc>
          <w:tcPr>
            <w:tcW w:type="dxa" w:w="4819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Requests without approval are rejected; approvers cannot approve their own access</w:t>
            </w:r>
          </w:p>
        </w:tc>
        <w:tc>
          <w:tcPr>
            <w:tcW w:type="dxa" w:w="1701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IT</w:t>
            </w:r>
          </w:p>
        </w:tc>
        <w:tc>
          <w:tcPr>
            <w:tcW w:type="dxa" w:w="1417"/>
          </w:tcPr>
          <w:p>
            <w:r/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Always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4.4 Records Produced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color w:val="1F3864"/>
                <w:sz w:val="18"/>
                <w:szCs w:val="18"/>
                <w:bCs/>
              </w:rPr>
              <w:t xml:space="preserve">Requirement: </w:t>
            </w:r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List the forms, records, and registers this process produces and where they are kept.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Calibri" w:hAnsi="Calibri" w:cs="Calibri" w:eastAsia="Calibri"/>
          <w:b w:val="0"/>
          <w:i/>
          <w:color w:val="595959"/>
          <w:sz w:val="18"/>
          <w:szCs w:val="18"/>
        </w:rPr>
        <w:t>Sample content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PR-FRM-001: User Access Request Form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Records are retained according to the Data Retention and Disposal Standard (PR-STD-007).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5. Part B: Best Practice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Automate provisioning from the HR system using role-based profiles.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Measure time to provision and time to deprovision as KPIs.</w:t>
      </w:r>
    </w:p>
    <w:p>
      <w:pPr>
        <w:pStyle w:val="Heading2"/>
        <w:keepNext/>
        <w:spacing w:before="120" w:after="80"/>
      </w:pPr>
      <w:r>
        <w:rPr>
          <w:rFonts w:ascii="Calibri" w:hAnsi="Calibri" w:cs="Calibri" w:eastAsia="Calibri"/>
          <w:b/>
          <w:i w:val="0"/>
          <w:color w:val="1F3864"/>
          <w:sz w:val="24"/>
          <w:szCs w:val="24"/>
          <w:bCs/>
        </w:rPr>
        <w:t>Common Mistakes to Avoid</w:t>
      </w:r>
    </w:p>
    <w:p>
      <w:pPr>
        <w:pStyle w:val="ListBullet"/>
        <w:spacing w:after="40"/>
      </w:pPr>
      <w:r>
        <w:rPr>
          <w:rFonts w:ascii="Calibri" w:hAnsi="Calibri" w:cs="Calibri" w:eastAsia="Calibri"/>
          <w:b w:val="0"/>
          <w:i w:val="0"/>
          <w:sz w:val="21"/>
          <w:szCs w:val="21"/>
        </w:rPr>
        <w:t>Movers keep old access, accumulating rights over years.</w:t>
      </w:r>
    </w:p>
    <w:p>
      <w:pPr>
        <w:pStyle w:val="Heading1"/>
        <w:keepNext/>
        <w:spacing w:before="200" w:after="80"/>
      </w:pPr>
      <w:r>
        <w:rPr>
          <w:rFonts w:ascii="Calibri" w:hAnsi="Calibri" w:cs="Calibri" w:eastAsia="Calibri"/>
          <w:b/>
          <w:i w:val="0"/>
          <w:color w:val="1F3864"/>
          <w:sz w:val="29"/>
          <w:szCs w:val="29"/>
          <w:bCs/>
        </w:rPr>
        <w:t>6. Annex: Traceability and Related Documents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PR.AA-01: Identities and credentials for authorized users, services, and hardware are managed</w:t>
            </w:r>
          </w:p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PR.AA-05: Access permissions, entitlements, and authorizations are defined, managed, enforced, and reviewed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Annex A.5.16, Annex A.5.18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AC-2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Legal, Regulatory, and Other References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ISO/IEC 27001:2022 Annex A 5.16 and 5.18; PDPC Notification on Security Measures B.E. 2565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Parent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PR-POL-001: Access Control Policy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Calibri" w:hAnsi="Calibri" w:cs="Calibri" w:eastAsia="Calibri"/>
                <w:b/>
                <w:i w:val="0"/>
                <w:sz w:val="18"/>
                <w:szCs w:val="18"/>
                <w:bCs/>
              </w:rPr>
              <w:t>Child Documents</w:t>
            </w:r>
          </w:p>
        </w:tc>
        <w:tc>
          <w:tcPr>
            <w:tcW w:type="dxa" w:w="6520"/>
          </w:tcPr>
          <w:p>
            <w:r>
              <w:rPr>
                <w:rFonts w:ascii="Calibri" w:hAnsi="Calibri" w:cs="Calibri" w:eastAsia="Calibri"/>
                <w:b w:val="0"/>
                <w:i w:val="0"/>
                <w:sz w:val="18"/>
                <w:szCs w:val="18"/>
              </w:rPr>
              <w:t>PR-FRM-001: User Access Request Form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 xml:space="preserve">Classification: Internal    Page </w:t>
    </w:r>
    <w:r>
      <w:rPr>
        <w:rFonts w:ascii="Calibri" w:hAnsi="Calibri" w:cs="Calibri" w:eastAsia="Calibri"/>
        <w:color w:val="595959"/>
        <w:sz w:val="16"/>
        <w:szCs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cs="Calibri" w:eastAsia="Calibri"/>
        <w:b w:val="0"/>
        <w:i w:val="0"/>
        <w:color w:val="595959"/>
        <w:sz w:val="16"/>
        <w:szCs w:val="16"/>
      </w:rPr>
      <w:t>[Organization Name]  |  PR-PRC-001  |  User Access Management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