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Privileged Access Management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PR-STD-002  |  Standard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Access Management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 and 8.18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requirements for managing privileged accounts and administrative access, the most targeted access in ransomware attacks (PR.AA-05).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measurable privileged access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Administrators use a separate named privileged account, never their daily user account.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 privileged accounts are recorded in the Privileged Account Register (PR-REG-001) with owner and justification.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access requires phishing-resistant MFA and goes through a privileged access management (PAM) jump host with session recording.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Domain and cloud tenant administrator accounts are limited to the minimum number (target: no more than 5).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 just-in-time elevation where available; standing privileges are reviewed quarterly.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Privileged sessions are logged and forwarded to the security monitoring platform.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PA-07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Administrators use hardened admin workstations that do not browse the internet or read email.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PA-08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Emergency (break-glass) accounts are stored in a sealed vault, monitored, and tested twice a year.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PA-09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Local administrator passwords on endpoints and servers are unique and rotated automatically.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Implement a tiered administration model (Tier 0 identity systems, Tier 1 servers, Tier 2 workstations) to stop credential reuse across tiers.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Route all vendor administrative access through the same PAM platform.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Dozens of domain administrator accounts, many unused or belonging to former vendors.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PR.AA-01: Identities and credentials for authorized users, services, and hardware are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A.8.2, Annex A.8.18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AC-6, 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8.2 and 8.18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PR-POL-001: Access Control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PR-FRM-002: Privileged Access Request Form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PR-REG-001: Privileged Account Register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PR-STD-002  |  Privileged Access Management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