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Phishing Simulation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PR-PRC-004  |  Procedure  |  Awareness and Training (PR.AT)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Phishing Simulation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Awareness and Training (PR.AT)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Optional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800-50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People (A.6); tags: People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governs simulated phishing campaigns that measure and improve staff resistance to phishing, while protecting staff privacy and trust.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rules for running campaigns ethically.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Campaigns are approved by the Chief Information Security Officer (CISO) or Security Manager and HR; executives are informed but not exempt.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Scenarios reflect real threats but avoid content that causes distress (for example, fake bonuses or health alarms).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Results are reported in aggregate; individual results are used only for coaching, not punishment, unless repeated after training.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Users who click receive immediate short training.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Personal data in results is handled per the employee privacy notice.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Campaign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steps per campaign.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Plan scenario, audience, and timing; whitelist the simulation platform with the email team and SOC.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Launch and monitor; pause if it disrupts operations.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Deliver just-in-time training to clickers.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Report click, credential entry, and report rates by department.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Plan targeted training for high-risk groups.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Avoid running campaigns during clinical or operational peaks.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Celebrate departments with high report rates.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Publicly naming staff who clicked, which damages trust and reduces reporting.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PR.AT-01: Personnel are provided with awareness and training for general tasks with cybersecurity risks in mind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A.6.3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AT-2(1)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800-50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PR-PLN-001: Security Awareness and Training Program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PR-PRC-004  |  Phishing Simulation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