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Protection and Classification Policy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PR-POL-003  |  Policy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and Classification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1: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5.12 and 5.13; PDPA s.37(1)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Legal and Regulatory, Privacy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sets how information is classified and protected according to its sensitivity, at rest, in transit, and in use, throughout its life cycle (PR.DS-01, PR.DS-02, PR.DS-10).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Policy Statements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mandatory data protection principles.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All information has an owner who assigns its classification using the Information Classification and Handling Standard (PR-STD-004).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Protection controls (encryption, access, labeling, sharing) are applied according to classification.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Restricted and Confidential data are encrypted at rest and in transit (PR-STD-005).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Data is backed up according to the Backup Standard (PR-STD-006).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Data is retained only as long as required and then securely disposed of (PR-STD-007).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Transfer of Restricted data to third parties requires a contract with security and data protection clauses.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policy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classification to three or four levels that users can remember.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Apply default labels automatically where possible, rather than relying on users to label every file.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Classifying everything as Confidential, so the label carries no meaning.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PR.DS-01: The confidentiality, integrity, and availability of data-at-rest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PR.DS-02: The confidentiality, integrity, and availability of data-in-transit are protected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PR.DS-10: The confidentiality, integrity, and availability of data-in-use are protected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A.5.12, Annex A.5.13, Annex A.5.14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RA-2, MP-1, SC-1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5.12 and 5.13; PDPA s.37(1)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PR-STD-004: Information Classification and Handling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PR-STD-005: Cryptography and Key Management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PR-STD-006: Backup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PR-STD-007: Data Retention and Disposal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PR-STD-008: Data Loss Prevention Standard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PR-POL-003  |  Data Protection and Classification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