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Network Security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PR-STD-016  |  Standard  |  Technology Infrastructure Resilience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Security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Technology Infrastructure Resilience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 to 8.23; CIS Controls v8.1 Controls 12 and 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network segmentation, boundary protection, wireless, DNS, and web filtering to protect networks from unauthorized access (PR.IR-01).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network security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NW-01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Segment the network into zones (ID-RPT-001); traffic between zones is denied by default and allowed by documented rules.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NW-02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Internet-facing services sit in a DMZ behind a firewall and, for web, a web application firewall.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NW-03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Management interfaces are reachable only from the management zone.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NW-04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Wireless uses WPA2-Enterprise or WPA3 with directory authentication; guest Wi-Fi is isolated.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NW-05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access control blocks unknown devices on wired ports in sensitive areas.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NW-06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DNS filtering and web filtering block known malicious and high-risk categories.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NW-07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Firewall rules are reviewed every six months; unused and overly broad rules are removed (PR-PRC-008).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NW-08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Email gateway filters malware and phishing and enforces SPF, DKIM, and DMARC.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Segment to limit ransomware spread: separate user, server, management, backup, and device networks.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Move DMARC policy to reject after monitoring.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Flat networks where any workstation can reach every server.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PR.IR-01: Networks and environments are protected from unauthorized logical access and usage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A.8.20, Annex A.8.21, Annex A.8.22, Annex A.8.23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SC-7, AC-4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 to 8.23; CIS Controls v8.1 Controls 12 and 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PR-PRC-008: Firewall Rule Management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PR-STD-016  |  Network Security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