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Secure Configuration Baseline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PR-STD-010  |  Standard  |  Platform Security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Secure Configuration Baseline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Platform Security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8.9; CIS Controls v8.1 Control 4; CIS Benchmarks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requires every system to be built and kept to an approved secure configuration baseline, and defines how baselines are set, applied, and checked (PR.PS-01).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measurable configuration management requirements.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CF-01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Baselines exist for each platform (Windows, Linux, network devices, databases, cloud services), based on CIS Benchmarks Level 1 or vendor hardening guides.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CF-02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New systems are built from approved images or templates that apply the baseline.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CF-03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Unnecessary services, ports, accounts, and software are removed or disabled.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CF-04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Configuration compliance is scanned at least monthly; deviations are fixed or approved as exceptions.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CF-05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Baseline changes follow the Change Management Procedure (PR-PRC-006).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CF-06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Baselines are reviewed annually and when vendors release major versions.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Automate baseline enforcement with group policy, configuration management tools, or cloud policies.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Test baselines on clinical or production applications before broad rollout.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Applying CIS Level 2 settings everywhere without testing, breaking applications.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PR.PS-01: Configuration management practices are established and applied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CM-2, CM-6, CM-7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8.9; CIS Controls v8.1 Control 4; CIS Benchmarks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PR-STD-010  |  Secure Configuration Baseline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