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[Organization Name]</w:t>
      </w:r>
    </w:p>
    <w:p>
      <w:pPr>
        <w:pStyle w:val="Heading1"/>
        <w:keepNext/>
        <w:spacing w:before="200" w:after="80"/>
      </w:pPr>
      <w:r>
        <w:rPr>
          <w:rFonts w:ascii="Calibri" w:hAnsi="Calibri" w:cs="Calibri" w:eastAsia="Calibri"/>
          <w:b/>
          <w:i w:val="0"/>
          <w:color w:val="1F3864"/>
          <w:sz w:val="39"/>
          <w:szCs w:val="39"/>
          <w:bCs/>
        </w:rPr>
        <w:t>Logging Standard</w:t>
      </w:r>
    </w:p>
    <w:p>
      <w:pPr>
        <w:spacing w:after="80" w:before="0"/>
      </w:pPr>
      <w:r>
        <w:rPr>
          <w:rFonts w:ascii="Calibri" w:hAnsi="Calibri" w:cs="Calibri" w:eastAsia="Calibri"/>
          <w:b w:val="0"/>
          <w:i w:val="0"/>
          <w:color w:val="595959"/>
          <w:sz w:val="18"/>
          <w:szCs w:val="18"/>
        </w:rPr>
        <w:t>PR-STD-011  |  Standard  |  Platform Security (PR.PS)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How to Use This Template: </w:t>
            </w:r>
            <w:r>
              <w:rPr>
                <w:rFonts w:ascii="Calibri" w:hAnsi="Calibri" w:cs="Calibri" w:eastAsia="Calibri"/>
                <w:b w:val="0"/>
                <w:i w:val="0"/>
                <w:sz w:val="18"/>
                <w:szCs w:val="18"/>
              </w:rPr>
              <w:t>Replace text in square brackets with your organization's details. Keep every Part A section, because each one is a minimum requirement. Use Part B to raise maturity. Delete the blue requirement boxes and this note before you issue the document. This template is a sample and is not legal advice; confirm items marked [VERIFY] with current Thai regulations before use.</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PR-STD-011</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Logging Standard</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1.0</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Template (not 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Chief Information Security Officer (CISO) or Security Manager</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Chief Information Officer (CIO)</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[DD Month YYYY]</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Annual</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[DD Month YYYY]</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2: Standard</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Standard</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Protect (PR)</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Platform Security (PR.PS)</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Expected</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CCA</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Computer Crime Act B.E. 2550 s.26 (service providers retain computer traffic data for at least 90 days; the Act sets the duty, not the document); ISO/IEC 27001:2022 Annex A 8.15 and 8.17</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Technological (A.8); tags: Technology, Legal and Regulatory</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Essential</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[DD Month YYYY]</w:t>
            </w:r>
          </w:p>
        </w:tc>
        <w:tc>
          <w:tcPr>
            <w:tcW w:type="dxa" w:w="3742"/>
          </w:tcPr>
          <w:p>
            <w:r/>
            <w:r>
              <w:rPr>
                <w:rFonts w:ascii="Calibri" w:hAnsi="Calibri" w:cs="Calibri" w:eastAsia="Calibri"/>
                <w:b w:val="0"/>
                <w:i w:val="0"/>
                <w:sz w:val="18"/>
                <w:szCs w:val="18"/>
              </w:rPr>
              <w:t>Initial release</w:t>
            </w:r>
          </w:p>
        </w:tc>
        <w:tc>
          <w:tcPr>
            <w:tcW w:type="dxa" w:w="1587"/>
          </w:tcPr>
          <w:p>
            <w:r/>
            <w:r>
              <w:rPr>
                <w:rFonts w:ascii="Calibri" w:hAnsi="Calibri" w:cs="Calibri" w:eastAsia="Calibri"/>
                <w:b w:val="0"/>
                <w:i w:val="0"/>
                <w:sz w:val="18"/>
                <w:szCs w:val="18"/>
              </w:rPr>
              <w:t>[Name, Role]</w:t>
            </w:r>
          </w:p>
        </w:tc>
        <w:tc>
          <w:tcPr>
            <w:tcW w:type="dxa" w:w="1531"/>
          </w:tcPr>
          <w:p>
            <w:r/>
            <w:r>
              <w:rPr>
                <w:rFonts w:ascii="Calibri" w:hAnsi="Calibri" w:cs="Calibri" w:eastAsia="Calibri"/>
                <w:b w:val="0"/>
                <w:i w:val="0"/>
                <w:sz w:val="18"/>
                <w:szCs w:val="18"/>
              </w:rPr>
              <w:t>[Name, Role]</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standard sets which events must be logged, how logs are protected, synchronized, retained, and forwarded for monitoring, including computer traffic data retention under the Computer Crime Act B.E. 2550 s.26 (PR.PS-04).</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standard applies to all employees, contractors, temporary staff, and third parties who access [Organization Name] information or information systems, at all sites, including cloud services operated on behalf of [Organization Name].</w:t>
      </w:r>
    </w:p>
    <w:p>
      <w:pPr>
        <w:pStyle w:val="Heading2"/>
        <w:keepNext/>
        <w:spacing w:before="120" w:after="80"/>
      </w:pPr>
      <w:r>
        <w:rPr>
          <w:rFonts w:ascii="Calibri" w:hAnsi="Calibri" w:cs="Calibri" w:eastAsia="Calibri"/>
          <w:b/>
          <w:i w:val="0"/>
          <w:color w:val="1F3864"/>
          <w:sz w:val="24"/>
          <w:szCs w:val="24"/>
          <w:bCs/>
        </w:rPr>
        <w:t>4.3 Events to Log</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List minimum log events by source.</w:t>
            </w:r>
          </w:p>
        </w:tc>
      </w:tr>
    </w:tbl>
    <w:p>
      <w:pPr>
        <w:spacing w:after="0"/>
      </w:pPr>
    </w:p>
    <w:p>
      <w:pPr>
        <w:spacing w:after="40" w:before="0"/>
      </w:pPr>
      <w:r>
        <w:rPr>
          <w:rFonts w:ascii="Calibri" w:hAnsi="Calibri" w:cs="Calibri" w:eastAsia="Calibri"/>
          <w:b w:val="0"/>
          <w:i/>
          <w:color w:val="595959"/>
          <w:sz w:val="18"/>
          <w:szCs w:val="18"/>
        </w:rPr>
        <w:t>Sample content</w:t>
      </w:r>
    </w:p>
    <w:tbl>
      <w:tblPr>
        <w:tblStyle w:val="TableGrid"/>
        <w:tblW w:type="auto" w:w="0"/>
        <w:jc w:val="center"/>
        <w:tblLayout w:type="fixed"/>
        <w:tblLook w:firstColumn="1" w:firstRow="1" w:lastColumn="0" w:lastRow="0" w:noHBand="0" w:noVBand="1" w:val="04A0"/>
        <w:tblLayout w:type="fixed"/>
      </w:tblPr>
      <w:tblGrid>
        <w:gridCol w:w="2835"/>
        <w:gridCol w:w="6520"/>
      </w:tblGrid>
      <w:tr>
        <w:trPr>
          <w:tblHeader w:val="true"/>
        </w:trPr>
        <w:tc>
          <w:tcPr>
            <w:tcW w:type="dxa" w:w="2835"/>
            <w:shd w:val="clear" w:color="auto" w:fill="1F3864"/>
          </w:tcPr>
          <w:p>
            <w:r/>
            <w:r>
              <w:rPr>
                <w:rFonts w:ascii="Calibri" w:hAnsi="Calibri" w:cs="Calibri" w:eastAsia="Calibri"/>
                <w:b/>
                <w:i w:val="0"/>
                <w:color w:val="FFFFFF"/>
                <w:sz w:val="18"/>
                <w:szCs w:val="18"/>
                <w:bCs/>
              </w:rPr>
              <w:t>Source</w:t>
            </w:r>
          </w:p>
        </w:tc>
        <w:tc>
          <w:tcPr>
            <w:tcW w:type="dxa" w:w="6520"/>
            <w:shd w:val="clear" w:color="auto" w:fill="1F3864"/>
          </w:tcPr>
          <w:p>
            <w:r/>
            <w:r>
              <w:rPr>
                <w:rFonts w:ascii="Calibri" w:hAnsi="Calibri" w:cs="Calibri" w:eastAsia="Calibri"/>
                <w:b/>
                <w:i w:val="0"/>
                <w:color w:val="FFFFFF"/>
                <w:sz w:val="18"/>
                <w:szCs w:val="18"/>
                <w:bCs/>
              </w:rPr>
              <w:t>Minimum events</w:t>
            </w:r>
          </w:p>
        </w:tc>
      </w:tr>
      <w:tr>
        <w:tc>
          <w:tcPr>
            <w:tcW w:type="dxa" w:w="2835"/>
          </w:tcPr>
          <w:p>
            <w:r/>
            <w:r>
              <w:rPr>
                <w:rFonts w:ascii="Calibri" w:hAnsi="Calibri" w:cs="Calibri" w:eastAsia="Calibri"/>
                <w:b w:val="0"/>
                <w:i w:val="0"/>
                <w:sz w:val="18"/>
                <w:szCs w:val="18"/>
              </w:rPr>
              <w:t>Identity systems</w:t>
            </w:r>
          </w:p>
        </w:tc>
        <w:tc>
          <w:tcPr>
            <w:tcW w:type="dxa" w:w="6520"/>
          </w:tcPr>
          <w:p>
            <w:r/>
            <w:r>
              <w:rPr>
                <w:rFonts w:ascii="Calibri" w:hAnsi="Calibri" w:cs="Calibri" w:eastAsia="Calibri"/>
                <w:b w:val="0"/>
                <w:i w:val="0"/>
                <w:sz w:val="18"/>
                <w:szCs w:val="18"/>
              </w:rPr>
              <w:t>Sign-in success and failure, MFA events, account and group changes, privilege changes</w:t>
            </w:r>
          </w:p>
        </w:tc>
      </w:tr>
      <w:tr>
        <w:tc>
          <w:tcPr>
            <w:tcW w:type="dxa" w:w="2835"/>
          </w:tcPr>
          <w:p>
            <w:r/>
            <w:r>
              <w:rPr>
                <w:rFonts w:ascii="Calibri" w:hAnsi="Calibri" w:cs="Calibri" w:eastAsia="Calibri"/>
                <w:b w:val="0"/>
                <w:i w:val="0"/>
                <w:sz w:val="18"/>
                <w:szCs w:val="18"/>
              </w:rPr>
              <w:t>Servers and endpoints</w:t>
            </w:r>
          </w:p>
        </w:tc>
        <w:tc>
          <w:tcPr>
            <w:tcW w:type="dxa" w:w="6520"/>
          </w:tcPr>
          <w:p>
            <w:r/>
            <w:r>
              <w:rPr>
                <w:rFonts w:ascii="Calibri" w:hAnsi="Calibri" w:cs="Calibri" w:eastAsia="Calibri"/>
                <w:b w:val="0"/>
                <w:i w:val="0"/>
                <w:sz w:val="18"/>
                <w:szCs w:val="18"/>
              </w:rPr>
              <w:t>Logons, process creation, service installation, security tool alerts, log clearing</w:t>
            </w:r>
          </w:p>
        </w:tc>
      </w:tr>
      <w:tr>
        <w:tc>
          <w:tcPr>
            <w:tcW w:type="dxa" w:w="2835"/>
          </w:tcPr>
          <w:p>
            <w:r/>
            <w:r>
              <w:rPr>
                <w:rFonts w:ascii="Calibri" w:hAnsi="Calibri" w:cs="Calibri" w:eastAsia="Calibri"/>
                <w:b w:val="0"/>
                <w:i w:val="0"/>
                <w:sz w:val="18"/>
                <w:szCs w:val="18"/>
              </w:rPr>
              <w:t>Network and security devices</w:t>
            </w:r>
          </w:p>
        </w:tc>
        <w:tc>
          <w:tcPr>
            <w:tcW w:type="dxa" w:w="6520"/>
          </w:tcPr>
          <w:p>
            <w:r/>
            <w:r>
              <w:rPr>
                <w:rFonts w:ascii="Calibri" w:hAnsi="Calibri" w:cs="Calibri" w:eastAsia="Calibri"/>
                <w:b w:val="0"/>
                <w:i w:val="0"/>
                <w:sz w:val="18"/>
                <w:szCs w:val="18"/>
              </w:rPr>
              <w:t>Allowed and denied connections at boundaries, VPN sessions, IPS and web proxy events</w:t>
            </w:r>
          </w:p>
        </w:tc>
      </w:tr>
      <w:tr>
        <w:tc>
          <w:tcPr>
            <w:tcW w:type="dxa" w:w="2835"/>
          </w:tcPr>
          <w:p>
            <w:r/>
            <w:r>
              <w:rPr>
                <w:rFonts w:ascii="Calibri" w:hAnsi="Calibri" w:cs="Calibri" w:eastAsia="Calibri"/>
                <w:b w:val="0"/>
                <w:i w:val="0"/>
                <w:sz w:val="18"/>
                <w:szCs w:val="18"/>
              </w:rPr>
              <w:t>Applications with sensitive data</w:t>
            </w:r>
          </w:p>
        </w:tc>
        <w:tc>
          <w:tcPr>
            <w:tcW w:type="dxa" w:w="6520"/>
          </w:tcPr>
          <w:p>
            <w:r/>
            <w:r>
              <w:rPr>
                <w:rFonts w:ascii="Calibri" w:hAnsi="Calibri" w:cs="Calibri" w:eastAsia="Calibri"/>
                <w:b w:val="0"/>
                <w:i w:val="0"/>
                <w:sz w:val="18"/>
                <w:szCs w:val="18"/>
              </w:rPr>
              <w:t>Access to records, exports, administrative actions, configuration changes</w:t>
            </w:r>
          </w:p>
        </w:tc>
      </w:tr>
      <w:tr>
        <w:tc>
          <w:tcPr>
            <w:tcW w:type="dxa" w:w="2835"/>
          </w:tcPr>
          <w:p>
            <w:r/>
            <w:r>
              <w:rPr>
                <w:rFonts w:ascii="Calibri" w:hAnsi="Calibri" w:cs="Calibri" w:eastAsia="Calibri"/>
                <w:b w:val="0"/>
                <w:i w:val="0"/>
                <w:sz w:val="18"/>
                <w:szCs w:val="18"/>
              </w:rPr>
              <w:t>Cloud services</w:t>
            </w:r>
          </w:p>
        </w:tc>
        <w:tc>
          <w:tcPr>
            <w:tcW w:type="dxa" w:w="6520"/>
          </w:tcPr>
          <w:p>
            <w:r/>
            <w:r>
              <w:rPr>
                <w:rFonts w:ascii="Calibri" w:hAnsi="Calibri" w:cs="Calibri" w:eastAsia="Calibri"/>
                <w:b w:val="0"/>
                <w:i w:val="0"/>
                <w:sz w:val="18"/>
                <w:szCs w:val="18"/>
              </w:rPr>
              <w:t>Administrative activity, sign-ins, sharing, API key use</w:t>
            </w:r>
          </w:p>
        </w:tc>
      </w:tr>
      <w:tr>
        <w:tc>
          <w:tcPr>
            <w:tcW w:type="dxa" w:w="2835"/>
          </w:tcPr>
          <w:p>
            <w:r/>
            <w:r>
              <w:rPr>
                <w:rFonts w:ascii="Calibri" w:hAnsi="Calibri" w:cs="Calibri" w:eastAsia="Calibri"/>
                <w:b w:val="0"/>
                <w:i w:val="0"/>
                <w:sz w:val="18"/>
                <w:szCs w:val="18"/>
              </w:rPr>
              <w:t>Internet access services for users (traffic data)</w:t>
            </w:r>
          </w:p>
        </w:tc>
        <w:tc>
          <w:tcPr>
            <w:tcW w:type="dxa" w:w="6520"/>
          </w:tcPr>
          <w:p>
            <w:r/>
            <w:r>
              <w:rPr>
                <w:rFonts w:ascii="Calibri" w:hAnsi="Calibri" w:cs="Calibri" w:eastAsia="Calibri"/>
                <w:b w:val="0"/>
                <w:i w:val="0"/>
                <w:sz w:val="18"/>
                <w:szCs w:val="18"/>
              </w:rPr>
              <w:t>Source, destination, time, duration, and identity where available (Computer Crime Act s.26)</w:t>
            </w:r>
          </w:p>
        </w:tc>
      </w:tr>
    </w:tbl>
    <w:p>
      <w:pPr>
        <w:spacing w:after="40"/>
      </w:pPr>
    </w:p>
    <w:p>
      <w:pPr>
        <w:pStyle w:val="Heading2"/>
        <w:keepNext/>
        <w:spacing w:before="120" w:after="80"/>
      </w:pPr>
      <w:r>
        <w:rPr>
          <w:rFonts w:ascii="Calibri" w:hAnsi="Calibri" w:cs="Calibri" w:eastAsia="Calibri"/>
          <w:b/>
          <w:i w:val="0"/>
          <w:color w:val="1F3864"/>
          <w:sz w:val="24"/>
          <w:szCs w:val="24"/>
          <w:bCs/>
        </w:rPr>
        <w:t>4.4 Protection, Time, and Retention</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Set log protection, clock synchronization, and retention requirements.</w:t>
            </w:r>
          </w:p>
        </w:tc>
      </w:tr>
    </w:tbl>
    <w:p>
      <w:pPr>
        <w:spacing w:after="0"/>
      </w:pPr>
    </w:p>
    <w:p>
      <w:pPr>
        <w:spacing w:after="40" w:before="0"/>
      </w:pPr>
      <w:r>
        <w:rPr>
          <w:rFonts w:ascii="Calibri" w:hAnsi="Calibri" w:cs="Calibri" w:eastAsia="Calibri"/>
          <w:b w:val="0"/>
          <w:i/>
          <w:color w:val="595959"/>
          <w:sz w:val="18"/>
          <w:szCs w:val="18"/>
        </w:rPr>
        <w:t>Sample content</w:t>
      </w:r>
    </w:p>
    <w:p>
      <w:pPr>
        <w:pStyle w:val="ListBullet"/>
        <w:spacing w:after="40"/>
      </w:pPr>
      <w:r>
        <w:rPr>
          <w:rFonts w:ascii="Calibri" w:hAnsi="Calibri" w:cs="Calibri" w:eastAsia="Calibri"/>
          <w:b w:val="0"/>
          <w:i w:val="0"/>
          <w:sz w:val="21"/>
          <w:szCs w:val="21"/>
        </w:rPr>
        <w:t>Forward logs to a central platform within 5 minutes; local logs are not the only copy.</w:t>
      </w:r>
    </w:p>
    <w:p>
      <w:pPr>
        <w:pStyle w:val="ListBullet"/>
        <w:spacing w:after="40"/>
      </w:pPr>
      <w:r>
        <w:rPr>
          <w:rFonts w:ascii="Calibri" w:hAnsi="Calibri" w:cs="Calibri" w:eastAsia="Calibri"/>
          <w:b w:val="0"/>
          <w:i w:val="0"/>
          <w:sz w:val="21"/>
          <w:szCs w:val="21"/>
        </w:rPr>
        <w:t>Restrict log access and prevent modification; alert on log clearing or forwarding failure.</w:t>
      </w:r>
    </w:p>
    <w:p>
      <w:pPr>
        <w:pStyle w:val="ListBullet"/>
        <w:spacing w:after="40"/>
      </w:pPr>
      <w:r>
        <w:rPr>
          <w:rFonts w:ascii="Calibri" w:hAnsi="Calibri" w:cs="Calibri" w:eastAsia="Calibri"/>
          <w:b w:val="0"/>
          <w:i w:val="0"/>
          <w:sz w:val="21"/>
          <w:szCs w:val="21"/>
        </w:rPr>
        <w:t>Synchronize all clocks to an approved time source (NTP) within 1 second (ISO/IEC 27001:2022 Annex A 8.17).</w:t>
      </w:r>
    </w:p>
    <w:p>
      <w:pPr>
        <w:pStyle w:val="ListBullet"/>
        <w:spacing w:after="40"/>
      </w:pPr>
      <w:r>
        <w:rPr>
          <w:rFonts w:ascii="Calibri" w:hAnsi="Calibri" w:cs="Calibri" w:eastAsia="Calibri"/>
          <w:b w:val="0"/>
          <w:i w:val="0"/>
          <w:sz w:val="21"/>
          <w:szCs w:val="21"/>
        </w:rPr>
        <w:t>Retain computer traffic data for at least 90 days where the organization acts as a service provider, and longer when officials request (Computer Crime Act B.E. 2550 s.26).</w:t>
      </w:r>
    </w:p>
    <w:p>
      <w:pPr>
        <w:pStyle w:val="ListBullet"/>
        <w:spacing w:after="40"/>
      </w:pPr>
      <w:r>
        <w:rPr>
          <w:rFonts w:ascii="Calibri" w:hAnsi="Calibri" w:cs="Calibri" w:eastAsia="Calibri"/>
          <w:b w:val="0"/>
          <w:i w:val="0"/>
          <w:sz w:val="21"/>
          <w:szCs w:val="21"/>
        </w:rPr>
        <w:t>Retain security logs for at least 1 year (online 90 days).</w:t>
      </w:r>
    </w:p>
    <w:p>
      <w:pPr>
        <w:pStyle w:val="Heading2"/>
        <w:keepNext/>
        <w:spacing w:before="120" w:after="80"/>
      </w:pPr>
      <w:r>
        <w:rPr>
          <w:rFonts w:ascii="Calibri" w:hAnsi="Calibri" w:cs="Calibri" w:eastAsia="Calibri"/>
          <w:b/>
          <w:i w:val="0"/>
          <w:color w:val="1F3864"/>
          <w:sz w:val="24"/>
          <w:szCs w:val="24"/>
          <w:bCs/>
        </w:rPr>
        <w:t>4.5 Compliance and Exceptions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that compliance is mandatory, how compliance is verified, how exceptions are requested, and the consequence of violation.</w:t>
            </w:r>
          </w:p>
        </w:tc>
      </w:tr>
    </w:tbl>
    <w:p>
      <w:pPr>
        <w:spacing w:after="0"/>
      </w:pPr>
    </w:p>
    <w:p>
      <w:pPr>
        <w:spacing w:after="40" w:before="0"/>
      </w:pPr>
      <w:r>
        <w:rPr>
          <w:rFonts w:ascii="Calibri" w:hAnsi="Calibri" w:cs="Calibri" w:eastAsia="Calibri"/>
          <w:b w:val="0"/>
          <w:i/>
          <w:color w:val="595959"/>
          <w:sz w:val="18"/>
          <w:szCs w:val="18"/>
        </w:rPr>
        <w:t>Sample content</w:t>
      </w:r>
    </w:p>
    <w:p>
      <w:pPr>
        <w:pStyle w:val="ListBullet"/>
        <w:spacing w:after="40"/>
      </w:pPr>
      <w:r>
        <w:rPr>
          <w:rFonts w:ascii="Calibri" w:hAnsi="Calibri" w:cs="Calibri" w:eastAsia="Calibri"/>
          <w:b w:val="0"/>
          <w:i w:val="0"/>
          <w:sz w:val="21"/>
          <w:szCs w:val="21"/>
        </w:rPr>
        <w:t>Compliance with this standard is mandatory for everyone in scope.</w:t>
      </w:r>
    </w:p>
    <w:p>
      <w:pPr>
        <w:pStyle w:val="ListBullet"/>
        <w:spacing w:after="40"/>
      </w:pPr>
      <w:r>
        <w:rPr>
          <w:rFonts w:ascii="Calibri" w:hAnsi="Calibri" w:cs="Calibri" w:eastAsia="Calibri"/>
          <w:b w:val="0"/>
          <w:i w:val="0"/>
          <w:sz w:val="21"/>
          <w:szCs w:val="21"/>
        </w:rPr>
        <w:t>The Chief Information Security Officer (CISO) or Security Manager verifies compliance through periodic reviews, technical checks, and internal audit (GV-PRC-007).</w:t>
      </w:r>
    </w:p>
    <w:p>
      <w:pPr>
        <w:pStyle w:val="ListBullet"/>
        <w:spacing w:after="40"/>
      </w:pPr>
      <w:r>
        <w:rPr>
          <w:rFonts w:ascii="Calibri" w:hAnsi="Calibri" w:cs="Calibri" w:eastAsia="Calibri"/>
          <w:b w:val="0"/>
          <w:i w:val="0"/>
          <w:sz w:val="21"/>
          <w:szCs w:val="21"/>
        </w:rPr>
        <w:t>Requests for deviation follow the Policy Exception Management Procedure (GV-PRC-003). No exception is valid without written approval and an expiry date.</w:t>
      </w:r>
    </w:p>
    <w:p>
      <w:pPr>
        <w:pStyle w:val="ListBullet"/>
        <w:spacing w:after="40"/>
      </w:pPr>
      <w:r>
        <w:rPr>
          <w:rFonts w:ascii="Calibri" w:hAnsi="Calibri" w:cs="Calibri" w:eastAsia="Calibri"/>
          <w:b w:val="0"/>
          <w:i w:val="0"/>
          <w:sz w:val="21"/>
          <w:szCs w:val="21"/>
        </w:rPr>
        <w:t>Violations may result in disciplinary action under the Human Resources Security Standard (GV-STD-001) and applicable law.</w:t>
      </w: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Prioritize log sources that help detect ransomware: identity, endpoint detection and response, VPN, and backup systems.</w:t>
      </w:r>
    </w:p>
    <w:p>
      <w:pPr>
        <w:pStyle w:val="ListBullet"/>
        <w:spacing w:after="40"/>
      </w:pPr>
      <w:r>
        <w:rPr>
          <w:rFonts w:ascii="Calibri" w:hAnsi="Calibri" w:cs="Calibri" w:eastAsia="Calibri"/>
          <w:b w:val="0"/>
          <w:i w:val="0"/>
          <w:sz w:val="21"/>
          <w:szCs w:val="21"/>
        </w:rPr>
        <w:t>Confirm with Legal whether guest or patient Wi-Fi makes the organization a service provider under the Computer Crime Act.</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Logs kept only on the device, where attackers delete them.</w:t>
      </w:r>
    </w:p>
    <w:p>
      <w:pPr>
        <w:pStyle w:val="ListBullet"/>
        <w:spacing w:after="40"/>
      </w:pPr>
      <w:r>
        <w:rPr>
          <w:rFonts w:ascii="Calibri" w:hAnsi="Calibri" w:cs="Calibri" w:eastAsia="Calibri"/>
          <w:b w:val="0"/>
          <w:i w:val="0"/>
          <w:sz w:val="21"/>
          <w:szCs w:val="21"/>
        </w:rPr>
        <w:t>Clocks out of sync, which makes incident timelines unreliable.</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PR.PS-04: Log records are generated and made available for continuous monitoring</w:t>
            </w:r>
          </w:p>
          <w:p>
            <w:r>
              <w:rPr>
                <w:rFonts w:ascii="Calibri" w:hAnsi="Calibri" w:cs="Calibri" w:eastAsia="Calibri"/>
                <w:b w:val="0"/>
                <w:i w:val="0"/>
                <w:sz w:val="18"/>
                <w:szCs w:val="18"/>
              </w:rPr>
              <w:t>DE.CM-01: Networks and network services are monitored to find potentially adverse events</w:t>
            </w:r>
          </w:p>
          <w:p>
            <w:r>
              <w:rPr>
                <w:rFonts w:ascii="Calibri" w:hAnsi="Calibri" w:cs="Calibri" w:eastAsia="Calibri"/>
                <w:b w:val="0"/>
                <w:i w:val="0"/>
                <w:sz w:val="18"/>
                <w:szCs w:val="18"/>
              </w:rPr>
              <w:t>DE.CM-03: Personnel activity and technology usage are monitored to find potentially adverse events</w:t>
            </w:r>
          </w:p>
          <w:p>
            <w:r>
              <w:rPr>
                <w:rFonts w:ascii="Calibri" w:hAnsi="Calibri" w:cs="Calibri" w:eastAsia="Calibri"/>
                <w:b w:val="0"/>
                <w:i w:val="0"/>
                <w:sz w:val="18"/>
                <w:szCs w:val="18"/>
              </w:rPr>
              <w:t>DE.CM-09: Computing hardware and software, runtime environments, and their data are monitored to find potentially adverse events</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Annex A.8.15, Annex A.8.17</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AU-2, AU-3, AU-8, AU-9, AU-11</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Computer Crime Act B.E. 2550 s.26 (service providers retain computer traffic data for at least 90 days; the Act sets the duty, not the document); ISO/IEC 27001:2022 Annex A 8.15 and 8.17</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GV-POL-001: Information Security Policy</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None</w:t>
            </w:r>
          </w:p>
        </w:tc>
      </w:tr>
    </w:tbl>
    <w:p>
      <w:pPr>
        <w:spacing w:after="40"/>
      </w:pPr>
    </w:p>
    <w:sectPr w:rsidR="00FC693F" w:rsidRPr="0006063C" w:rsidSect="00034616">
      <w:headerReference w:type="default" r:id="rId9"/>
      <w:footerReference w:type="default" r:id="rId10"/>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[Organization Name]  |  PR-STD-011  |  Logging Standard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