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Cloud Security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PR-STD-014  |  Standard  |  Platform Security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PR-STD-014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Cloud Security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Platform Security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5.23; ISO/IEC 27017; CRC Notification on cloud security for CII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Technology, Cloud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security requirements for selecting, configuring, and operating cloud services (IaaS, PaaS, SaaS), based on the shared responsibility model (ISO/IEC 27001:2022 Annex A 5.23).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cloud security requirements.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CL-01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Every cloud service is approved through supplier assessment (GV-PRC-008) and recorded in ID-REG-002.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CL-02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Document the shared responsibility split for each service.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CL-03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Cloud administrators use SSO with phishing-resistant MFA; no root or global admin use for daily work.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CL-04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Data location and cross-border transfer comply with the PDPA (s.28 and s.29) and contracts.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CL-05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Encrypt data at rest and in transit; manage keys per PR-STD-005.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CL-06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Enable cloud audit logging and forward logs to the monitoring platform.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CL-07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Monitor cloud configuration continuously against secure baselines using automated configuration checks.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CL-08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Back up SaaS data where the provider does not retain it sufficiently.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CL-09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Plan exit: data export format and deletion at termination.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CL-10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CII organizations confirm compliance with any NCSA or CRC cloud security requirements. [VERIFY]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provider security benchmarks (for example, CIS Microsoft 365 Foundations Benchmark) as baselines.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Review external sharing settings in collaboration platforms quarterly.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Assuming the cloud provider is responsible for configuration and access.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PR.PS-01: Configuration management practices are established and applied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PR.IR-01: Networks and environments are protected from unauthorized logical access and usage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GV.SC-05: Requirements to address supply chain risks are established, prioritized, and integrated into contracts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A.5.23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SA-9, AC-20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5.23; ISO/IEC 27017; CRC Notification on cloud security for CII [VERIFY]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GV-POL-006: Third-Party and Supply Chain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PR-STD-014  |  Cloud Security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