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Threat Hunting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DE-PRC-003  |  Procedure  |  Adverse Event Analysis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 Hunting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Adverse Event Analysis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800-53 Rev. 5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guides proactive, hypothesis-driven searches for threats that evaded automated detection (DE.AE-02, DE.AE-03, DE.AE-07).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Hunt 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hunt cycle.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Form a hypothesis from threat intelligence or recent incidents (for example, 'attackers use remote management tools for persistence').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Identify data needed and confirm it is available.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Search, analyze, and pivot across sources.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Confirm or reject the hypothesis; escalate findings as incidents.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Turn successful hunts into automated detections (DE-REG-002).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the hunt, data gaps, and outcomes.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 at least one hunt per quarter focused on the top threat to your sector.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Calling routine alert review 'threat hunting'.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DE.AE-02: Potentially adverse events are analyzed to better understand associated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DE.AE-03: Information is correlated from multiple sources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DE.AE-07: Cyber threat intelligence and other contextual information are integrated into the analysis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800-53 Rev. 5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DE-PRC-003  |  Threat Hunting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