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Managed Security Service Provider (MSSP) Requirements Guideline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DE-GDL-001  |  Guideline  |  Continuous Monitoring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DE-GDL-001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Managed Security Service Provider (MSSP) Requirements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(DE)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 Monitoring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guideline sets out what to require from a managed security service provider (MSSP) for monitoring and response, so the service is measurable and the organization retains control (DE.CM-06, GV.SC-05).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guideline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Service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minimum service elements and measures.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Area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Coverage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24x7 monitoring of agreed log sources; onboarding plan with dates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 levels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Triage and notification times matching DE-STD-001; monthly SLA 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Response authority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Defined actions the MSSP may take (for example, isolate endpoint, disable account) and those that need approval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cases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Agreed detection catalog, tuned quarterly, mapped to MITRE ATT&amp;CK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 intelligence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Included and applied to detections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response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Retainer hours, on-site option, forensic capability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 location, retention, access, deletion at exit; DPA where personal data is processed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Reporting and governance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 service review, quarterly executive 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Exit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Return of logs, rules, and documentation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 a proof of concept with your own data before signing.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Own the detection rules and log platform where possible to avoid lock-in.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Contracts measure ticket counts instead of detection quality and response times.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DE.CM-06: External service provider activities and services are monitored to find potentially adverse events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GV.SC-05: Requirements to address supply chain risks are established, prioritized, and integrated into contracts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A.5.20, Annex A.5.22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GV-STD-002: Supplier Security Requirements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DE-GDL-001  |  Managed Security Service Provider (MSSP) Requirements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