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Digital Forensics and Evidence Handling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RS-PRC-002  |  Procedure  |  Incident Analysis (RS.AN)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Digital Forensics and Evidence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Analysis (RS.AN)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digital evidence is identified, collected, preserved, analyzed, and documented so that findings are reliable and usable for legal, regulatory, or disciplinary purposes (RS.AN-03, RS.AN-06, RS.AN-07, RS.AN-08; ISO/IEC 27037).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Evidence Handling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core principles.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Collect the most volatile evidence first (memory, network connections, running processes), then disks and logs.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Work on forensic copies; record hash values (SHA-256) of originals and copies.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every action with time, person, and tool (RS.AN-06).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Maintain chain of custody for physical and digital evidence (RS-FRM-002).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Store evidence in a secure location with restricted access.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Engage qualified forensic specialists for incidents likely to involve legal action.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Analysis Outputs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what the investigation must establish.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Timeline of attacker activity.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Initial access vector and root cause (RS.AN-03).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Systems, accounts, and data affected; magnitude estimate validated (RS.AN-08).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Indicators of compromise for detection and sharing.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Report using RS-TPL-001.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RS-FRM-002: Evidence Chain of Custody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Prepare a forensic toolkit and evidence storage before incidents happen.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Agree with the IR retainer how evidence will be handed over and stored.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Administrators browse an infected server to 'have a look', overwriting evidence.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RS.AN-03: Analysis is performed to establish what has taken place during an incident and the root cause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RS.AN-06: Actions performed during an investigation are recorded and the records' integrity and provenance are preserved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RS.AN-07: Incident data and metadata are collected, and their integrity and provenance are preserved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RS.AN-08: An incident's magnitude is estimated and validated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AU-9, 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5.28; ISO/IEC 27037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RS-PLN-001: Cybersecurity Incident Response 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RS-FRM-002: Evidence Chain of Custody Form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RS-PRC-002  |  Digital Forensics and Evidence Handling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