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[Organization Name]</w:t>
      </w:r>
    </w:p>
    <w:p>
      <w:pPr>
        <w:pStyle w:val="Heading1"/>
        <w:keepNext/>
        <w:spacing w:before="200" w:after="80"/>
      </w:pPr>
      <w:r>
        <w:rPr>
          <w:rFonts w:ascii="Calibri" w:hAnsi="Calibri" w:cs="Calibri" w:eastAsia="Calibri"/>
          <w:b/>
          <w:i w:val="0"/>
          <w:color w:val="1F3864"/>
          <w:sz w:val="39"/>
          <w:szCs w:val="39"/>
          <w:bCs/>
        </w:rPr>
        <w:t>Incident Notification and Communication Procedure</w:t>
      </w:r>
    </w:p>
    <w:p>
      <w:pPr>
        <w:spacing w:after="80" w:before="0"/>
      </w:pPr>
      <w:r>
        <w:rPr>
          <w:rFonts w:ascii="Calibri" w:hAnsi="Calibri" w:cs="Calibri" w:eastAsia="Calibri"/>
          <w:b w:val="0"/>
          <w:i w:val="0"/>
          <w:color w:val="595959"/>
          <w:sz w:val="18"/>
          <w:szCs w:val="18"/>
        </w:rPr>
        <w:t>RS-PRC-003  |  Procedure  |  Incident Response Reporting and Communication (RS.CO)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How to Use This Template: </w:t>
            </w:r>
            <w:r>
              <w:rPr>
                <w:rFonts w:ascii="Calibri" w:hAnsi="Calibri" w:cs="Calibri" w:eastAsia="Calibri"/>
                <w:b w:val="0"/>
                <w:i w:val="0"/>
                <w:sz w:val="18"/>
                <w:szCs w:val="18"/>
              </w:rPr>
              <w:t>Replace text in square brackets with your organization's details. Keep every Part A section, because each one is a minimum requirement. Use Part B to raise maturity. Delete the blue requirement boxes and this note before you issue the document. This template is a sample and is not legal advice; confirm items marked [VERIFY] with current Thai regulations before use.</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RS-PRC-003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Incident Notification and Communication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1.0</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Template (not 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Chief Information Security Officer (CISO) or 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[DD Month YYYY]</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[DD Month YYYY]</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Response Reporting and Communication (RS.CO)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 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PDPA s.37(4) (notify the PDPC within 72 hours); CSA s.57 and s.58; CRC Notification on CII duties 2024 [VERIFY]</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[DD Month YYYY]</w:t>
            </w:r>
          </w:p>
        </w:tc>
        <w:tc>
          <w:tcPr>
            <w:tcW w:type="dxa" w:w="3742"/>
          </w:tcPr>
          <w:p>
            <w:r/>
            <w:r>
              <w:rPr>
                <w:rFonts w:ascii="Calibri" w:hAnsi="Calibri" w:cs="Calibri" w:eastAsia="Calibri"/>
                <w:b w:val="0"/>
                <w:i w:val="0"/>
                <w:sz w:val="18"/>
                <w:szCs w:val="18"/>
              </w:rPr>
              <w:t>Initial release</w:t>
            </w:r>
          </w:p>
        </w:tc>
        <w:tc>
          <w:tcPr>
            <w:tcW w:type="dxa" w:w="1587"/>
          </w:tcPr>
          <w:p>
            <w:r/>
            <w:r>
              <w:rPr>
                <w:rFonts w:ascii="Calibri" w:hAnsi="Calibri" w:cs="Calibri" w:eastAsia="Calibri"/>
                <w:b w:val="0"/>
                <w:i w:val="0"/>
                <w:sz w:val="18"/>
                <w:szCs w:val="18"/>
              </w:rPr>
              <w:t>[Name, Role]</w:t>
            </w:r>
          </w:p>
        </w:tc>
        <w:tc>
          <w:tcPr>
            <w:tcW w:type="dxa" w:w="1531"/>
          </w:tcPr>
          <w:p>
            <w:r/>
            <w:r>
              <w:rPr>
                <w:rFonts w:ascii="Calibri" w:hAnsi="Calibri" w:cs="Calibri" w:eastAsia="Calibri"/>
                <w:b w:val="0"/>
                <w:i w:val="0"/>
                <w:sz w:val="18"/>
                <w:szCs w:val="18"/>
              </w:rPr>
              <w:t>[Name, Role]</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who must be notified about an incident, by whom, within what timeframe, and through which channel, covering internal stakeholders, the PDPC, NCSA, sector regulators, data subjects, and partners (RS.CO-02, RS.CO-03).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[Organization Name].</w:t>
      </w:r>
    </w:p>
    <w:p>
      <w:pPr>
        <w:pStyle w:val="Heading2"/>
        <w:keepNext/>
        <w:spacing w:before="120" w:after="80"/>
      </w:pPr>
      <w:r>
        <w:rPr>
          <w:rFonts w:ascii="Calibri" w:hAnsi="Calibri" w:cs="Calibri" w:eastAsia="Calibri"/>
          <w:b/>
          <w:i w:val="0"/>
          <w:color w:val="1F3864"/>
          <w:sz w:val="24"/>
          <w:szCs w:val="24"/>
          <w:bCs/>
        </w:rPr>
        <w:t>4.3 Notification Matrix</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each audience with trigger, deadline, owner, and channel.</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rPr>
          <w:tblHeader w:val="true"/>
        </w:trPr>
        <w:tc>
          <w:tcPr>
            <w:tcW w:type="dxa" w:w="1871"/>
            <w:shd w:val="clear" w:color="auto" w:fill="1F3864"/>
          </w:tcPr>
          <w:p>
            <w:r/>
            <w:r>
              <w:rPr>
                <w:rFonts w:ascii="Calibri" w:hAnsi="Calibri" w:cs="Calibri" w:eastAsia="Calibri"/>
                <w:b/>
                <w:i w:val="0"/>
                <w:color w:val="FFFFFF"/>
                <w:sz w:val="18"/>
                <w:szCs w:val="18"/>
                <w:bCs/>
              </w:rPr>
              <w:t>Audience</w:t>
            </w:r>
          </w:p>
        </w:tc>
        <w:tc>
          <w:tcPr>
            <w:tcW w:type="dxa" w:w="1871"/>
            <w:shd w:val="clear" w:color="auto" w:fill="1F3864"/>
          </w:tcPr>
          <w:p>
            <w:r/>
            <w:r>
              <w:rPr>
                <w:rFonts w:ascii="Calibri" w:hAnsi="Calibri" w:cs="Calibri" w:eastAsia="Calibri"/>
                <w:b/>
                <w:i w:val="0"/>
                <w:color w:val="FFFFFF"/>
                <w:sz w:val="18"/>
                <w:szCs w:val="18"/>
                <w:bCs/>
              </w:rPr>
              <w:t>Trigger</w:t>
            </w:r>
          </w:p>
        </w:tc>
        <w:tc>
          <w:tcPr>
            <w:tcW w:type="dxa" w:w="1871"/>
            <w:shd w:val="clear" w:color="auto" w:fill="1F3864"/>
          </w:tcPr>
          <w:p>
            <w:r/>
            <w:r>
              <w:rPr>
                <w:rFonts w:ascii="Calibri" w:hAnsi="Calibri" w:cs="Calibri" w:eastAsia="Calibri"/>
                <w:b/>
                <w:i w:val="0"/>
                <w:color w:val="FFFFFF"/>
                <w:sz w:val="18"/>
                <w:szCs w:val="18"/>
                <w:bCs/>
              </w:rPr>
              <w:t>Deadline</w:t>
            </w:r>
          </w:p>
        </w:tc>
        <w:tc>
          <w:tcPr>
            <w:tcW w:type="dxa" w:w="1871"/>
            <w:shd w:val="clear" w:color="auto" w:fill="1F3864"/>
          </w:tcPr>
          <w:p>
            <w:r/>
            <w:r>
              <w:rPr>
                <w:rFonts w:ascii="Calibri" w:hAnsi="Calibri" w:cs="Calibri" w:eastAsia="Calibri"/>
                <w:b/>
                <w:i w:val="0"/>
                <w:color w:val="FFFFFF"/>
                <w:sz w:val="18"/>
                <w:szCs w:val="18"/>
                <w:bCs/>
              </w:rPr>
              <w:t>Owner</w:t>
            </w:r>
          </w:p>
        </w:tc>
        <w:tc>
          <w:tcPr>
            <w:tcW w:type="dxa" w:w="1871"/>
            <w:shd w:val="clear" w:color="auto" w:fill="1F3864"/>
          </w:tcPr>
          <w:p>
            <w:r/>
            <w:r>
              <w:rPr>
                <w:rFonts w:ascii="Calibri" w:hAnsi="Calibri" w:cs="Calibri" w:eastAsia="Calibri"/>
                <w:b/>
                <w:i w:val="0"/>
                <w:color w:val="FFFFFF"/>
                <w:sz w:val="18"/>
                <w:szCs w:val="18"/>
                <w:bCs/>
              </w:rPr>
              <w:t>Channel</w:t>
            </w:r>
          </w:p>
        </w:tc>
      </w:tr>
      <w:tr>
        <w:tc>
          <w:tcPr>
            <w:tcW w:type="dxa" w:w="1871"/>
          </w:tcPr>
          <w:p>
            <w:r/>
            <w:r>
              <w:rPr>
                <w:rFonts w:ascii="Calibri" w:hAnsi="Calibri" w:cs="Calibri" w:eastAsia="Calibri"/>
                <w:b w:val="0"/>
                <w:i w:val="0"/>
                <w:sz w:val="18"/>
                <w:szCs w:val="18"/>
              </w:rPr>
              <w:t>Chief Executive Officer (CEO) and executives</w:t>
            </w:r>
          </w:p>
        </w:tc>
        <w:tc>
          <w:tcPr>
            <w:tcW w:type="dxa" w:w="1871"/>
          </w:tcPr>
          <w:p>
            <w:r/>
            <w:r>
              <w:rPr>
                <w:rFonts w:ascii="Calibri" w:hAnsi="Calibri" w:cs="Calibri" w:eastAsia="Calibri"/>
                <w:b w:val="0"/>
                <w:i w:val="0"/>
                <w:sz w:val="18"/>
                <w:szCs w:val="18"/>
              </w:rPr>
              <w:t>SEV-1 or SEV-2</w:t>
            </w:r>
          </w:p>
        </w:tc>
        <w:tc>
          <w:tcPr>
            <w:tcW w:type="dxa" w:w="1871"/>
          </w:tcPr>
          <w:p>
            <w:r/>
            <w:r>
              <w:rPr>
                <w:rFonts w:ascii="Calibri" w:hAnsi="Calibri" w:cs="Calibri" w:eastAsia="Calibri"/>
                <w:b w:val="0"/>
                <w:i w:val="0"/>
                <w:sz w:val="18"/>
                <w:szCs w:val="18"/>
              </w:rPr>
              <w:t>1 to 2 hours</w:t>
            </w:r>
          </w:p>
        </w:tc>
        <w:tc>
          <w:tcPr>
            <w:tcW w:type="dxa" w:w="1871"/>
          </w:tcPr>
          <w:p>
            <w:r/>
            <w:r>
              <w:rPr>
                <w:rFonts w:ascii="Calibri" w:hAnsi="Calibri" w:cs="Calibri" w:eastAsia="Calibri"/>
                <w:b w:val="0"/>
                <w:i w:val="0"/>
                <w:sz w:val="18"/>
                <w:szCs w:val="18"/>
              </w:rPr>
              <w:t>Chief Information Security Officer (CISO) or Security Manager</w:t>
            </w:r>
          </w:p>
        </w:tc>
        <w:tc>
          <w:tcPr>
            <w:tcW w:type="dxa" w:w="1871"/>
          </w:tcPr>
          <w:p>
            <w:r/>
            <w:r>
              <w:rPr>
                <w:rFonts w:ascii="Calibri" w:hAnsi="Calibri" w:cs="Calibri" w:eastAsia="Calibri"/>
                <w:b w:val="0"/>
                <w:i w:val="0"/>
                <w:sz w:val="18"/>
                <w:szCs w:val="18"/>
              </w:rPr>
              <w:t>Phone</w:t>
            </w:r>
          </w:p>
        </w:tc>
      </w:tr>
      <w:tr>
        <w:tc>
          <w:tcPr>
            <w:tcW w:type="dxa" w:w="1871"/>
          </w:tcPr>
          <w:p>
            <w:r/>
            <w:r>
              <w:rPr>
                <w:rFonts w:ascii="Calibri" w:hAnsi="Calibri" w:cs="Calibri" w:eastAsia="Calibri"/>
                <w:b w:val="0"/>
                <w:i w:val="0"/>
                <w:sz w:val="18"/>
                <w:szCs w:val="18"/>
              </w:rPr>
              <w:t>PDPC</w:t>
            </w:r>
          </w:p>
        </w:tc>
        <w:tc>
          <w:tcPr>
            <w:tcW w:type="dxa" w:w="1871"/>
          </w:tcPr>
          <w:p>
            <w:r/>
            <w:r>
              <w:rPr>
                <w:rFonts w:ascii="Calibri" w:hAnsi="Calibri" w:cs="Calibri" w:eastAsia="Calibri"/>
                <w:b w:val="0"/>
                <w:i w:val="0"/>
                <w:sz w:val="18"/>
                <w:szCs w:val="18"/>
              </w:rPr>
              <w:t>Personal data breach with risk to rights and freedoms</w:t>
            </w:r>
          </w:p>
        </w:tc>
        <w:tc>
          <w:tcPr>
            <w:tcW w:type="dxa" w:w="1871"/>
          </w:tcPr>
          <w:p>
            <w:r/>
            <w:r>
              <w:rPr>
                <w:rFonts w:ascii="Calibri" w:hAnsi="Calibri" w:cs="Calibri" w:eastAsia="Calibri"/>
                <w:b w:val="0"/>
                <w:i w:val="0"/>
                <w:sz w:val="18"/>
                <w:szCs w:val="18"/>
              </w:rPr>
              <w:t>Within 72 hours of awareness (PDPA s.37(4))</w:t>
            </w:r>
          </w:p>
        </w:tc>
        <w:tc>
          <w:tcPr>
            <w:tcW w:type="dxa" w:w="1871"/>
          </w:tcPr>
          <w:p>
            <w:r/>
            <w:r>
              <w:rPr>
                <w:rFonts w:ascii="Calibri" w:hAnsi="Calibri" w:cs="Calibri" w:eastAsia="Calibri"/>
                <w:b w:val="0"/>
                <w:i w:val="0"/>
                <w:sz w:val="18"/>
                <w:szCs w:val="18"/>
              </w:rPr>
              <w:t>Data Protection Officer (DPO)</w:t>
            </w:r>
          </w:p>
        </w:tc>
        <w:tc>
          <w:tcPr>
            <w:tcW w:type="dxa" w:w="1871"/>
          </w:tcPr>
          <w:p>
            <w:r/>
            <w:r>
              <w:rPr>
                <w:rFonts w:ascii="Calibri" w:hAnsi="Calibri" w:cs="Calibri" w:eastAsia="Calibri"/>
                <w:b w:val="0"/>
                <w:i w:val="0"/>
                <w:sz w:val="18"/>
                <w:szCs w:val="18"/>
              </w:rPr>
              <w:t>PDPC e-service [VERIFY]</w:t>
            </w:r>
          </w:p>
        </w:tc>
      </w:tr>
      <w:tr>
        <w:tc>
          <w:tcPr>
            <w:tcW w:type="dxa" w:w="1871"/>
          </w:tcPr>
          <w:p>
            <w:r/>
            <w:r>
              <w:rPr>
                <w:rFonts w:ascii="Calibri" w:hAnsi="Calibri" w:cs="Calibri" w:eastAsia="Calibri"/>
                <w:b w:val="0"/>
                <w:i w:val="0"/>
                <w:sz w:val="18"/>
                <w:szCs w:val="18"/>
              </w:rPr>
              <w:t>Affected data subjects</w:t>
            </w:r>
          </w:p>
        </w:tc>
        <w:tc>
          <w:tcPr>
            <w:tcW w:type="dxa" w:w="1871"/>
          </w:tcPr>
          <w:p>
            <w:r/>
            <w:r>
              <w:rPr>
                <w:rFonts w:ascii="Calibri" w:hAnsi="Calibri" w:cs="Calibri" w:eastAsia="Calibri"/>
                <w:b w:val="0"/>
                <w:i w:val="0"/>
                <w:sz w:val="18"/>
                <w:szCs w:val="18"/>
              </w:rPr>
              <w:t>High risk to rights and freedoms</w:t>
            </w:r>
          </w:p>
        </w:tc>
        <w:tc>
          <w:tcPr>
            <w:tcW w:type="dxa" w:w="1871"/>
          </w:tcPr>
          <w:p>
            <w:r/>
            <w:r>
              <w:rPr>
                <w:rFonts w:ascii="Calibri" w:hAnsi="Calibri" w:cs="Calibri" w:eastAsia="Calibri"/>
                <w:b w:val="0"/>
                <w:i w:val="0"/>
                <w:sz w:val="18"/>
                <w:szCs w:val="18"/>
              </w:rPr>
              <w:t>Without delay</w:t>
            </w:r>
          </w:p>
        </w:tc>
        <w:tc>
          <w:tcPr>
            <w:tcW w:type="dxa" w:w="1871"/>
          </w:tcPr>
          <w:p>
            <w:r/>
            <w:r>
              <w:rPr>
                <w:rFonts w:ascii="Calibri" w:hAnsi="Calibri" w:cs="Calibri" w:eastAsia="Calibri"/>
                <w:b w:val="0"/>
                <w:i w:val="0"/>
                <w:sz w:val="18"/>
                <w:szCs w:val="18"/>
              </w:rPr>
              <w:t>Data Protection Officer (DPO)</w:t>
            </w:r>
          </w:p>
        </w:tc>
        <w:tc>
          <w:tcPr>
            <w:tcW w:type="dxa" w:w="1871"/>
          </w:tcPr>
          <w:p>
            <w:r/>
            <w:r>
              <w:rPr>
                <w:rFonts w:ascii="Calibri" w:hAnsi="Calibri" w:cs="Calibri" w:eastAsia="Calibri"/>
                <w:b w:val="0"/>
                <w:i w:val="0"/>
                <w:sz w:val="18"/>
                <w:szCs w:val="18"/>
              </w:rPr>
              <w:t>Letter, email, SMS</w:t>
            </w:r>
          </w:p>
        </w:tc>
      </w:tr>
      <w:tr>
        <w:tc>
          <w:tcPr>
            <w:tcW w:type="dxa" w:w="1871"/>
          </w:tcPr>
          <w:p>
            <w:r/>
            <w:r>
              <w:rPr>
                <w:rFonts w:ascii="Calibri" w:hAnsi="Calibri" w:cs="Calibri" w:eastAsia="Calibri"/>
                <w:b w:val="0"/>
                <w:i w:val="0"/>
                <w:sz w:val="18"/>
                <w:szCs w:val="18"/>
              </w:rPr>
              <w:t>NCSA and sector regulator</w:t>
            </w:r>
          </w:p>
        </w:tc>
        <w:tc>
          <w:tcPr>
            <w:tcW w:type="dxa" w:w="1871"/>
          </w:tcPr>
          <w:p>
            <w:r/>
            <w:r>
              <w:rPr>
                <w:rFonts w:ascii="Calibri" w:hAnsi="Calibri" w:cs="Calibri" w:eastAsia="Calibri"/>
                <w:b w:val="0"/>
                <w:i w:val="0"/>
                <w:sz w:val="18"/>
                <w:szCs w:val="18"/>
              </w:rPr>
              <w:t>Significant cyber incident at a CII organization</w:t>
            </w:r>
          </w:p>
        </w:tc>
        <w:tc>
          <w:tcPr>
            <w:tcW w:type="dxa" w:w="1871"/>
          </w:tcPr>
          <w:p>
            <w:r/>
            <w:r>
              <w:rPr>
                <w:rFonts w:ascii="Calibri" w:hAnsi="Calibri" w:cs="Calibri" w:eastAsia="Calibri"/>
                <w:b w:val="0"/>
                <w:i w:val="0"/>
                <w:sz w:val="18"/>
                <w:szCs w:val="18"/>
              </w:rPr>
              <w:t>Per CRC Notification 2024, reported as 24 hours [VERIFY]</w:t>
            </w:r>
          </w:p>
        </w:tc>
        <w:tc>
          <w:tcPr>
            <w:tcW w:type="dxa" w:w="1871"/>
          </w:tcPr>
          <w:p>
            <w:r/>
            <w:r>
              <w:rPr>
                <w:rFonts w:ascii="Calibri" w:hAnsi="Calibri" w:cs="Calibri" w:eastAsia="Calibri"/>
                <w:b w:val="0"/>
                <w:i w:val="0"/>
                <w:sz w:val="18"/>
                <w:szCs w:val="18"/>
              </w:rPr>
              <w:t>Chief Information Security Officer (CISO) or Security Manager</w:t>
            </w:r>
          </w:p>
        </w:tc>
        <w:tc>
          <w:tcPr>
            <w:tcW w:type="dxa" w:w="1871"/>
          </w:tcPr>
          <w:p>
            <w:r/>
            <w:r>
              <w:rPr>
                <w:rFonts w:ascii="Calibri" w:hAnsi="Calibri" w:cs="Calibri" w:eastAsia="Calibri"/>
                <w:b w:val="0"/>
                <w:i w:val="0"/>
                <w:sz w:val="18"/>
                <w:szCs w:val="18"/>
              </w:rPr>
              <w:t>NCSA channel [VERIFY]</w:t>
            </w:r>
          </w:p>
        </w:tc>
      </w:tr>
      <w:tr>
        <w:tc>
          <w:tcPr>
            <w:tcW w:type="dxa" w:w="1871"/>
          </w:tcPr>
          <w:p>
            <w:r/>
            <w:r>
              <w:rPr>
                <w:rFonts w:ascii="Calibri" w:hAnsi="Calibri" w:cs="Calibri" w:eastAsia="Calibri"/>
                <w:b w:val="0"/>
                <w:i w:val="0"/>
                <w:sz w:val="18"/>
                <w:szCs w:val="18"/>
              </w:rPr>
              <w:t>Customers and partners</w:t>
            </w:r>
          </w:p>
        </w:tc>
        <w:tc>
          <w:tcPr>
            <w:tcW w:type="dxa" w:w="1871"/>
          </w:tcPr>
          <w:p>
            <w:r/>
            <w:r>
              <w:rPr>
                <w:rFonts w:ascii="Calibri" w:hAnsi="Calibri" w:cs="Calibri" w:eastAsia="Calibri"/>
                <w:b w:val="0"/>
                <w:i w:val="0"/>
                <w:sz w:val="18"/>
                <w:szCs w:val="18"/>
              </w:rPr>
              <w:t>Their data or services affected, or contract requires</w:t>
            </w:r>
          </w:p>
        </w:tc>
        <w:tc>
          <w:tcPr>
            <w:tcW w:type="dxa" w:w="1871"/>
          </w:tcPr>
          <w:p>
            <w:r/>
            <w:r>
              <w:rPr>
                <w:rFonts w:ascii="Calibri" w:hAnsi="Calibri" w:cs="Calibri" w:eastAsia="Calibri"/>
                <w:b w:val="0"/>
                <w:i w:val="0"/>
                <w:sz w:val="18"/>
                <w:szCs w:val="18"/>
              </w:rPr>
              <w:t>Per contract</w:t>
            </w:r>
          </w:p>
        </w:tc>
        <w:tc>
          <w:tcPr>
            <w:tcW w:type="dxa" w:w="1871"/>
          </w:tcPr>
          <w:p>
            <w:r/>
            <w:r>
              <w:rPr>
                <w:rFonts w:ascii="Calibri" w:hAnsi="Calibri" w:cs="Calibri" w:eastAsia="Calibri"/>
                <w:b w:val="0"/>
                <w:i w:val="0"/>
                <w:sz w:val="18"/>
                <w:szCs w:val="18"/>
              </w:rPr>
              <w:t>Business owner, Legal Counsel</w:t>
            </w:r>
          </w:p>
        </w:tc>
        <w:tc>
          <w:tcPr>
            <w:tcW w:type="dxa" w:w="1871"/>
          </w:tcPr>
          <w:p>
            <w:r/>
            <w:r>
              <w:rPr>
                <w:rFonts w:ascii="Calibri" w:hAnsi="Calibri" w:cs="Calibri" w:eastAsia="Calibri"/>
                <w:b w:val="0"/>
                <w:i w:val="0"/>
                <w:sz w:val="18"/>
                <w:szCs w:val="18"/>
              </w:rPr>
              <w:t>Formal letter</w:t>
            </w:r>
          </w:p>
        </w:tc>
      </w:tr>
      <w:tr>
        <w:tc>
          <w:tcPr>
            <w:tcW w:type="dxa" w:w="1871"/>
          </w:tcPr>
          <w:p>
            <w:r/>
            <w:r>
              <w:rPr>
                <w:rFonts w:ascii="Calibri" w:hAnsi="Calibri" w:cs="Calibri" w:eastAsia="Calibri"/>
                <w:b w:val="0"/>
                <w:i w:val="0"/>
                <w:sz w:val="18"/>
                <w:szCs w:val="18"/>
              </w:rPr>
              <w:t>Insurer</w:t>
            </w:r>
          </w:p>
        </w:tc>
        <w:tc>
          <w:tcPr>
            <w:tcW w:type="dxa" w:w="1871"/>
          </w:tcPr>
          <w:p>
            <w:r/>
            <w:r>
              <w:rPr>
                <w:rFonts w:ascii="Calibri" w:hAnsi="Calibri" w:cs="Calibri" w:eastAsia="Calibri"/>
                <w:b w:val="0"/>
                <w:i w:val="0"/>
                <w:sz w:val="18"/>
                <w:szCs w:val="18"/>
              </w:rPr>
              <w:t>Policy notice condition</w:t>
            </w:r>
          </w:p>
        </w:tc>
        <w:tc>
          <w:tcPr>
            <w:tcW w:type="dxa" w:w="1871"/>
          </w:tcPr>
          <w:p>
            <w:r/>
            <w:r>
              <w:rPr>
                <w:rFonts w:ascii="Calibri" w:hAnsi="Calibri" w:cs="Calibri" w:eastAsia="Calibri"/>
                <w:b w:val="0"/>
                <w:i w:val="0"/>
                <w:sz w:val="18"/>
                <w:szCs w:val="18"/>
              </w:rPr>
              <w:t>Per policy</w:t>
            </w:r>
          </w:p>
        </w:tc>
        <w:tc>
          <w:tcPr>
            <w:tcW w:type="dxa" w:w="1871"/>
          </w:tcPr>
          <w:p>
            <w:r/>
            <w:r>
              <w:rPr>
                <w:rFonts w:ascii="Calibri" w:hAnsi="Calibri" w:cs="Calibri" w:eastAsia="Calibri"/>
                <w:b w:val="0"/>
                <w:i w:val="0"/>
                <w:sz w:val="18"/>
                <w:szCs w:val="18"/>
              </w:rPr>
              <w:t>Chief Financial Officer (CFO)</w:t>
            </w:r>
          </w:p>
        </w:tc>
        <w:tc>
          <w:tcPr>
            <w:tcW w:type="dxa" w:w="1871"/>
          </w:tcPr>
          <w:p>
            <w:r/>
            <w:r>
              <w:rPr>
                <w:rFonts w:ascii="Calibri" w:hAnsi="Calibri" w:cs="Calibri" w:eastAsia="Calibri"/>
                <w:b w:val="0"/>
                <w:i w:val="0"/>
                <w:sz w:val="18"/>
                <w:szCs w:val="18"/>
              </w:rPr>
              <w:t>Per policy</w:t>
            </w:r>
          </w:p>
        </w:tc>
      </w:tr>
      <w:tr>
        <w:tc>
          <w:tcPr>
            <w:tcW w:type="dxa" w:w="1871"/>
          </w:tcPr>
          <w:p>
            <w:r/>
            <w:r>
              <w:rPr>
                <w:rFonts w:ascii="Calibri" w:hAnsi="Calibri" w:cs="Calibri" w:eastAsia="Calibri"/>
                <w:b w:val="0"/>
                <w:i w:val="0"/>
                <w:sz w:val="18"/>
                <w:szCs w:val="18"/>
              </w:rPr>
              <w:t>Police</w:t>
            </w:r>
          </w:p>
        </w:tc>
        <w:tc>
          <w:tcPr>
            <w:tcW w:type="dxa" w:w="1871"/>
          </w:tcPr>
          <w:p>
            <w:r/>
            <w:r>
              <w:rPr>
                <w:rFonts w:ascii="Calibri" w:hAnsi="Calibri" w:cs="Calibri" w:eastAsia="Calibri"/>
                <w:b w:val="0"/>
                <w:i w:val="0"/>
                <w:sz w:val="18"/>
                <w:szCs w:val="18"/>
              </w:rPr>
              <w:t>Crime suspected</w:t>
            </w:r>
          </w:p>
        </w:tc>
        <w:tc>
          <w:tcPr>
            <w:tcW w:type="dxa" w:w="1871"/>
          </w:tcPr>
          <w:p>
            <w:r/>
            <w:r>
              <w:rPr>
                <w:rFonts w:ascii="Calibri" w:hAnsi="Calibri" w:cs="Calibri" w:eastAsia="Calibri"/>
                <w:b w:val="0"/>
                <w:i w:val="0"/>
                <w:sz w:val="18"/>
                <w:szCs w:val="18"/>
              </w:rPr>
              <w:t>As advised by Legal Counsel</w:t>
            </w:r>
          </w:p>
        </w:tc>
        <w:tc>
          <w:tcPr>
            <w:tcW w:type="dxa" w:w="1871"/>
          </w:tcPr>
          <w:p>
            <w:r/>
            <w:r>
              <w:rPr>
                <w:rFonts w:ascii="Calibri" w:hAnsi="Calibri" w:cs="Calibri" w:eastAsia="Calibri"/>
                <w:b w:val="0"/>
                <w:i w:val="0"/>
                <w:sz w:val="18"/>
                <w:szCs w:val="18"/>
              </w:rPr>
              <w:t>Legal Counsel</w:t>
            </w:r>
          </w:p>
        </w:tc>
        <w:tc>
          <w:tcPr>
            <w:tcW w:type="dxa" w:w="1871"/>
          </w:tcPr>
          <w:p>
            <w:r/>
            <w:r>
              <w:rPr>
                <w:rFonts w:ascii="Calibri" w:hAnsi="Calibri" w:cs="Calibri" w:eastAsia="Calibri"/>
                <w:b w:val="0"/>
                <w:i w:val="0"/>
                <w:sz w:val="18"/>
                <w:szCs w:val="18"/>
              </w:rPr>
              <w:t>Police report</w:t>
            </w:r>
          </w:p>
        </w:tc>
      </w:tr>
    </w:tbl>
    <w:p>
      <w:pPr>
        <w:spacing w:after="40"/>
      </w:pPr>
    </w:p>
    <w:p>
      <w:pPr>
        <w:pStyle w:val="Heading2"/>
        <w:keepNext/>
        <w:spacing w:before="120" w:after="80"/>
      </w:pPr>
      <w:r>
        <w:rPr>
          <w:rFonts w:ascii="Calibri" w:hAnsi="Calibri" w:cs="Calibri" w:eastAsia="Calibri"/>
          <w:b/>
          <w:i w:val="0"/>
          <w:color w:val="1F3864"/>
          <w:sz w:val="24"/>
          <w:szCs w:val="24"/>
          <w:bCs/>
        </w:rPr>
        <w:t>4.4 Approval of External Messages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who approves external messages.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Regulatory notifications are prepared by the Data Protection Officer (DPO) or Chief Information Security Officer (CISO) or Security Manager, reviewed by Legal Counsel, and approved by the Chief Executive Officer (CEO) or delegate. Public statements follow the Crisis Communication Procedure (RC-PRC-002). Night and weekend approval follows the delegation in RS-PLN-001.</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RS-TPL-002: Regulatory Notification Templates</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Pre-register with regulator portals and keep credentials available offline.</w:t>
      </w:r>
    </w:p>
    <w:p>
      <w:pPr>
        <w:pStyle w:val="ListBullet"/>
        <w:spacing w:after="40"/>
      </w:pPr>
      <w:r>
        <w:rPr>
          <w:rFonts w:ascii="Calibri" w:hAnsi="Calibri" w:cs="Calibri" w:eastAsia="Calibri"/>
          <w:b w:val="0"/>
          <w:i w:val="0"/>
          <w:sz w:val="21"/>
          <w:szCs w:val="21"/>
        </w:rPr>
        <w:t>Keep notifications factual and update them as the investigation progresses.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Different teams send inconsistent messages to the PDPC and NCSA.</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RS.CO-02: Internal and external stakeholders are notified of incidents</w:t>
            </w:r>
          </w:p>
          <w:p>
            <w:r>
              <w:rPr>
                <w:rFonts w:ascii="Calibri" w:hAnsi="Calibri" w:cs="Calibri" w:eastAsia="Calibri"/>
                <w:b w:val="0"/>
                <w:i w:val="0"/>
                <w:sz w:val="18"/>
                <w:szCs w:val="18"/>
              </w:rPr>
              <w:t>RS.CO-03: Information is shared with designated internal and external stakeholders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A.5.5, Annex A.5.24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IR-6, IR-7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PDPA s.37(4) (notify the PDPC within 72 hours); CSA s.57 and s.58; CRC Notification on CII duties 2024 [VERIFY]</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RS-PLN-001: Cybersecurity Incident Response Plan</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RS-TPL-002: Regulatory Notification Templates</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[Organization Name]  |  RS-PRC-003  |  Incident Notification and Communication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