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Phishing and Business Email Compromise Playbook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RS-PLB-002  |  Playbook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 and Business Email Compromise 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gives specific actions for responding to phishing and business email compromise (BEC), including payment fraud attempts (RS.MI-01, RS.MI-02).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Response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actions by scenario.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Scenario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 reported, no click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Search and remove the message from all mailboxes; block sender and URLs; thank the reporter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clicked or entered credentials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Reset password, revoke sessions, review MFA methods, check sign-ins and mailbox rules for 30 days; scan the device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Mailbox compromised (BEC)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Contain the account; remove malicious forwarding rules; identify emails sent; warn recipients; check for data access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Payment fraud attempt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Contact the bank immediately to stop or recall the transfer; verify vendor details by phone; report to police; preserve evidence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Enable a one-click report button and measure time from report to removal.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Require call-back verification for any change of bank details.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Only resetting the password without checking mailbox rules and MFA registrations added by the attacker.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RS.MI-01: Incidents are contained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RS.MI-02: Incidents are eradicated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RS.AN-03: Analysis is performed to establish what has taken place during an incident and the root cause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RS-PLB-002  |  Phishing and Business Email Compromise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