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Incident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RS-REG-001  |  Register  | 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Management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5.25 and 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records every security incident, its category, severity, timeline, impact, notifications, root cause, and status, for tracking, reporting, and trend analysis (RS.MA, RS.AN).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(RS-PRC-001)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INC-2026-001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Detected and declared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time.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Category and severity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DE-STD-002.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Summary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What happened.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Impact and data affected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Services, records, people.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Notifications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PDPC, NCSA, regulator, data subjects, with dates.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Root cause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investigation.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Status and closed 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Open, Recovering, Closed.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Incident ID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Detected and declared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Category and severity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Summary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Impact and data affected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Notifications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Root cause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Status and closed date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INC-2026-001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near misses and SEV-4 events as well; trends show where controls need work.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the reasoning for each notification decision, including decisions not to notify.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Incidents tracked only in chat messages with no central record.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RS.MA-02: Incident reports are triaged and validated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RS.MA-03: Incidents are categorized and prioritized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RS.AN-03: Analysis is performed to establish what has taken place during an incident and the root cause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RS.AN-08: An incident's magnitude is estimated and validated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A.5.25, 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5.25 and 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RS-PRC-001: Incident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RS-REG-001  |  Incident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